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14C" w:rsidRPr="00610A7C" w:rsidP="00C6214C" w14:paraId="0B1389C8" w14:textId="77777777">
      <w:pPr>
        <w:rPr>
          <w:rFonts w:ascii="Calibri" w:hAnsi="Calibri" w:cstheme="minorHAnsi"/>
        </w:rPr>
      </w:pPr>
      <w:r>
        <w:rPr>
          <w:b/>
          <w:sz w:val="24"/>
          <w:szCs w:val="24"/>
        </w:rPr>
        <w:t xml:space="preserve">                                                                                                                                                                                                                                                                                                                                                                                                                                                                                                               </w:t>
      </w:r>
    </w:p>
    <w:p w:rsidR="00C6214C" w:rsidRPr="00610A7C" w:rsidP="00C6214C" w14:paraId="07996C1E" w14:textId="77777777">
      <w:pPr>
        <w:rPr>
          <w:rFonts w:ascii="Calibri" w:hAnsi="Calibri" w:cstheme="minorHAnsi"/>
        </w:rPr>
      </w:pPr>
    </w:p>
    <w:p w:rsidR="00C6214C" w:rsidRPr="00610A7C" w:rsidP="00610A7C" w14:paraId="23D55FB1" w14:textId="77777777">
      <w:pPr>
        <w:ind w:left="2880"/>
        <w:rPr>
          <w:rFonts w:ascii="Calibri" w:hAnsi="Calibri" w:cstheme="minorHAnsi"/>
          <w:b/>
        </w:rPr>
      </w:pPr>
      <w:r>
        <w:rPr>
          <w:rFonts w:ascii="Calibri" w:hAnsi="Calibri" w:cstheme="minorHAnsi"/>
          <w:b/>
        </w:rPr>
        <w:t xml:space="preserve">   </w:t>
      </w:r>
      <w:r w:rsidRPr="00610A7C">
        <w:rPr>
          <w:rFonts w:ascii="Calibri" w:hAnsi="Calibri" w:cstheme="minorHAnsi"/>
          <w:b/>
        </w:rPr>
        <w:t>Supporting Statement B</w:t>
      </w:r>
    </w:p>
    <w:p w:rsidR="0009135A" w:rsidRPr="00610A7C" w:rsidP="00610A7C" w14:paraId="4BC4C3E5" w14:textId="77777777">
      <w:pPr>
        <w:tabs>
          <w:tab w:val="left" w:pos="720"/>
        </w:tabs>
        <w:ind w:left="720" w:hanging="1440"/>
        <w:jc w:val="center"/>
        <w:rPr>
          <w:rFonts w:ascii="Calibri" w:hAnsi="Calibri" w:cstheme="minorHAnsi"/>
          <w:b/>
          <w:bCs/>
        </w:rPr>
      </w:pPr>
      <w:r w:rsidRPr="00610A7C">
        <w:rPr>
          <w:rFonts w:ascii="Calibri" w:hAnsi="Calibri" w:cstheme="minorHAnsi"/>
          <w:b/>
          <w:bCs/>
        </w:rPr>
        <w:t>SUPPORTING STATEMENT FOR</w:t>
      </w:r>
    </w:p>
    <w:p w:rsidR="009E4FCD" w:rsidRPr="00610A7C" w:rsidP="00983319" w14:paraId="569C03AE" w14:textId="005DF698">
      <w:pPr>
        <w:tabs>
          <w:tab w:val="center" w:pos="4680"/>
          <w:tab w:val="left" w:pos="8640"/>
        </w:tabs>
        <w:rPr>
          <w:rFonts w:ascii="Calibri" w:hAnsi="Calibri" w:cstheme="minorHAnsi"/>
          <w:b/>
          <w:bCs/>
        </w:rPr>
      </w:pPr>
      <w:r>
        <w:rPr>
          <w:rFonts w:ascii="Calibri" w:hAnsi="Calibri" w:cstheme="minorHAnsi"/>
          <w:b/>
          <w:bCs/>
        </w:rPr>
        <w:tab/>
      </w:r>
      <w:r w:rsidRPr="00610A7C" w:rsidR="00000000">
        <w:rPr>
          <w:rFonts w:ascii="Calibri" w:hAnsi="Calibri" w:cstheme="minorHAnsi"/>
          <w:b/>
          <w:bCs/>
        </w:rPr>
        <w:t xml:space="preserve">PILOT STUDY AND PROSPECTIVE ANALYSIS OF THE DRAFT REVISED </w:t>
      </w:r>
      <w:r w:rsidRPr="00610A7C" w:rsidR="00091026">
        <w:rPr>
          <w:rFonts w:ascii="Calibri" w:hAnsi="Calibri" w:cstheme="minorHAnsi"/>
          <w:b/>
          <w:bCs/>
        </w:rPr>
        <w:t>FORM 33</w:t>
      </w:r>
      <w:r w:rsidRPr="00610A7C" w:rsidR="00000000">
        <w:rPr>
          <w:rFonts w:ascii="Calibri" w:hAnsi="Calibri" w:cstheme="minorHAnsi"/>
          <w:b/>
          <w:bCs/>
        </w:rPr>
        <w:t xml:space="preserve">, </w:t>
      </w:r>
      <w:r>
        <w:rPr>
          <w:rFonts w:ascii="Calibri" w:hAnsi="Calibri" w:cstheme="minorHAnsi"/>
          <w:b/>
          <w:bCs/>
        </w:rPr>
        <w:tab/>
      </w:r>
    </w:p>
    <w:p w:rsidR="00C6214C" w:rsidRPr="00610A7C" w:rsidP="00C164F6" w14:paraId="3A45FBBC" w14:textId="5F74EA93">
      <w:pPr>
        <w:jc w:val="center"/>
        <w:rPr>
          <w:rFonts w:ascii="Calibri" w:hAnsi="Calibri" w:cstheme="minorHAnsi"/>
          <w:b/>
          <w:bCs/>
        </w:rPr>
      </w:pPr>
      <w:r w:rsidRPr="00610A7C">
        <w:rPr>
          <w:rFonts w:ascii="Calibri" w:hAnsi="Calibri" w:cstheme="minorHAnsi"/>
          <w:b/>
          <w:bCs/>
        </w:rPr>
        <w:t>SAFETY AND HEALTH PROGRAM</w:t>
      </w:r>
      <w:r w:rsidRPr="00610A7C" w:rsidR="0009135A">
        <w:rPr>
          <w:rFonts w:ascii="Calibri" w:hAnsi="Calibri" w:cstheme="minorHAnsi"/>
          <w:b/>
          <w:bCs/>
        </w:rPr>
        <w:t xml:space="preserve"> ASSESMENT WORKSHEET</w:t>
      </w:r>
      <w:r w:rsidR="002D7767">
        <w:rPr>
          <w:rFonts w:ascii="Calibri" w:hAnsi="Calibri" w:cstheme="minorHAnsi"/>
          <w:b/>
          <w:bCs/>
        </w:rPr>
        <w:t xml:space="preserve"> (March </w:t>
      </w:r>
      <w:r w:rsidR="007C14C1">
        <w:rPr>
          <w:rFonts w:ascii="Calibri" w:hAnsi="Calibri" w:cstheme="minorHAnsi"/>
          <w:b/>
          <w:bCs/>
        </w:rPr>
        <w:t>2025)</w:t>
      </w:r>
    </w:p>
    <w:p w:rsidR="0009135A" w:rsidRPr="00610A7C" w:rsidP="0009135A" w14:paraId="29D726C0" w14:textId="77777777">
      <w:pPr>
        <w:jc w:val="center"/>
        <w:rPr>
          <w:rFonts w:ascii="Calibri" w:hAnsi="Calibri" w:cstheme="minorHAnsi"/>
          <w:b/>
        </w:rPr>
      </w:pPr>
    </w:p>
    <w:p w:rsidR="00C6214C" w:rsidRPr="00610A7C" w:rsidP="0009135A" w14:paraId="3DF66A38" w14:textId="77777777">
      <w:pPr>
        <w:jc w:val="center"/>
        <w:rPr>
          <w:rFonts w:ascii="Calibri" w:hAnsi="Calibri" w:cstheme="minorHAnsi"/>
          <w:b/>
        </w:rPr>
      </w:pPr>
      <w:r w:rsidRPr="00610A7C">
        <w:rPr>
          <w:rFonts w:ascii="Calibri" w:hAnsi="Calibri" w:cstheme="minorHAnsi"/>
          <w:b/>
        </w:rPr>
        <w:t>COLLECTIONS OF INFORMATION EMPLOYING STATISTICAL METHODS</w:t>
      </w:r>
    </w:p>
    <w:p w:rsidR="00C6214C" w:rsidRPr="00610A7C" w:rsidP="00C6214C" w14:paraId="3155B159" w14:textId="77777777">
      <w:pPr>
        <w:rPr>
          <w:rFonts w:ascii="Calibri" w:hAnsi="Calibri" w:cstheme="minorHAnsi"/>
          <w:b/>
        </w:rPr>
      </w:pPr>
      <w:r w:rsidRPr="00610A7C">
        <w:rPr>
          <w:rFonts w:ascii="Calibri" w:hAnsi="Calibri" w:cstheme="minorHAnsi"/>
          <w:b/>
        </w:rPr>
        <w:t xml:space="preserve">If your collection does not employ statistical methods, just say that and delete the following five questions from the format – </w:t>
      </w:r>
      <w:r w:rsidRPr="00610A7C">
        <w:rPr>
          <w:rFonts w:ascii="Calibri" w:hAnsi="Calibri" w:cstheme="minorHAnsi"/>
          <w:b/>
          <w:u w:val="single"/>
        </w:rPr>
        <w:t>UNLESS</w:t>
      </w:r>
      <w:r w:rsidRPr="00610A7C">
        <w:rPr>
          <w:rFonts w:ascii="Calibri" w:hAnsi="Calibri" w:cstheme="minorHAnsi"/>
          <w:b/>
        </w:rPr>
        <w:t xml:space="preserve"> </w:t>
      </w:r>
      <w:r w:rsidRPr="00610A7C" w:rsidR="000706B4">
        <w:rPr>
          <w:rFonts w:ascii="Calibri" w:hAnsi="Calibri" w:cstheme="minorHAnsi"/>
          <w:b/>
        </w:rPr>
        <w:t>your</w:t>
      </w:r>
      <w:r w:rsidRPr="00610A7C">
        <w:rPr>
          <w:rFonts w:ascii="Calibri" w:hAnsi="Calibri" w:cstheme="minorHAnsi"/>
          <w:b/>
        </w:rPr>
        <w:t xml:space="preserve"> proposed information collection is a survey. OMB has recently clarified that Part B must be completed for all survey requests, whether or not statistical analysis will be applied. In addition to statistical analysis, Part B addresses the description of the target group of respondents, the sampling plan, and plans to maximize response rates and address non-response.</w:t>
      </w:r>
    </w:p>
    <w:p w:rsidR="00C6214C" w:rsidRPr="00610A7C" w:rsidP="00C6214C" w14:paraId="3F81765A" w14:textId="77777777">
      <w:pPr>
        <w:rPr>
          <w:rFonts w:ascii="Calibri" w:hAnsi="Calibri" w:cstheme="minorHAnsi"/>
        </w:rPr>
      </w:pPr>
      <w:r w:rsidRPr="00610A7C">
        <w:rPr>
          <w:rFonts w:ascii="Calibri" w:hAnsi="Calibri" w:cstheme="minorHAnsi"/>
        </w:rPr>
        <w:t>When statistical methods will be used to tabulate data, the following documentation must be provided to the extent that it applies to the methods proposed.</w:t>
      </w:r>
    </w:p>
    <w:p w:rsidR="00DC5D86" w:rsidP="004807D8" w14:paraId="018F1614" w14:textId="77777777">
      <w:pPr>
        <w:rPr>
          <w:rFonts w:ascii="Calibri" w:hAnsi="Calibri" w:cstheme="minorHAnsi"/>
          <w:b/>
          <w:bCs/>
          <w:u w:val="single"/>
        </w:rPr>
      </w:pPr>
    </w:p>
    <w:p w:rsidR="00827E76" w:rsidRPr="0037450A" w:rsidP="004807D8" w14:paraId="12BBA50B" w14:textId="4C05475A">
      <w:pPr>
        <w:rPr>
          <w:rFonts w:ascii="Calibri" w:hAnsi="Calibri" w:cstheme="minorHAnsi"/>
          <w:bCs/>
          <w:u w:val="single"/>
        </w:rPr>
      </w:pPr>
      <w:r w:rsidRPr="0037450A">
        <w:rPr>
          <w:rFonts w:ascii="Calibri" w:hAnsi="Calibri" w:cstheme="minorHAnsi"/>
          <w:b/>
          <w:bCs/>
          <w:u w:val="single"/>
        </w:rPr>
        <w:t>Note to the Reviewer</w:t>
      </w:r>
    </w:p>
    <w:p w:rsidR="00827E76" w:rsidRPr="007D507D" w:rsidP="00827E76" w14:paraId="43B75E41" w14:textId="19CFC599">
      <w:pPr>
        <w:rPr>
          <w:rFonts w:ascii="Calibri" w:hAnsi="Calibri" w:cstheme="minorHAnsi"/>
          <w:bCs/>
        </w:rPr>
      </w:pPr>
      <w:r w:rsidRPr="007D507D">
        <w:rPr>
          <w:rFonts w:ascii="Calibri" w:hAnsi="Calibri" w:cstheme="minorHAnsi"/>
          <w:bCs/>
        </w:rPr>
        <w:t>This Information Collection Request (ICR) is for an extension of 3 years to the approved</w:t>
      </w:r>
      <w:r w:rsidR="00144D45">
        <w:rPr>
          <w:rFonts w:ascii="Calibri" w:hAnsi="Calibri" w:cstheme="minorHAnsi"/>
          <w:bCs/>
        </w:rPr>
        <w:t xml:space="preserve"> </w:t>
      </w:r>
      <w:r w:rsidRPr="00144D45" w:rsidR="00144D45">
        <w:rPr>
          <w:rFonts w:ascii="Calibri" w:hAnsi="Calibri" w:cstheme="minorHAnsi"/>
          <w:bCs/>
        </w:rPr>
        <w:t xml:space="preserve">“Pilot Study and Prospective Analysis of the Draft Revised Form 33 (DRF33) Safety and Health Program Assessment Worksheet,” </w:t>
      </w:r>
      <w:r w:rsidR="00C4032C">
        <w:rPr>
          <w:rFonts w:ascii="Calibri" w:hAnsi="Calibri" w:cstheme="minorHAnsi"/>
          <w:bCs/>
        </w:rPr>
        <w:t>which commenced in July 202</w:t>
      </w:r>
      <w:r w:rsidR="00A62BA8">
        <w:rPr>
          <w:rFonts w:ascii="Calibri" w:hAnsi="Calibri" w:cstheme="minorHAnsi"/>
          <w:bCs/>
        </w:rPr>
        <w:t>2</w:t>
      </w:r>
      <w:r w:rsidRPr="007D507D">
        <w:rPr>
          <w:rFonts w:ascii="Calibri" w:hAnsi="Calibri" w:cstheme="minorHAnsi"/>
          <w:bCs/>
        </w:rPr>
        <w:t xml:space="preserve">  </w:t>
      </w:r>
    </w:p>
    <w:p w:rsidR="00D500CE" w14:paraId="6CA7B37C" w14:textId="12634092">
      <w:pPr>
        <w:rPr>
          <w:rFonts w:ascii="Calibri" w:hAnsi="Calibri" w:cstheme="minorHAnsi"/>
          <w:bCs/>
        </w:rPr>
      </w:pPr>
      <w:r>
        <w:rPr>
          <w:rFonts w:ascii="Calibri" w:hAnsi="Calibri" w:cstheme="minorHAnsi"/>
          <w:bCs/>
        </w:rPr>
        <w:t xml:space="preserve">The data analyses plan </w:t>
      </w:r>
      <w:r w:rsidR="00180449">
        <w:rPr>
          <w:rFonts w:ascii="Calibri" w:hAnsi="Calibri" w:cstheme="minorHAnsi"/>
          <w:bCs/>
        </w:rPr>
        <w:t xml:space="preserve">described </w:t>
      </w:r>
      <w:r>
        <w:rPr>
          <w:rFonts w:ascii="Calibri" w:hAnsi="Calibri" w:cstheme="minorHAnsi"/>
          <w:bCs/>
        </w:rPr>
        <w:t xml:space="preserve">in </w:t>
      </w:r>
      <w:r w:rsidR="00054BB6">
        <w:rPr>
          <w:rFonts w:ascii="Calibri" w:hAnsi="Calibri" w:cstheme="minorHAnsi"/>
          <w:bCs/>
        </w:rPr>
        <w:t xml:space="preserve">this </w:t>
      </w:r>
      <w:r>
        <w:rPr>
          <w:rFonts w:ascii="Calibri" w:hAnsi="Calibri" w:cstheme="minorHAnsi"/>
          <w:bCs/>
        </w:rPr>
        <w:t>Supporting Statement B has not changed.</w:t>
      </w:r>
      <w:r w:rsidR="00D95080">
        <w:rPr>
          <w:rFonts w:ascii="Calibri" w:hAnsi="Calibri" w:cstheme="minorHAnsi"/>
          <w:bCs/>
        </w:rPr>
        <w:t xml:space="preserve">  Responses below </w:t>
      </w:r>
      <w:r w:rsidR="008E14E2">
        <w:rPr>
          <w:rFonts w:ascii="Calibri" w:hAnsi="Calibri" w:cstheme="minorHAnsi"/>
          <w:bCs/>
        </w:rPr>
        <w:t>incorporate</w:t>
      </w:r>
      <w:r w:rsidR="00137346">
        <w:rPr>
          <w:rFonts w:ascii="Calibri" w:hAnsi="Calibri" w:cstheme="minorHAnsi"/>
          <w:bCs/>
        </w:rPr>
        <w:t xml:space="preserve"> updates that </w:t>
      </w:r>
      <w:r w:rsidR="00D95080">
        <w:rPr>
          <w:rFonts w:ascii="Calibri" w:hAnsi="Calibri" w:cstheme="minorHAnsi"/>
          <w:bCs/>
        </w:rPr>
        <w:t xml:space="preserve">reflect the </w:t>
      </w:r>
      <w:r w:rsidR="00DC5D86">
        <w:rPr>
          <w:rFonts w:ascii="Calibri" w:hAnsi="Calibri" w:cstheme="minorHAnsi"/>
          <w:bCs/>
        </w:rPr>
        <w:t>remaining data that must be completed to c</w:t>
      </w:r>
      <w:r w:rsidR="00CF6F5E">
        <w:rPr>
          <w:rFonts w:ascii="Calibri" w:hAnsi="Calibri" w:cstheme="minorHAnsi"/>
          <w:bCs/>
        </w:rPr>
        <w:t>omplet</w:t>
      </w:r>
      <w:r w:rsidR="00DC5D86">
        <w:rPr>
          <w:rFonts w:ascii="Calibri" w:hAnsi="Calibri" w:cstheme="minorHAnsi"/>
          <w:bCs/>
        </w:rPr>
        <w:t xml:space="preserve">e </w:t>
      </w:r>
      <w:r w:rsidR="00CF6F5E">
        <w:rPr>
          <w:rFonts w:ascii="Calibri" w:hAnsi="Calibri" w:cstheme="minorHAnsi"/>
          <w:bCs/>
        </w:rPr>
        <w:t xml:space="preserve">the Pilot Study and </w:t>
      </w:r>
      <w:r w:rsidR="00484805">
        <w:rPr>
          <w:rFonts w:ascii="Calibri" w:hAnsi="Calibri" w:cstheme="minorHAnsi"/>
          <w:bCs/>
        </w:rPr>
        <w:t>address</w:t>
      </w:r>
      <w:r w:rsidR="00F166BF">
        <w:rPr>
          <w:rFonts w:ascii="Calibri" w:hAnsi="Calibri" w:cstheme="minorHAnsi"/>
          <w:bCs/>
        </w:rPr>
        <w:t xml:space="preserve"> </w:t>
      </w:r>
      <w:r w:rsidR="00CF6F5E">
        <w:rPr>
          <w:rFonts w:ascii="Calibri" w:hAnsi="Calibri" w:cstheme="minorHAnsi"/>
          <w:bCs/>
        </w:rPr>
        <w:t xml:space="preserve">the remaining </w:t>
      </w:r>
      <w:r w:rsidR="00294EEC">
        <w:rPr>
          <w:rFonts w:ascii="Calibri" w:hAnsi="Calibri" w:cstheme="minorHAnsi"/>
          <w:bCs/>
        </w:rPr>
        <w:t>tasks</w:t>
      </w:r>
      <w:r w:rsidR="00CF6F5E">
        <w:rPr>
          <w:rFonts w:ascii="Calibri" w:hAnsi="Calibri" w:cstheme="minorHAnsi"/>
          <w:bCs/>
        </w:rPr>
        <w:t>.</w:t>
      </w:r>
      <w:r w:rsidR="00137346">
        <w:rPr>
          <w:rFonts w:ascii="Calibri" w:hAnsi="Calibri" w:cstheme="minorHAnsi"/>
          <w:bCs/>
        </w:rPr>
        <w:t xml:space="preserve">  </w:t>
      </w:r>
    </w:p>
    <w:p w:rsidR="00827E76" w14:paraId="789D8E02" w14:textId="77777777">
      <w:pPr>
        <w:rPr>
          <w:rFonts w:ascii="Calibri" w:hAnsi="Calibri" w:cstheme="minorHAnsi"/>
          <w:bCs/>
        </w:rPr>
      </w:pPr>
    </w:p>
    <w:p w:rsidR="00C6214C" w:rsidRPr="00610A7C" w:rsidP="00C6214C" w14:paraId="4F5DED91" w14:textId="77777777">
      <w:pPr>
        <w:rPr>
          <w:rFonts w:ascii="Calibri" w:hAnsi="Calibri" w:cstheme="minorHAnsi"/>
          <w:b/>
        </w:rPr>
      </w:pPr>
      <w:r w:rsidRPr="002912F7">
        <w:rPr>
          <w:rFonts w:ascii="Calibri" w:hAnsi="Calibri" w:cstheme="minorHAnsi"/>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w:t>
      </w:r>
      <w:r w:rsidRPr="00610A7C">
        <w:rPr>
          <w:rFonts w:ascii="Calibri" w:hAnsi="Calibri" w:cstheme="minorHAnsi"/>
          <w:b/>
        </w:rPr>
        <w:t>e. If the collection had been conducted previously, include the actual response rate achieved during the last collection.</w:t>
      </w:r>
    </w:p>
    <w:p w:rsidR="00654F00" w:rsidRPr="00610A7C" w:rsidP="00C6214C" w14:paraId="616FC3D7" w14:textId="77777777">
      <w:pPr>
        <w:rPr>
          <w:rFonts w:ascii="Calibri" w:hAnsi="Calibri" w:cstheme="minorHAnsi"/>
        </w:rPr>
      </w:pPr>
      <w:r w:rsidRPr="00610A7C">
        <w:rPr>
          <w:rFonts w:ascii="Calibri" w:hAnsi="Calibri" w:cstheme="minorHAnsi"/>
          <w:b/>
        </w:rPr>
        <w:t>Note:</w:t>
      </w:r>
      <w:r w:rsidRPr="00610A7C">
        <w:rPr>
          <w:rFonts w:ascii="Calibri" w:hAnsi="Calibri" w:cstheme="minorHAnsi"/>
        </w:rPr>
        <w:t xml:space="preserve"> response rate means: Of those in your respondent sample, from what percentage do you expect to get the required information (if this is not a mandatory collection). The non</w:t>
      </w:r>
      <w:r w:rsidRPr="00610A7C" w:rsidR="000706B4">
        <w:rPr>
          <w:rFonts w:ascii="Calibri" w:hAnsi="Calibri" w:cstheme="minorHAnsi"/>
        </w:rPr>
        <w:t>-</w:t>
      </w:r>
      <w:r w:rsidRPr="00610A7C">
        <w:rPr>
          <w:rFonts w:ascii="Calibri" w:hAnsi="Calibri" w:cstheme="minorHAnsi"/>
        </w:rPr>
        <w:t>respondents would include those you could not contact</w:t>
      </w:r>
      <w:r w:rsidR="00C30CF4">
        <w:rPr>
          <w:rFonts w:ascii="Calibri" w:hAnsi="Calibri" w:cstheme="minorHAnsi"/>
        </w:rPr>
        <w:t xml:space="preserve"> and those you contacted but </w:t>
      </w:r>
      <w:r w:rsidRPr="00610A7C">
        <w:rPr>
          <w:rFonts w:ascii="Calibri" w:hAnsi="Calibri" w:cstheme="minorHAnsi"/>
        </w:rPr>
        <w:t>refused to give the information.</w:t>
      </w:r>
    </w:p>
    <w:p w:rsidR="00894DFA" w:rsidRPr="00610A7C" w:rsidP="00894DFA" w14:paraId="17B90C17" w14:textId="77777777">
      <w:pPr>
        <w:rPr>
          <w:rFonts w:ascii="Calibri" w:hAnsi="Calibri" w:cstheme="minorHAnsi"/>
          <w:b/>
          <w:u w:val="single"/>
        </w:rPr>
      </w:pPr>
      <w:r w:rsidRPr="00610A7C">
        <w:rPr>
          <w:rFonts w:ascii="Calibri" w:hAnsi="Calibri" w:cstheme="minorHAnsi"/>
          <w:b/>
          <w:u w:val="single"/>
        </w:rPr>
        <w:t xml:space="preserve">Potential </w:t>
      </w:r>
      <w:r w:rsidR="00EF5F3B">
        <w:rPr>
          <w:rFonts w:ascii="Calibri" w:hAnsi="Calibri" w:cstheme="minorHAnsi"/>
          <w:b/>
          <w:u w:val="single"/>
        </w:rPr>
        <w:t>Respondent</w:t>
      </w:r>
      <w:r w:rsidRPr="00610A7C">
        <w:rPr>
          <w:rFonts w:ascii="Calibri" w:hAnsi="Calibri" w:cstheme="minorHAnsi"/>
          <w:b/>
          <w:u w:val="single"/>
        </w:rPr>
        <w:t xml:space="preserve"> Universe</w:t>
      </w:r>
    </w:p>
    <w:p w:rsidR="00894DFA" w:rsidRPr="00610A7C" w:rsidP="00894DFA" w14:paraId="311180EF" w14:textId="77777777">
      <w:pPr>
        <w:rPr>
          <w:rFonts w:ascii="Calibri" w:hAnsi="Calibri" w:cstheme="minorHAnsi"/>
        </w:rPr>
      </w:pPr>
      <w:r w:rsidRPr="00610A7C">
        <w:rPr>
          <w:rFonts w:ascii="Calibri" w:hAnsi="Calibri" w:cstheme="minorHAnsi"/>
        </w:rPr>
        <w:t xml:space="preserve">The OSHA On-Site Consultation Program </w:t>
      </w:r>
      <w:r>
        <w:rPr>
          <w:rStyle w:val="FootnoteReference"/>
          <w:rFonts w:ascii="Calibri" w:hAnsi="Calibri" w:cstheme="minorHAnsi"/>
        </w:rPr>
        <w:footnoteReference w:id="3"/>
      </w:r>
      <w:r w:rsidRPr="00610A7C">
        <w:rPr>
          <w:rFonts w:ascii="Calibri" w:hAnsi="Calibri" w:cstheme="minorHAnsi"/>
        </w:rPr>
        <w:t xml:space="preserve">is administered by the Agency’s Directorate of Cooperative and State Programs (DCSP), Office of Small Business Assistance (OSBA).  OSHA provides guidance to </w:t>
      </w:r>
      <w:r w:rsidR="00DB6B6F">
        <w:rPr>
          <w:rFonts w:ascii="Calibri" w:hAnsi="Calibri" w:cstheme="minorHAnsi"/>
        </w:rPr>
        <w:t>s</w:t>
      </w:r>
      <w:r w:rsidRPr="00610A7C">
        <w:rPr>
          <w:rFonts w:ascii="Calibri" w:hAnsi="Calibri" w:cstheme="minorHAnsi"/>
        </w:rPr>
        <w:t>tate</w:t>
      </w:r>
      <w:r>
        <w:rPr>
          <w:rStyle w:val="FootnoteReference"/>
          <w:rFonts w:ascii="Calibri" w:hAnsi="Calibri" w:cstheme="minorHAnsi"/>
        </w:rPr>
        <w:footnoteReference w:id="4"/>
      </w:r>
      <w:r w:rsidRPr="00610A7C">
        <w:rPr>
          <w:rFonts w:ascii="Calibri" w:hAnsi="Calibri" w:cstheme="minorHAnsi"/>
        </w:rPr>
        <w:t xml:space="preserve"> </w:t>
      </w:r>
      <w:r w:rsidR="00C30CF4">
        <w:rPr>
          <w:rFonts w:ascii="Calibri" w:hAnsi="Calibri" w:cstheme="minorHAnsi"/>
        </w:rPr>
        <w:t>On-site consultation programs through the OSHA Consultation Policies and Procedures Manual (</w:t>
      </w:r>
      <w:hyperlink r:id="rId9" w:history="1">
        <w:r w:rsidRPr="00F36DAD" w:rsidR="00C30CF4">
          <w:rPr>
            <w:rStyle w:val="Hyperlink"/>
            <w:rFonts w:ascii="Calibri" w:hAnsi="Calibri" w:cstheme="minorHAnsi"/>
          </w:rPr>
          <w:t>CPPM</w:t>
        </w:r>
      </w:hyperlink>
      <w:r w:rsidR="00C30CF4">
        <w:rPr>
          <w:rFonts w:ascii="Calibri" w:hAnsi="Calibri" w:cstheme="minorHAnsi"/>
        </w:rPr>
        <w:t>),</w:t>
      </w:r>
      <w:r w:rsidR="00CC51B5">
        <w:rPr>
          <w:rFonts w:ascii="Calibri" w:hAnsi="Calibri" w:cstheme="minorHAnsi"/>
        </w:rPr>
        <w:t xml:space="preserve"> </w:t>
      </w:r>
      <w:r w:rsidR="00C30CF4">
        <w:rPr>
          <w:rFonts w:ascii="Calibri" w:hAnsi="Calibri" w:cstheme="minorHAnsi"/>
        </w:rPr>
        <w:t xml:space="preserve">CSP 02-00-005, </w:t>
      </w:r>
      <w:r w:rsidR="00CC51B5">
        <w:rPr>
          <w:rFonts w:ascii="Calibri" w:hAnsi="Calibri" w:cstheme="minorHAnsi"/>
        </w:rPr>
        <w:t>September 29</w:t>
      </w:r>
      <w:r w:rsidR="00C30CF4">
        <w:rPr>
          <w:rFonts w:ascii="Calibri" w:hAnsi="Calibri" w:cstheme="minorHAnsi"/>
        </w:rPr>
        <w:t>, 2023. The CPPM complies with the requirements of 29 CFR 1908 to specify the framework for administering and managing the OSHA On-Site Consultation Program and</w:t>
      </w:r>
      <w:r w:rsidRPr="00610A7C">
        <w:rPr>
          <w:rFonts w:ascii="Calibri" w:hAnsi="Calibri" w:cstheme="minorHAnsi"/>
        </w:rPr>
        <w:t xml:space="preserve"> establish policies and procedures.    </w:t>
      </w:r>
    </w:p>
    <w:p w:rsidR="00562657" w:rsidP="00562657" w14:paraId="078C1B9B" w14:textId="77777777">
      <w:pPr>
        <w:rPr>
          <w:rFonts w:ascii="Calibri" w:hAnsi="Calibri" w:cstheme="minorHAnsi"/>
        </w:rPr>
      </w:pPr>
      <w:r w:rsidRPr="00610A7C">
        <w:rPr>
          <w:rFonts w:ascii="Calibri" w:hAnsi="Calibri" w:cstheme="minorHAnsi"/>
        </w:rPr>
        <w:t>29 CFR Part 1908, Consultation Agreements, contains requirements for Cooperative Agreements between states and the federal Occupational Safety and Health Administration (OSHA) under sections 21(c) of the Occupational Safety and Health Act of 1970 (the Act; 29 U.S.C. 651 et seq.) and section 21(d), the OSHA Compliance Assistance Authorization Act of 1998 (which amends the Act)</w:t>
      </w:r>
      <w:r w:rsidR="007A4FCB">
        <w:rPr>
          <w:rFonts w:ascii="Calibri" w:hAnsi="Calibri" w:cstheme="minorHAnsi"/>
        </w:rPr>
        <w:t>,</w:t>
      </w:r>
      <w:r w:rsidRPr="00610A7C">
        <w:rPr>
          <w:rFonts w:ascii="Calibri" w:hAnsi="Calibri" w:cstheme="minorHAnsi"/>
        </w:rPr>
        <w:t xml:space="preserve"> under which OSHA will utilize state personnel (consultants) to provide consultative services to </w:t>
      </w:r>
      <w:r w:rsidR="00AF611B">
        <w:rPr>
          <w:rFonts w:ascii="Calibri" w:hAnsi="Calibri" w:cstheme="minorHAnsi"/>
        </w:rPr>
        <w:t xml:space="preserve">small- and medium-sized </w:t>
      </w:r>
      <w:r w:rsidRPr="00610A7C">
        <w:rPr>
          <w:rFonts w:ascii="Calibri" w:hAnsi="Calibri" w:cstheme="minorHAnsi"/>
        </w:rPr>
        <w:t>employers</w:t>
      </w:r>
      <w:r w:rsidR="00F462A7">
        <w:rPr>
          <w:rFonts w:ascii="Calibri" w:hAnsi="Calibri" w:cstheme="minorHAnsi"/>
        </w:rPr>
        <w:t xml:space="preserve"> or </w:t>
      </w:r>
      <w:r w:rsidR="00E5462D">
        <w:rPr>
          <w:rFonts w:ascii="Calibri" w:hAnsi="Calibri" w:cstheme="minorHAnsi"/>
        </w:rPr>
        <w:t>businesses</w:t>
      </w:r>
      <w:r w:rsidRPr="00610A7C">
        <w:rPr>
          <w:rFonts w:ascii="Calibri" w:hAnsi="Calibri" w:cstheme="minorHAnsi"/>
        </w:rPr>
        <w:t>, through the On-Site Consultation program</w:t>
      </w:r>
      <w:r w:rsidR="00AF611B">
        <w:rPr>
          <w:rFonts w:ascii="Calibri" w:hAnsi="Calibri" w:cstheme="minorHAnsi"/>
        </w:rPr>
        <w:t>s</w:t>
      </w:r>
      <w:r w:rsidRPr="00610A7C">
        <w:rPr>
          <w:rFonts w:ascii="Calibri" w:hAnsi="Calibri" w:cstheme="minorHAnsi"/>
        </w:rPr>
        <w:t xml:space="preserve"> established by U.S. states and territories. </w:t>
      </w:r>
      <w:r w:rsidR="00E5462D">
        <w:rPr>
          <w:rFonts w:ascii="Calibri" w:hAnsi="Calibri" w:cstheme="minorHAnsi"/>
        </w:rPr>
        <w:t xml:space="preserve"> </w:t>
      </w:r>
      <w:r w:rsidRPr="00A777B7" w:rsidR="00A777B7">
        <w:rPr>
          <w:rFonts w:ascii="Calibri" w:hAnsi="Calibri" w:cstheme="minorHAnsi"/>
        </w:rPr>
        <w:t xml:space="preserve">The On-Site Consultation Program is </w:t>
      </w:r>
      <w:r w:rsidR="005A34AC">
        <w:rPr>
          <w:rFonts w:ascii="Calibri" w:hAnsi="Calibri" w:cstheme="minorHAnsi"/>
        </w:rPr>
        <w:t>designed to provide small- and medium-sized businesses with occupational safety and health services</w:t>
      </w:r>
      <w:r w:rsidRPr="00A777B7" w:rsidR="00A777B7">
        <w:rPr>
          <w:rFonts w:ascii="Calibri" w:hAnsi="Calibri" w:cstheme="minorHAnsi"/>
        </w:rPr>
        <w:t>.  OSHA e</w:t>
      </w:r>
      <w:r w:rsidR="00E5462D">
        <w:rPr>
          <w:rFonts w:ascii="Calibri" w:hAnsi="Calibri" w:cstheme="minorHAnsi"/>
        </w:rPr>
        <w:t>ncourages larger sized businesses</w:t>
      </w:r>
      <w:r w:rsidRPr="00A777B7" w:rsidR="00A777B7">
        <w:rPr>
          <w:rFonts w:ascii="Calibri" w:hAnsi="Calibri" w:cstheme="minorHAnsi"/>
        </w:rPr>
        <w:t xml:space="preserve"> to implement effective </w:t>
      </w:r>
      <w:r w:rsidR="00E5462D">
        <w:rPr>
          <w:rFonts w:ascii="Calibri" w:hAnsi="Calibri" w:cstheme="minorHAnsi"/>
        </w:rPr>
        <w:t xml:space="preserve">Safety and Health </w:t>
      </w:r>
      <w:r w:rsidR="00C07414">
        <w:rPr>
          <w:rFonts w:ascii="Calibri" w:hAnsi="Calibri" w:cstheme="minorHAnsi"/>
        </w:rPr>
        <w:t xml:space="preserve">Management </w:t>
      </w:r>
      <w:r w:rsidR="00E5462D">
        <w:rPr>
          <w:rFonts w:ascii="Calibri" w:hAnsi="Calibri" w:cstheme="minorHAnsi"/>
        </w:rPr>
        <w:t>Programs (</w:t>
      </w:r>
      <w:r w:rsidRPr="00A777B7" w:rsidR="00A777B7">
        <w:rPr>
          <w:rFonts w:ascii="Calibri" w:hAnsi="Calibri" w:cstheme="minorHAnsi"/>
        </w:rPr>
        <w:t>SH</w:t>
      </w:r>
      <w:r w:rsidR="00C07414">
        <w:rPr>
          <w:rFonts w:ascii="Calibri" w:hAnsi="Calibri" w:cstheme="minorHAnsi"/>
        </w:rPr>
        <w:t>M</w:t>
      </w:r>
      <w:r w:rsidRPr="00A777B7" w:rsidR="00A777B7">
        <w:rPr>
          <w:rFonts w:ascii="Calibri" w:hAnsi="Calibri" w:cstheme="minorHAnsi"/>
        </w:rPr>
        <w:t>Ps</w:t>
      </w:r>
      <w:r w:rsidR="00E5462D">
        <w:rPr>
          <w:rFonts w:ascii="Calibri" w:hAnsi="Calibri" w:cstheme="minorHAnsi"/>
        </w:rPr>
        <w:t>)</w:t>
      </w:r>
      <w:r w:rsidRPr="00A777B7" w:rsidR="00A777B7">
        <w:rPr>
          <w:rFonts w:ascii="Calibri" w:hAnsi="Calibri" w:cstheme="minorHAnsi"/>
        </w:rPr>
        <w:t xml:space="preserve"> through the </w:t>
      </w:r>
      <w:hyperlink r:id="rId10" w:history="1">
        <w:r w:rsidRPr="00FF430F" w:rsidR="00A777B7">
          <w:rPr>
            <w:rStyle w:val="Hyperlink"/>
            <w:rFonts w:ascii="Calibri" w:hAnsi="Calibri" w:cstheme="minorHAnsi"/>
          </w:rPr>
          <w:t>Voluntary Protection Programs</w:t>
        </w:r>
      </w:hyperlink>
      <w:r w:rsidRPr="00A777B7" w:rsidR="00A777B7">
        <w:rPr>
          <w:rFonts w:ascii="Calibri" w:hAnsi="Calibri" w:cstheme="minorHAnsi"/>
        </w:rPr>
        <w:t>.</w:t>
      </w:r>
      <w:r w:rsidR="00A777B7">
        <w:rPr>
          <w:rFonts w:ascii="Calibri" w:hAnsi="Calibri" w:cstheme="minorHAnsi"/>
        </w:rPr>
        <w:t xml:space="preserve"> </w:t>
      </w:r>
      <w:r w:rsidRPr="00610A7C">
        <w:rPr>
          <w:rFonts w:ascii="Calibri" w:hAnsi="Calibri" w:cstheme="minorHAnsi"/>
        </w:rPr>
        <w:t xml:space="preserve"> </w:t>
      </w:r>
    </w:p>
    <w:p w:rsidR="00827E76" w:rsidP="00827E76" w14:paraId="250BC76D" w14:textId="77777777">
      <w:pPr>
        <w:rPr>
          <w:rFonts w:ascii="Calibri" w:hAnsi="Calibri" w:cstheme="minorHAnsi"/>
        </w:rPr>
      </w:pPr>
      <w:r w:rsidRPr="00610A7C">
        <w:rPr>
          <w:rFonts w:ascii="Calibri" w:hAnsi="Calibri" w:cstheme="minorHAnsi"/>
        </w:rPr>
        <w:t xml:space="preserve">The Consultation Annual Program Plan (CAPP) is a requirement of the annual Cooperative Agreement between OSHA and each state On-Site Consultation program.  The CAPP must include the projected number of the different types of consultation services that the Consultation program intends to conduct during the fiscal year </w:t>
      </w:r>
      <w:r w:rsidR="003B5C38">
        <w:rPr>
          <w:rFonts w:ascii="Calibri" w:hAnsi="Calibri" w:cstheme="minorHAnsi"/>
        </w:rPr>
        <w:t>(</w:t>
      </w:r>
      <w:r w:rsidRPr="00610A7C">
        <w:rPr>
          <w:rFonts w:ascii="Calibri" w:hAnsi="Calibri" w:cstheme="minorHAnsi"/>
        </w:rPr>
        <w:t>(FY</w:t>
      </w:r>
      <w:r>
        <w:rPr>
          <w:rFonts w:ascii="Calibri" w:hAnsi="Calibri" w:cstheme="minorHAnsi"/>
        </w:rPr>
        <w:t>)</w:t>
      </w:r>
      <w:r w:rsidRPr="00610A7C">
        <w:rPr>
          <w:rFonts w:ascii="Calibri" w:hAnsi="Calibri" w:cstheme="minorHAnsi"/>
        </w:rPr>
        <w:t>; e.g., consultation visits, compliance assistance activities, training).</w:t>
      </w:r>
      <w:r>
        <w:rPr>
          <w:rFonts w:ascii="Calibri" w:hAnsi="Calibri" w:cstheme="minorHAnsi"/>
        </w:rPr>
        <w:t xml:space="preserve">  </w:t>
      </w:r>
      <w:r w:rsidRPr="00EF5F3B">
        <w:rPr>
          <w:rFonts w:ascii="Calibri" w:hAnsi="Calibri" w:cstheme="minorHAnsi"/>
        </w:rPr>
        <w:t xml:space="preserve">The activities conducted by state Consultation programs </w:t>
      </w:r>
      <w:r w:rsidR="00C07414">
        <w:rPr>
          <w:rFonts w:ascii="Calibri" w:hAnsi="Calibri" w:cstheme="minorHAnsi"/>
        </w:rPr>
        <w:t>for the Pilot Study</w:t>
      </w:r>
      <w:r w:rsidR="00070A6D">
        <w:rPr>
          <w:rFonts w:ascii="Calibri" w:hAnsi="Calibri" w:cstheme="minorHAnsi"/>
        </w:rPr>
        <w:t xml:space="preserve">, </w:t>
      </w:r>
      <w:r w:rsidR="00C07414">
        <w:rPr>
          <w:rFonts w:ascii="Calibri" w:hAnsi="Calibri" w:cstheme="minorHAnsi"/>
        </w:rPr>
        <w:t xml:space="preserve">i.e., </w:t>
      </w:r>
      <w:r w:rsidRPr="00EF5F3B">
        <w:rPr>
          <w:rFonts w:ascii="Calibri" w:hAnsi="Calibri" w:cstheme="minorHAnsi"/>
        </w:rPr>
        <w:t xml:space="preserve">the pre-test, </w:t>
      </w:r>
      <w:r w:rsidR="00C07414">
        <w:rPr>
          <w:rFonts w:ascii="Calibri" w:hAnsi="Calibri" w:cstheme="minorHAnsi"/>
        </w:rPr>
        <w:t xml:space="preserve">consultation visits during which comprehensive safety and health program assessments are conducted, </w:t>
      </w:r>
      <w:r>
        <w:rPr>
          <w:rFonts w:ascii="Calibri" w:hAnsi="Calibri" w:cstheme="minorHAnsi"/>
        </w:rPr>
        <w:t>Prospective Analysis</w:t>
      </w:r>
      <w:r w:rsidRPr="00EF5F3B">
        <w:rPr>
          <w:rFonts w:ascii="Calibri" w:hAnsi="Calibri" w:cstheme="minorHAnsi"/>
        </w:rPr>
        <w:t xml:space="preserve">, </w:t>
      </w:r>
      <w:r w:rsidR="00486701">
        <w:rPr>
          <w:rFonts w:ascii="Calibri" w:hAnsi="Calibri" w:cstheme="minorHAnsi"/>
        </w:rPr>
        <w:t xml:space="preserve">data analyses, </w:t>
      </w:r>
      <w:r w:rsidRPr="00EF5F3B">
        <w:rPr>
          <w:rFonts w:ascii="Calibri" w:hAnsi="Calibri" w:cstheme="minorHAnsi"/>
        </w:rPr>
        <w:t xml:space="preserve">and </w:t>
      </w:r>
      <w:r>
        <w:rPr>
          <w:rFonts w:ascii="Calibri" w:hAnsi="Calibri" w:cstheme="minorHAnsi"/>
        </w:rPr>
        <w:t>follow-up study</w:t>
      </w:r>
      <w:r w:rsidR="005A34AC">
        <w:rPr>
          <w:rFonts w:ascii="Calibri" w:hAnsi="Calibri" w:cstheme="minorHAnsi"/>
        </w:rPr>
        <w:t>,</w:t>
      </w:r>
      <w:r w:rsidRPr="00EF5F3B">
        <w:rPr>
          <w:rFonts w:ascii="Calibri" w:hAnsi="Calibri" w:cstheme="minorHAnsi"/>
        </w:rPr>
        <w:t xml:space="preserve"> will count towards meeting the projected number of consultative services in </w:t>
      </w:r>
      <w:r>
        <w:rPr>
          <w:rFonts w:ascii="Calibri" w:hAnsi="Calibri" w:cstheme="minorHAnsi"/>
        </w:rPr>
        <w:t>the CAPP</w:t>
      </w:r>
      <w:r w:rsidRPr="00EF5F3B">
        <w:rPr>
          <w:rFonts w:ascii="Calibri" w:hAnsi="Calibri" w:cstheme="minorHAnsi"/>
        </w:rPr>
        <w:t>.</w:t>
      </w:r>
    </w:p>
    <w:p w:rsidR="00A12F21" w:rsidRPr="00610A7C" w:rsidP="00562657" w14:paraId="4FEE6A54" w14:textId="77777777">
      <w:pPr>
        <w:rPr>
          <w:rFonts w:ascii="Calibri" w:hAnsi="Calibri" w:cstheme="minorHAnsi"/>
        </w:rPr>
      </w:pPr>
      <w:r>
        <w:rPr>
          <w:rFonts w:ascii="Calibri" w:hAnsi="Calibri" w:cstheme="minorHAnsi"/>
        </w:rPr>
        <w:t>As required by the Cooperative Agreement between OSHA and the states, e</w:t>
      </w:r>
      <w:r w:rsidRPr="00610A7C">
        <w:rPr>
          <w:rFonts w:ascii="Calibri" w:hAnsi="Calibri" w:cstheme="minorHAnsi"/>
        </w:rPr>
        <w:t xml:space="preserve">ach </w:t>
      </w:r>
      <w:r>
        <w:rPr>
          <w:rFonts w:ascii="Calibri" w:hAnsi="Calibri" w:cstheme="minorHAnsi"/>
        </w:rPr>
        <w:t>state</w:t>
      </w:r>
      <w:r w:rsidRPr="00610A7C">
        <w:rPr>
          <w:rFonts w:ascii="Calibri" w:hAnsi="Calibri" w:cstheme="minorHAnsi"/>
        </w:rPr>
        <w:t xml:space="preserve"> Consultation program </w:t>
      </w:r>
      <w:r>
        <w:rPr>
          <w:rFonts w:ascii="Calibri" w:hAnsi="Calibri" w:cstheme="minorHAnsi"/>
        </w:rPr>
        <w:t>will</w:t>
      </w:r>
      <w:r w:rsidRPr="00610A7C">
        <w:rPr>
          <w:rFonts w:ascii="Calibri" w:hAnsi="Calibri" w:cstheme="minorHAnsi"/>
        </w:rPr>
        <w:t xml:space="preserve"> maintain at least two consultants in the safety discipline and two consultants in the health discipline, to provide no-cost consultative services to small- and medium-sized businesses nationwide (i.e., 50 states and U.S. territories).</w:t>
      </w:r>
      <w:r>
        <w:rPr>
          <w:rFonts w:ascii="Calibri" w:hAnsi="Calibri" w:cstheme="minorHAnsi"/>
        </w:rPr>
        <w:t xml:space="preserve">  </w:t>
      </w:r>
      <w:r w:rsidRPr="00610A7C">
        <w:rPr>
          <w:rFonts w:ascii="Calibri" w:hAnsi="Calibri" w:cstheme="minorHAnsi"/>
        </w:rPr>
        <w:t xml:space="preserve">A minimum of 200 consultants (i.e., respondents) from state On-Site Consultation programs nationwide are estimated to participate in the </w:t>
      </w:r>
      <w:r>
        <w:rPr>
          <w:rFonts w:ascii="Calibri" w:hAnsi="Calibri" w:cstheme="minorHAnsi"/>
        </w:rPr>
        <w:t>Pilot</w:t>
      </w:r>
      <w:r w:rsidR="00070A6D">
        <w:rPr>
          <w:rFonts w:ascii="Calibri" w:hAnsi="Calibri" w:cstheme="minorHAnsi"/>
        </w:rPr>
        <w:t xml:space="preserve"> Study</w:t>
      </w:r>
      <w:r w:rsidRPr="00610A7C">
        <w:rPr>
          <w:rFonts w:ascii="Calibri" w:hAnsi="Calibri" w:cstheme="minorHAnsi"/>
        </w:rPr>
        <w:t xml:space="preserve">.  Consultants participating in the </w:t>
      </w:r>
      <w:r>
        <w:rPr>
          <w:rFonts w:ascii="Calibri" w:hAnsi="Calibri" w:cstheme="minorHAnsi"/>
        </w:rPr>
        <w:t>studies</w:t>
      </w:r>
      <w:r w:rsidRPr="00610A7C">
        <w:rPr>
          <w:rFonts w:ascii="Calibri" w:hAnsi="Calibri" w:cstheme="minorHAnsi"/>
        </w:rPr>
        <w:t xml:space="preserve"> </w:t>
      </w:r>
      <w:r w:rsidR="00FB1ACE">
        <w:rPr>
          <w:rFonts w:ascii="Calibri" w:hAnsi="Calibri" w:cstheme="minorHAnsi"/>
        </w:rPr>
        <w:t>are</w:t>
      </w:r>
      <w:r w:rsidRPr="00610A7C">
        <w:rPr>
          <w:rFonts w:ascii="Calibri" w:hAnsi="Calibri" w:cstheme="minorHAnsi"/>
        </w:rPr>
        <w:t xml:space="preserve"> from the general pool of trained consultants.  </w:t>
      </w:r>
    </w:p>
    <w:p w:rsidR="0078174B" w:rsidRPr="00610A7C" w:rsidP="0078174B" w14:paraId="0871E82B" w14:textId="77777777">
      <w:pPr>
        <w:rPr>
          <w:rFonts w:ascii="Calibri" w:hAnsi="Calibri" w:cstheme="minorHAnsi"/>
        </w:rPr>
      </w:pPr>
      <w:r w:rsidRPr="00610A7C">
        <w:rPr>
          <w:rFonts w:ascii="Calibri" w:hAnsi="Calibri" w:cstheme="minorHAnsi"/>
        </w:rPr>
        <w:t xml:space="preserve">Employers can voluntarily contact their </w:t>
      </w:r>
      <w:r w:rsidR="00FA35F8">
        <w:rPr>
          <w:rFonts w:ascii="Calibri" w:hAnsi="Calibri" w:cstheme="minorHAnsi"/>
        </w:rPr>
        <w:t>s</w:t>
      </w:r>
      <w:r w:rsidRPr="00610A7C">
        <w:rPr>
          <w:rFonts w:ascii="Calibri" w:hAnsi="Calibri" w:cstheme="minorHAnsi"/>
        </w:rPr>
        <w:t xml:space="preserve">tate On-Site Consultation program to request no-cost consultative services provided by consultants to assist with improving occupational safety and health conditions.  On-Site Consultation programs located within state agencies or universities employ consultants to provide consultative services to employers, off-site or on-site at their workplaces.  These include consultation visits at workplaces </w:t>
      </w:r>
      <w:r w:rsidR="0046575B">
        <w:rPr>
          <w:rFonts w:ascii="Calibri" w:hAnsi="Calibri" w:cstheme="minorHAnsi"/>
        </w:rPr>
        <w:t>that</w:t>
      </w:r>
      <w:r w:rsidRPr="00610A7C" w:rsidR="0046575B">
        <w:rPr>
          <w:rFonts w:ascii="Calibri" w:hAnsi="Calibri" w:cstheme="minorHAnsi"/>
        </w:rPr>
        <w:t xml:space="preserve"> </w:t>
      </w:r>
      <w:r w:rsidRPr="00610A7C">
        <w:rPr>
          <w:rFonts w:ascii="Calibri" w:hAnsi="Calibri" w:cstheme="minorHAnsi"/>
        </w:rPr>
        <w:t xml:space="preserve">involve hazard assessments, safety and health program (SHP) assessments, and/or training.  </w:t>
      </w:r>
    </w:p>
    <w:p w:rsidR="007F5BF0" w:rsidP="00894DFA" w14:paraId="14E47052" w14:textId="77777777">
      <w:pPr>
        <w:rPr>
          <w:rFonts w:ascii="Calibri" w:hAnsi="Calibri" w:cstheme="minorHAnsi"/>
        </w:rPr>
      </w:pPr>
      <w:r w:rsidRPr="00EF5F3B">
        <w:rPr>
          <w:rFonts w:ascii="Calibri" w:hAnsi="Calibri" w:cstheme="minorHAnsi"/>
        </w:rPr>
        <w:t xml:space="preserve">Consultation visits </w:t>
      </w:r>
      <w:r>
        <w:rPr>
          <w:rFonts w:ascii="Calibri" w:hAnsi="Calibri" w:cstheme="minorHAnsi"/>
        </w:rPr>
        <w:t>for the</w:t>
      </w:r>
      <w:r w:rsidR="00070A6D">
        <w:rPr>
          <w:rFonts w:ascii="Calibri" w:hAnsi="Calibri" w:cstheme="minorHAnsi"/>
        </w:rPr>
        <w:t xml:space="preserve"> </w:t>
      </w:r>
      <w:r w:rsidR="007C5643">
        <w:rPr>
          <w:rFonts w:ascii="Calibri" w:hAnsi="Calibri" w:cstheme="minorHAnsi"/>
        </w:rPr>
        <w:t xml:space="preserve">Pilot Study are </w:t>
      </w:r>
      <w:r w:rsidRPr="00EF5F3B">
        <w:rPr>
          <w:rFonts w:ascii="Calibri" w:hAnsi="Calibri" w:cstheme="minorHAnsi"/>
        </w:rPr>
        <w:t xml:space="preserve">conducted by consultants </w:t>
      </w:r>
      <w:r w:rsidR="002874B2">
        <w:rPr>
          <w:rFonts w:ascii="Calibri" w:hAnsi="Calibri" w:cstheme="minorHAnsi"/>
        </w:rPr>
        <w:t xml:space="preserve">at workplaces </w:t>
      </w:r>
      <w:r w:rsidR="00070A6D">
        <w:rPr>
          <w:rFonts w:ascii="Calibri" w:hAnsi="Calibri" w:cstheme="minorHAnsi"/>
        </w:rPr>
        <w:t>where</w:t>
      </w:r>
      <w:r w:rsidR="002874B2">
        <w:rPr>
          <w:rFonts w:ascii="Calibri" w:hAnsi="Calibri" w:cstheme="minorHAnsi"/>
        </w:rPr>
        <w:t xml:space="preserve"> </w:t>
      </w:r>
      <w:r w:rsidRPr="00EF5F3B">
        <w:rPr>
          <w:rFonts w:ascii="Calibri" w:hAnsi="Calibri" w:cstheme="minorHAnsi"/>
        </w:rPr>
        <w:t xml:space="preserve">employers </w:t>
      </w:r>
      <w:r w:rsidR="00AF611B">
        <w:rPr>
          <w:rFonts w:ascii="Calibri" w:hAnsi="Calibri" w:cstheme="minorHAnsi"/>
        </w:rPr>
        <w:t xml:space="preserve">voluntarily </w:t>
      </w:r>
      <w:r w:rsidRPr="00EF5F3B">
        <w:rPr>
          <w:rFonts w:ascii="Calibri" w:hAnsi="Calibri" w:cstheme="minorHAnsi"/>
        </w:rPr>
        <w:t xml:space="preserve">request </w:t>
      </w:r>
      <w:r w:rsidR="00FA35F8">
        <w:rPr>
          <w:rFonts w:ascii="Calibri" w:hAnsi="Calibri" w:cstheme="minorHAnsi"/>
        </w:rPr>
        <w:t>such services</w:t>
      </w:r>
      <w:r w:rsidRPr="00EF5F3B">
        <w:rPr>
          <w:rFonts w:ascii="Calibri" w:hAnsi="Calibri" w:cstheme="minorHAnsi"/>
        </w:rPr>
        <w:t xml:space="preserve"> from state On-Site Consultation programs.  </w:t>
      </w:r>
      <w:r w:rsidRPr="00610A7C" w:rsidR="00B10AA5">
        <w:rPr>
          <w:rFonts w:ascii="Calibri" w:hAnsi="Calibri" w:cstheme="minorHAnsi"/>
        </w:rPr>
        <w:t xml:space="preserve">Consultation programs nationwide typically complete more than 20,000 consultation visits </w:t>
      </w:r>
      <w:r w:rsidRPr="00610A7C" w:rsidR="00561FF6">
        <w:rPr>
          <w:rFonts w:ascii="Calibri" w:hAnsi="Calibri" w:cstheme="minorHAnsi"/>
        </w:rPr>
        <w:t>each FY</w:t>
      </w:r>
      <w:r w:rsidRPr="00610A7C" w:rsidR="00B10AA5">
        <w:rPr>
          <w:rFonts w:ascii="Calibri" w:hAnsi="Calibri" w:cstheme="minorHAnsi"/>
        </w:rPr>
        <w:t xml:space="preserve"> (</w:t>
      </w:r>
      <w:r w:rsidRPr="00610A7C" w:rsidR="00486701">
        <w:rPr>
          <w:rFonts w:ascii="Calibri" w:hAnsi="Calibri" w:cstheme="minorHAnsi"/>
        </w:rPr>
        <w:t>except for</w:t>
      </w:r>
      <w:r w:rsidRPr="00610A7C" w:rsidR="00B10AA5">
        <w:rPr>
          <w:rFonts w:ascii="Calibri" w:hAnsi="Calibri" w:cstheme="minorHAnsi"/>
        </w:rPr>
        <w:t xml:space="preserve"> </w:t>
      </w:r>
      <w:r w:rsidRPr="00610A7C" w:rsidR="00562657">
        <w:rPr>
          <w:rFonts w:ascii="Calibri" w:hAnsi="Calibri" w:cstheme="minorHAnsi"/>
        </w:rPr>
        <w:t xml:space="preserve">FY </w:t>
      </w:r>
      <w:r w:rsidRPr="00610A7C" w:rsidR="00B10AA5">
        <w:rPr>
          <w:rFonts w:ascii="Calibri" w:hAnsi="Calibri" w:cstheme="minorHAnsi"/>
        </w:rPr>
        <w:t xml:space="preserve">2020 due to </w:t>
      </w:r>
      <w:r w:rsidR="00C3419A">
        <w:rPr>
          <w:rFonts w:ascii="Calibri" w:hAnsi="Calibri" w:cstheme="minorHAnsi"/>
        </w:rPr>
        <w:t xml:space="preserve">the </w:t>
      </w:r>
      <w:r w:rsidR="005A34AC">
        <w:rPr>
          <w:rFonts w:ascii="Calibri" w:hAnsi="Calibri" w:cstheme="minorHAnsi"/>
        </w:rPr>
        <w:t>impact of the COVID-19 pandemic</w:t>
      </w:r>
      <w:r w:rsidRPr="00610A7C" w:rsidR="00B10AA5">
        <w:rPr>
          <w:rFonts w:ascii="Calibri" w:hAnsi="Calibri" w:cstheme="minorHAnsi"/>
        </w:rPr>
        <w:t>).</w:t>
      </w:r>
      <w:r w:rsidRPr="00610A7C" w:rsidR="00894DFA">
        <w:rPr>
          <w:rFonts w:ascii="Calibri" w:hAnsi="Calibri" w:cstheme="minorHAnsi"/>
        </w:rPr>
        <w:t xml:space="preserve"> </w:t>
      </w:r>
      <w:r>
        <w:rPr>
          <w:rFonts w:ascii="Calibri" w:hAnsi="Calibri" w:cstheme="minorHAnsi"/>
        </w:rPr>
        <w:t xml:space="preserve">  Therefore, </w:t>
      </w:r>
      <w:r w:rsidRPr="004B3258">
        <w:rPr>
          <w:rFonts w:ascii="Calibri" w:hAnsi="Calibri" w:cstheme="minorHAnsi"/>
          <w:b/>
        </w:rPr>
        <w:t>the potential respondent</w:t>
      </w:r>
      <w:r>
        <w:rPr>
          <w:rStyle w:val="FootnoteReference"/>
          <w:rFonts w:ascii="Calibri" w:hAnsi="Calibri" w:cstheme="minorHAnsi"/>
          <w:b/>
        </w:rPr>
        <w:footnoteReference w:id="5"/>
      </w:r>
      <w:r w:rsidRPr="004B3258">
        <w:rPr>
          <w:rFonts w:ascii="Calibri" w:hAnsi="Calibri" w:cstheme="minorHAnsi"/>
          <w:b/>
        </w:rPr>
        <w:t xml:space="preserve"> universe</w:t>
      </w:r>
      <w:r w:rsidR="00AD2706">
        <w:rPr>
          <w:rFonts w:ascii="Calibri" w:hAnsi="Calibri" w:cstheme="minorHAnsi"/>
          <w:b/>
        </w:rPr>
        <w:t xml:space="preserve"> of employers for the Pilot Study</w:t>
      </w:r>
      <w:r w:rsidRPr="004B3258">
        <w:rPr>
          <w:rFonts w:ascii="Calibri" w:hAnsi="Calibri" w:cstheme="minorHAnsi"/>
          <w:b/>
        </w:rPr>
        <w:t xml:space="preserve"> </w:t>
      </w:r>
      <w:r>
        <w:rPr>
          <w:rFonts w:ascii="Calibri" w:hAnsi="Calibri" w:cstheme="minorHAnsi"/>
        </w:rPr>
        <w:t xml:space="preserve">comprise </w:t>
      </w:r>
      <w:r w:rsidR="00AF611B">
        <w:rPr>
          <w:rFonts w:ascii="Calibri" w:hAnsi="Calibri" w:cstheme="minorHAnsi"/>
        </w:rPr>
        <w:t>small- and medium-sized businesses</w:t>
      </w:r>
      <w:r>
        <w:rPr>
          <w:rFonts w:ascii="Calibri" w:hAnsi="Calibri" w:cstheme="minorHAnsi"/>
        </w:rPr>
        <w:t xml:space="preserve"> that </w:t>
      </w:r>
      <w:r w:rsidR="0046575B">
        <w:rPr>
          <w:rFonts w:ascii="Calibri" w:hAnsi="Calibri" w:cstheme="minorHAnsi"/>
        </w:rPr>
        <w:t xml:space="preserve">voluntarily </w:t>
      </w:r>
      <w:r>
        <w:rPr>
          <w:rFonts w:ascii="Calibri" w:hAnsi="Calibri" w:cstheme="minorHAnsi"/>
        </w:rPr>
        <w:t>contact state Consultation programs nationwid</w:t>
      </w:r>
      <w:r w:rsidR="00A777B7">
        <w:rPr>
          <w:rFonts w:ascii="Calibri" w:hAnsi="Calibri" w:cstheme="minorHAnsi"/>
        </w:rPr>
        <w:t>e to request consultation visits</w:t>
      </w:r>
      <w:r>
        <w:rPr>
          <w:rFonts w:ascii="Calibri" w:hAnsi="Calibri" w:cstheme="minorHAnsi"/>
        </w:rPr>
        <w:t>.</w:t>
      </w:r>
      <w:r w:rsidR="00AF611B">
        <w:rPr>
          <w:rFonts w:ascii="Calibri" w:hAnsi="Calibri" w:cstheme="minorHAnsi"/>
        </w:rPr>
        <w:t xml:space="preserve">  </w:t>
      </w:r>
    </w:p>
    <w:p w:rsidR="00F5539C" w:rsidRPr="00610A7C" w:rsidP="00F5539C" w14:paraId="1AB5C432" w14:textId="77777777">
      <w:pPr>
        <w:rPr>
          <w:rFonts w:ascii="Calibri" w:hAnsi="Calibri" w:cstheme="minorHAnsi"/>
        </w:rPr>
      </w:pPr>
      <w:r>
        <w:rPr>
          <w:rFonts w:ascii="Calibri" w:hAnsi="Calibri" w:cstheme="minorHAnsi"/>
        </w:rPr>
        <w:t>Consultation programs' participation in these studies is voluntary. DCSP/OSBA discussed participation in the Pilot Study with Consultation Program Managers (CPMs),</w:t>
      </w:r>
      <w:r w:rsidRPr="00610A7C">
        <w:rPr>
          <w:rFonts w:ascii="Calibri" w:hAnsi="Calibri" w:cstheme="minorHAnsi"/>
        </w:rPr>
        <w:t xml:space="preserve"> who are responsible for overseeing the daily operation of </w:t>
      </w:r>
      <w:r>
        <w:rPr>
          <w:rFonts w:ascii="Calibri" w:hAnsi="Calibri" w:cstheme="minorHAnsi"/>
        </w:rPr>
        <w:t>s</w:t>
      </w:r>
      <w:r w:rsidRPr="00610A7C">
        <w:rPr>
          <w:rFonts w:ascii="Calibri" w:hAnsi="Calibri" w:cstheme="minorHAnsi"/>
        </w:rPr>
        <w:t>tate On-Site Consultation programs.</w:t>
      </w:r>
    </w:p>
    <w:p w:rsidR="009169B7" w:rsidRPr="009169B7" w:rsidP="009169B7" w14:paraId="4A3473CD" w14:textId="77777777">
      <w:pPr>
        <w:rPr>
          <w:rFonts w:cstheme="minorHAnsi"/>
          <w:bCs/>
        </w:rPr>
      </w:pPr>
      <w:r w:rsidRPr="009169B7">
        <w:rPr>
          <w:rFonts w:cstheme="minorHAnsi"/>
          <w:bCs/>
        </w:rPr>
        <w:t xml:space="preserve">The </w:t>
      </w:r>
      <w:r w:rsidR="00F865D0">
        <w:rPr>
          <w:rFonts w:cstheme="minorHAnsi"/>
          <w:bCs/>
        </w:rPr>
        <w:t xml:space="preserve">approved </w:t>
      </w:r>
      <w:r w:rsidRPr="009169B7">
        <w:rPr>
          <w:rFonts w:cstheme="minorHAnsi"/>
          <w:bCs/>
        </w:rPr>
        <w:t xml:space="preserve">OMB </w:t>
      </w:r>
      <w:r w:rsidR="00F865D0">
        <w:rPr>
          <w:rFonts w:cstheme="minorHAnsi"/>
          <w:bCs/>
        </w:rPr>
        <w:t>studies</w:t>
      </w:r>
      <w:r w:rsidR="00CC3B20">
        <w:rPr>
          <w:rFonts w:cstheme="minorHAnsi"/>
          <w:bCs/>
        </w:rPr>
        <w:t xml:space="preserve"> of the DRF33</w:t>
      </w:r>
      <w:r w:rsidRPr="009169B7">
        <w:rPr>
          <w:rFonts w:cstheme="minorHAnsi"/>
          <w:bCs/>
        </w:rPr>
        <w:t xml:space="preserve"> (i.e., OMB #1218-0280), include the following: a pre-test using a maximum of 20 consultation visits to assess Pilot Study procedures and the information technology platform, and to correct any issues before launching the Pilot Study; 300 Pilot Study consultation visits </w:t>
      </w:r>
      <w:r w:rsidR="00AC735D">
        <w:rPr>
          <w:rFonts w:cstheme="minorHAnsi"/>
          <w:bCs/>
        </w:rPr>
        <w:t>to small- and medium-sized business workplaces</w:t>
      </w:r>
      <w:r w:rsidRPr="009169B7">
        <w:rPr>
          <w:rFonts w:cstheme="minorHAnsi"/>
          <w:bCs/>
        </w:rPr>
        <w:t xml:space="preserve">, during which 350 SHP assessments </w:t>
      </w:r>
      <w:r w:rsidR="00515993">
        <w:rPr>
          <w:rFonts w:cstheme="minorHAnsi"/>
          <w:bCs/>
        </w:rPr>
        <w:t>will be</w:t>
      </w:r>
      <w:r w:rsidRPr="009169B7">
        <w:rPr>
          <w:rFonts w:cstheme="minorHAnsi"/>
          <w:bCs/>
        </w:rPr>
        <w:t xml:space="preserve"> conducted</w:t>
      </w:r>
      <w:r w:rsidR="00346B78">
        <w:rPr>
          <w:rFonts w:cstheme="minorHAnsi"/>
          <w:bCs/>
        </w:rPr>
        <w:t xml:space="preserve"> by consultants using the DRF33</w:t>
      </w:r>
      <w:r w:rsidRPr="009169B7">
        <w:rPr>
          <w:rFonts w:cstheme="minorHAnsi"/>
          <w:bCs/>
        </w:rPr>
        <w:t xml:space="preserve">; a Prospective Analysis </w:t>
      </w:r>
      <w:r w:rsidR="00131F29">
        <w:rPr>
          <w:rFonts w:cstheme="minorHAnsi"/>
          <w:bCs/>
        </w:rPr>
        <w:t>involving injury and illness data collectio</w:t>
      </w:r>
      <w:r w:rsidR="002551A6">
        <w:rPr>
          <w:rFonts w:cstheme="minorHAnsi"/>
          <w:bCs/>
        </w:rPr>
        <w:t>n</w:t>
      </w:r>
      <w:r w:rsidR="007C6F0F">
        <w:rPr>
          <w:rFonts w:cstheme="minorHAnsi"/>
          <w:bCs/>
        </w:rPr>
        <w:t xml:space="preserve"> by consultants</w:t>
      </w:r>
      <w:r w:rsidR="002551A6">
        <w:rPr>
          <w:rFonts w:cstheme="minorHAnsi"/>
          <w:bCs/>
        </w:rPr>
        <w:t xml:space="preserve"> </w:t>
      </w:r>
      <w:r w:rsidRPr="009169B7">
        <w:rPr>
          <w:rFonts w:cstheme="minorHAnsi"/>
          <w:bCs/>
        </w:rPr>
        <w:t xml:space="preserve">12 months after the consultation visits to assess any impact of the application of the DRF33; data analyses to determine validity and reliability; and a follow-up study involving a maximum of 30 consultation visits, when necessary to assess any updates to the DRF33 resulting from data analyses and other findings. </w:t>
      </w:r>
    </w:p>
    <w:p w:rsidR="00A92A4B" w:rsidP="00333F91" w14:paraId="594B5DCE" w14:textId="7E568BF3">
      <w:pPr>
        <w:rPr>
          <w:rFonts w:cstheme="minorHAnsi"/>
          <w:bCs/>
        </w:rPr>
      </w:pPr>
      <w:r w:rsidRPr="00333F91">
        <w:rPr>
          <w:rFonts w:cstheme="minorHAnsi"/>
          <w:bCs/>
        </w:rPr>
        <w:t>Following OMB approval, OSHA commenced the Pilot Study of the DRF33 in July 202</w:t>
      </w:r>
      <w:r w:rsidR="007C14C1">
        <w:rPr>
          <w:rFonts w:cstheme="minorHAnsi"/>
          <w:bCs/>
        </w:rPr>
        <w:t>2</w:t>
      </w:r>
      <w:r w:rsidR="00300EA6">
        <w:rPr>
          <w:rFonts w:cstheme="minorHAnsi"/>
          <w:bCs/>
        </w:rPr>
        <w:t xml:space="preserve"> with a pre-test</w:t>
      </w:r>
      <w:r w:rsidR="0056331B">
        <w:rPr>
          <w:rFonts w:cstheme="minorHAnsi"/>
          <w:bCs/>
        </w:rPr>
        <w:t xml:space="preserve">; </w:t>
      </w:r>
      <w:r w:rsidR="008A5321">
        <w:rPr>
          <w:rFonts w:cstheme="minorHAnsi"/>
          <w:bCs/>
        </w:rPr>
        <w:t xml:space="preserve">and </w:t>
      </w:r>
      <w:r w:rsidR="005020C0">
        <w:rPr>
          <w:rFonts w:cstheme="minorHAnsi"/>
          <w:bCs/>
        </w:rPr>
        <w:t xml:space="preserve">consultants have completed </w:t>
      </w:r>
      <w:r w:rsidR="001E6650">
        <w:rPr>
          <w:rFonts w:cstheme="minorHAnsi"/>
          <w:bCs/>
        </w:rPr>
        <w:t>280</w:t>
      </w:r>
      <w:r w:rsidRPr="00A31572" w:rsidR="00A31572">
        <w:rPr>
          <w:rFonts w:cstheme="minorHAnsi"/>
          <w:bCs/>
        </w:rPr>
        <w:t xml:space="preserve"> pilot consultation visits to workplaces </w:t>
      </w:r>
      <w:r w:rsidR="007D1E7F">
        <w:rPr>
          <w:rFonts w:cstheme="minorHAnsi"/>
          <w:bCs/>
        </w:rPr>
        <w:t xml:space="preserve">using the DRF33 </w:t>
      </w:r>
      <w:r w:rsidR="008A5321">
        <w:rPr>
          <w:rFonts w:cstheme="minorHAnsi"/>
          <w:bCs/>
        </w:rPr>
        <w:t>to do</w:t>
      </w:r>
      <w:r w:rsidR="009521B8">
        <w:rPr>
          <w:rFonts w:cstheme="minorHAnsi"/>
          <w:bCs/>
        </w:rPr>
        <w:t xml:space="preserve"> 326</w:t>
      </w:r>
      <w:r w:rsidRPr="00A31572" w:rsidR="00A31572">
        <w:rPr>
          <w:rFonts w:cstheme="minorHAnsi"/>
          <w:bCs/>
        </w:rPr>
        <w:t xml:space="preserve"> comprehensive SHP assessments</w:t>
      </w:r>
      <w:r w:rsidR="00AC4746">
        <w:rPr>
          <w:rFonts w:cstheme="minorHAnsi"/>
          <w:bCs/>
        </w:rPr>
        <w:t xml:space="preserve"> out of the 350 planned</w:t>
      </w:r>
      <w:r w:rsidRPr="00333F91">
        <w:rPr>
          <w:rFonts w:cstheme="minorHAnsi"/>
          <w:bCs/>
        </w:rPr>
        <w:t>.</w:t>
      </w:r>
      <w:r w:rsidR="00300EA6">
        <w:rPr>
          <w:rFonts w:cstheme="minorHAnsi"/>
          <w:bCs/>
        </w:rPr>
        <w:t xml:space="preserve">  </w:t>
      </w:r>
    </w:p>
    <w:p w:rsidR="007425EE" w:rsidP="00333F91" w14:paraId="3B5A9BFA" w14:textId="77777777">
      <w:pPr>
        <w:rPr>
          <w:rFonts w:cstheme="minorHAnsi"/>
          <w:bCs/>
        </w:rPr>
      </w:pPr>
      <w:r>
        <w:rPr>
          <w:rFonts w:cstheme="minorHAnsi"/>
          <w:bCs/>
        </w:rPr>
        <w:t>OSHA is requesting a</w:t>
      </w:r>
      <w:r w:rsidR="00E70DEE">
        <w:rPr>
          <w:rFonts w:cstheme="minorHAnsi"/>
          <w:bCs/>
        </w:rPr>
        <w:t xml:space="preserve">dditional </w:t>
      </w:r>
      <w:r w:rsidR="008D2655">
        <w:rPr>
          <w:rFonts w:cstheme="minorHAnsi"/>
          <w:bCs/>
        </w:rPr>
        <w:t xml:space="preserve">time </w:t>
      </w:r>
      <w:r w:rsidRPr="00132B1C" w:rsidR="00132B1C">
        <w:rPr>
          <w:rFonts w:cstheme="minorHAnsi"/>
          <w:bCs/>
        </w:rPr>
        <w:t xml:space="preserve">to complete the </w:t>
      </w:r>
      <w:r w:rsidR="00AC2DFA">
        <w:rPr>
          <w:rFonts w:cstheme="minorHAnsi"/>
          <w:bCs/>
        </w:rPr>
        <w:t>remaining studies</w:t>
      </w:r>
      <w:r>
        <w:rPr>
          <w:rFonts w:cstheme="minorHAnsi"/>
          <w:bCs/>
        </w:rPr>
        <w:t>:</w:t>
      </w:r>
    </w:p>
    <w:p w:rsidR="007425EE" w:rsidP="007425EE" w14:paraId="1E1E8E21" w14:textId="77777777">
      <w:pPr>
        <w:pStyle w:val="ListParagraph"/>
        <w:numPr>
          <w:ilvl w:val="0"/>
          <w:numId w:val="11"/>
        </w:numPr>
        <w:rPr>
          <w:rFonts w:cstheme="minorHAnsi"/>
          <w:bCs/>
        </w:rPr>
      </w:pPr>
      <w:r>
        <w:rPr>
          <w:rFonts w:cstheme="minorHAnsi"/>
          <w:bCs/>
        </w:rPr>
        <w:t xml:space="preserve">20 pilot consultation visits with </w:t>
      </w:r>
      <w:r w:rsidRPr="007425EE" w:rsidR="00132B1C">
        <w:rPr>
          <w:rFonts w:cstheme="minorHAnsi"/>
          <w:bCs/>
        </w:rPr>
        <w:t>24 SHP assessments</w:t>
      </w:r>
      <w:r w:rsidR="00C829AA">
        <w:rPr>
          <w:rFonts w:cstheme="minorHAnsi"/>
          <w:bCs/>
        </w:rPr>
        <w:t>;</w:t>
      </w:r>
      <w:r w:rsidRPr="007425EE" w:rsidR="00132B1C">
        <w:rPr>
          <w:rFonts w:cstheme="minorHAnsi"/>
          <w:bCs/>
        </w:rPr>
        <w:t xml:space="preserve">  </w:t>
      </w:r>
    </w:p>
    <w:p w:rsidR="0041103D" w:rsidP="007425EE" w14:paraId="153F4655" w14:textId="77777777">
      <w:pPr>
        <w:pStyle w:val="ListParagraph"/>
        <w:numPr>
          <w:ilvl w:val="0"/>
          <w:numId w:val="11"/>
        </w:numPr>
        <w:rPr>
          <w:rFonts w:cstheme="minorHAnsi"/>
          <w:bCs/>
        </w:rPr>
      </w:pPr>
      <w:r>
        <w:rPr>
          <w:rFonts w:cstheme="minorHAnsi"/>
          <w:bCs/>
        </w:rPr>
        <w:t>P</w:t>
      </w:r>
      <w:r w:rsidR="00240A81">
        <w:rPr>
          <w:rFonts w:cstheme="minorHAnsi"/>
          <w:bCs/>
        </w:rPr>
        <w:t xml:space="preserve">rospective Injury and Illness Data Analysis: </w:t>
      </w:r>
      <w:r w:rsidRPr="007425EE" w:rsidR="00A54364">
        <w:rPr>
          <w:rFonts w:cstheme="minorHAnsi"/>
          <w:bCs/>
        </w:rPr>
        <w:t xml:space="preserve">All </w:t>
      </w:r>
      <w:r w:rsidR="00E6264E">
        <w:rPr>
          <w:rFonts w:cstheme="minorHAnsi"/>
          <w:bCs/>
        </w:rPr>
        <w:t xml:space="preserve">300 </w:t>
      </w:r>
      <w:r w:rsidRPr="007425EE" w:rsidR="00A54364">
        <w:rPr>
          <w:rFonts w:cstheme="minorHAnsi"/>
          <w:bCs/>
        </w:rPr>
        <w:t>pilot consultation visits</w:t>
      </w:r>
      <w:r w:rsidRPr="007425EE" w:rsidR="00132B1C">
        <w:rPr>
          <w:rFonts w:cstheme="minorHAnsi"/>
          <w:bCs/>
        </w:rPr>
        <w:t xml:space="preserve"> require prospective injury and illness data collect</w:t>
      </w:r>
      <w:r w:rsidR="007D1E7F">
        <w:rPr>
          <w:rFonts w:cstheme="minorHAnsi"/>
          <w:bCs/>
        </w:rPr>
        <w:t xml:space="preserve">ed from </w:t>
      </w:r>
      <w:r w:rsidR="00F33DFD">
        <w:rPr>
          <w:rFonts w:cstheme="minorHAnsi"/>
          <w:bCs/>
        </w:rPr>
        <w:t>employers</w:t>
      </w:r>
      <w:r w:rsidRPr="007425EE" w:rsidR="00132B1C">
        <w:rPr>
          <w:rFonts w:cstheme="minorHAnsi"/>
          <w:bCs/>
        </w:rPr>
        <w:t xml:space="preserve"> 12 months from the visit date</w:t>
      </w:r>
      <w:r w:rsidRPr="007425EE" w:rsidR="007A04CB">
        <w:rPr>
          <w:rFonts w:cstheme="minorHAnsi"/>
          <w:bCs/>
        </w:rPr>
        <w:t xml:space="preserve"> by consultants</w:t>
      </w:r>
      <w:r w:rsidR="00F33DFD">
        <w:rPr>
          <w:rFonts w:cstheme="minorHAnsi"/>
          <w:bCs/>
        </w:rPr>
        <w:t>,</w:t>
      </w:r>
      <w:r w:rsidRPr="007425EE" w:rsidR="007A04CB">
        <w:rPr>
          <w:rFonts w:cstheme="minorHAnsi"/>
          <w:bCs/>
        </w:rPr>
        <w:t xml:space="preserve"> via phone, email, fax, etcetera</w:t>
      </w:r>
      <w:r w:rsidR="00C829AA">
        <w:rPr>
          <w:rFonts w:cstheme="minorHAnsi"/>
          <w:bCs/>
        </w:rPr>
        <w:t>;</w:t>
      </w:r>
      <w:r w:rsidRPr="007425EE" w:rsidR="00132B1C">
        <w:rPr>
          <w:rFonts w:cstheme="minorHAnsi"/>
          <w:bCs/>
        </w:rPr>
        <w:t xml:space="preserve"> </w:t>
      </w:r>
    </w:p>
    <w:p w:rsidR="003631BC" w:rsidP="007425EE" w14:paraId="3779E327" w14:textId="77777777">
      <w:pPr>
        <w:pStyle w:val="ListParagraph"/>
        <w:numPr>
          <w:ilvl w:val="0"/>
          <w:numId w:val="11"/>
        </w:numPr>
        <w:rPr>
          <w:rFonts w:cstheme="minorHAnsi"/>
          <w:bCs/>
        </w:rPr>
      </w:pPr>
      <w:r>
        <w:rPr>
          <w:rFonts w:cstheme="minorHAnsi"/>
          <w:bCs/>
        </w:rPr>
        <w:t>Data analyses to assess validity and reliability</w:t>
      </w:r>
      <w:r w:rsidR="00C829AA">
        <w:rPr>
          <w:rFonts w:cstheme="minorHAnsi"/>
          <w:bCs/>
        </w:rPr>
        <w:t xml:space="preserve"> of the DRF33;</w:t>
      </w:r>
      <w:r w:rsidR="00544006">
        <w:rPr>
          <w:rFonts w:cstheme="minorHAnsi"/>
          <w:bCs/>
        </w:rPr>
        <w:t xml:space="preserve"> and</w:t>
      </w:r>
    </w:p>
    <w:p w:rsidR="00F5539C" w:rsidRPr="007D1E7F" w:rsidP="00EC71AC" w14:paraId="5A0C1274" w14:textId="77777777">
      <w:pPr>
        <w:pStyle w:val="ListParagraph"/>
        <w:numPr>
          <w:ilvl w:val="0"/>
          <w:numId w:val="11"/>
        </w:numPr>
        <w:rPr>
          <w:rFonts w:cstheme="minorHAnsi"/>
          <w:bCs/>
        </w:rPr>
      </w:pPr>
      <w:r>
        <w:rPr>
          <w:rFonts w:cstheme="minorHAnsi"/>
          <w:bCs/>
        </w:rPr>
        <w:t>Any f</w:t>
      </w:r>
      <w:r w:rsidR="0041103D">
        <w:rPr>
          <w:rFonts w:cstheme="minorHAnsi"/>
          <w:bCs/>
        </w:rPr>
        <w:t xml:space="preserve">ollow-up </w:t>
      </w:r>
      <w:r w:rsidR="00321B4D">
        <w:rPr>
          <w:rFonts w:cstheme="minorHAnsi"/>
          <w:bCs/>
        </w:rPr>
        <w:t xml:space="preserve">consultation visits with </w:t>
      </w:r>
      <w:r w:rsidR="0041103D">
        <w:rPr>
          <w:rFonts w:cstheme="minorHAnsi"/>
          <w:bCs/>
        </w:rPr>
        <w:t xml:space="preserve">SHP assessments </w:t>
      </w:r>
      <w:r w:rsidR="009F1086">
        <w:rPr>
          <w:rFonts w:cstheme="minorHAnsi"/>
          <w:bCs/>
        </w:rPr>
        <w:t>required</w:t>
      </w:r>
      <w:r w:rsidR="008D2655">
        <w:rPr>
          <w:rFonts w:cstheme="minorHAnsi"/>
          <w:bCs/>
        </w:rPr>
        <w:t>.</w:t>
      </w:r>
    </w:p>
    <w:p w:rsidR="00894DFA" w:rsidRPr="00610A7C" w:rsidP="00654F00" w14:paraId="1C2CCA54" w14:textId="77777777">
      <w:pPr>
        <w:rPr>
          <w:rFonts w:ascii="Calibri" w:hAnsi="Calibri" w:cstheme="minorHAnsi"/>
          <w:b/>
          <w:u w:val="single"/>
        </w:rPr>
      </w:pPr>
      <w:r w:rsidRPr="00610A7C">
        <w:rPr>
          <w:rFonts w:ascii="Calibri" w:hAnsi="Calibri" w:cstheme="minorHAnsi"/>
          <w:b/>
          <w:u w:val="single"/>
        </w:rPr>
        <w:t>Pilot Study</w:t>
      </w:r>
    </w:p>
    <w:p w:rsidR="00654F00" w:rsidRPr="00610A7C" w:rsidP="00654F00" w14:paraId="7D5AB85A" w14:textId="6FFA2DE8">
      <w:pPr>
        <w:rPr>
          <w:rFonts w:ascii="Calibri" w:hAnsi="Calibri" w:cstheme="minorHAnsi"/>
        </w:rPr>
      </w:pPr>
      <w:r>
        <w:rPr>
          <w:rFonts w:ascii="Calibri" w:hAnsi="Calibri" w:cstheme="minorHAnsi"/>
        </w:rPr>
        <w:t>Since July 202</w:t>
      </w:r>
      <w:r w:rsidR="008666D1">
        <w:rPr>
          <w:rFonts w:ascii="Calibri" w:hAnsi="Calibri" w:cstheme="minorHAnsi"/>
        </w:rPr>
        <w:t>2</w:t>
      </w:r>
      <w:r>
        <w:rPr>
          <w:rFonts w:ascii="Calibri" w:hAnsi="Calibri" w:cstheme="minorHAnsi"/>
        </w:rPr>
        <w:t xml:space="preserve">, </w:t>
      </w:r>
      <w:r w:rsidR="0050451C">
        <w:rPr>
          <w:rFonts w:ascii="Calibri" w:hAnsi="Calibri" w:cstheme="minorHAnsi"/>
        </w:rPr>
        <w:t xml:space="preserve">DCSP/OSBA has conducted the approved pilot study in collaboration with subject matter experts (e.g., occupational safety and health experts, psychometricians/statisticians, and economists) from OSHA and state On-Site Consultation programs operated by the University of South Florida and the Georgia Institute of Technology. </w:t>
      </w:r>
      <w:r w:rsidR="00D67709">
        <w:rPr>
          <w:rFonts w:ascii="Calibri" w:hAnsi="Calibri" w:cstheme="minorHAnsi"/>
        </w:rPr>
        <w:t xml:space="preserve">The </w:t>
      </w:r>
      <w:r w:rsidR="008505F4">
        <w:rPr>
          <w:rFonts w:ascii="Calibri" w:hAnsi="Calibri" w:cstheme="minorHAnsi"/>
        </w:rPr>
        <w:t xml:space="preserve">execution of the </w:t>
      </w:r>
      <w:r w:rsidR="00D67709">
        <w:rPr>
          <w:rFonts w:ascii="Calibri" w:hAnsi="Calibri" w:cstheme="minorHAnsi"/>
        </w:rPr>
        <w:t xml:space="preserve">Pilot Study has also been coordinated with </w:t>
      </w:r>
      <w:r w:rsidR="005F1019">
        <w:rPr>
          <w:rFonts w:ascii="Calibri" w:hAnsi="Calibri" w:cstheme="minorHAnsi"/>
        </w:rPr>
        <w:t>th</w:t>
      </w:r>
      <w:r w:rsidRPr="005F1019" w:rsidR="005F1019">
        <w:rPr>
          <w:rFonts w:ascii="Calibri" w:hAnsi="Calibri" w:cstheme="minorHAnsi"/>
        </w:rPr>
        <w:t>e National Association of Occupational Safety and Health Consultation Programs (OSHCON)</w:t>
      </w:r>
      <w:r w:rsidR="008505F4">
        <w:rPr>
          <w:rFonts w:ascii="Calibri" w:hAnsi="Calibri" w:cstheme="minorHAnsi"/>
        </w:rPr>
        <w:t xml:space="preserve">, </w:t>
      </w:r>
      <w:r w:rsidRPr="005F1019" w:rsidR="005F1019">
        <w:rPr>
          <w:rFonts w:ascii="Calibri" w:hAnsi="Calibri" w:cstheme="minorHAnsi"/>
        </w:rPr>
        <w:t xml:space="preserve">made up of </w:t>
      </w:r>
      <w:r w:rsidR="008505F4">
        <w:rPr>
          <w:rFonts w:ascii="Calibri" w:hAnsi="Calibri" w:cstheme="minorHAnsi"/>
        </w:rPr>
        <w:t xml:space="preserve">CPMs </w:t>
      </w:r>
      <w:r w:rsidRPr="005F1019" w:rsidR="005F1019">
        <w:rPr>
          <w:rFonts w:ascii="Calibri" w:hAnsi="Calibri" w:cstheme="minorHAnsi"/>
        </w:rPr>
        <w:t xml:space="preserve">nationwide.  </w:t>
      </w:r>
    </w:p>
    <w:p w:rsidR="00D02F9C" w:rsidP="00654F00" w14:paraId="1C5F4B9C" w14:textId="77777777">
      <w:pPr>
        <w:rPr>
          <w:rFonts w:ascii="Calibri" w:hAnsi="Calibri" w:cstheme="minorHAnsi"/>
        </w:rPr>
      </w:pPr>
      <w:r w:rsidRPr="00610A7C">
        <w:rPr>
          <w:rFonts w:ascii="Calibri" w:hAnsi="Calibri" w:cstheme="minorHAnsi"/>
        </w:rPr>
        <w:t xml:space="preserve">The Pilot Study </w:t>
      </w:r>
      <w:r w:rsidR="001620E4">
        <w:rPr>
          <w:rFonts w:ascii="Calibri" w:hAnsi="Calibri" w:cstheme="minorHAnsi"/>
        </w:rPr>
        <w:t>has</w:t>
      </w:r>
      <w:r w:rsidRPr="00610A7C">
        <w:rPr>
          <w:rFonts w:ascii="Calibri" w:hAnsi="Calibri" w:cstheme="minorHAnsi"/>
        </w:rPr>
        <w:t xml:space="preserve"> involve</w:t>
      </w:r>
      <w:r w:rsidR="001620E4">
        <w:rPr>
          <w:rFonts w:ascii="Calibri" w:hAnsi="Calibri" w:cstheme="minorHAnsi"/>
        </w:rPr>
        <w:t>d</w:t>
      </w:r>
      <w:r w:rsidRPr="00610A7C">
        <w:rPr>
          <w:rFonts w:ascii="Calibri" w:hAnsi="Calibri" w:cstheme="minorHAnsi"/>
        </w:rPr>
        <w:t xml:space="preserve"> </w:t>
      </w:r>
      <w:r w:rsidR="008505F4">
        <w:rPr>
          <w:rFonts w:ascii="Calibri" w:hAnsi="Calibri" w:cstheme="minorHAnsi"/>
        </w:rPr>
        <w:t>about</w:t>
      </w:r>
      <w:r w:rsidRPr="00610A7C" w:rsidR="00233BE9">
        <w:rPr>
          <w:rFonts w:ascii="Calibri" w:hAnsi="Calibri" w:cstheme="minorHAnsi"/>
        </w:rPr>
        <w:t xml:space="preserve"> 200 </w:t>
      </w:r>
      <w:r w:rsidRPr="00610A7C">
        <w:rPr>
          <w:rFonts w:ascii="Calibri" w:hAnsi="Calibri" w:cstheme="minorHAnsi"/>
        </w:rPr>
        <w:t xml:space="preserve">trained safety and health consultants from </w:t>
      </w:r>
      <w:r w:rsidR="00DB6B6F">
        <w:rPr>
          <w:rFonts w:ascii="Calibri" w:hAnsi="Calibri" w:cstheme="minorHAnsi"/>
        </w:rPr>
        <w:t>s</w:t>
      </w:r>
      <w:r w:rsidRPr="00610A7C">
        <w:rPr>
          <w:rFonts w:ascii="Calibri" w:hAnsi="Calibri" w:cstheme="minorHAnsi"/>
        </w:rPr>
        <w:t xml:space="preserve">tate On-Site Consultation programs nationwide using the DRF33 (instead of the current OSHA Form 33) to conduct comprehensive </w:t>
      </w:r>
      <w:r w:rsidRPr="00610A7C" w:rsidR="00266AA6">
        <w:rPr>
          <w:rFonts w:ascii="Calibri" w:hAnsi="Calibri" w:cstheme="minorHAnsi"/>
        </w:rPr>
        <w:t xml:space="preserve">SHP </w:t>
      </w:r>
      <w:r w:rsidRPr="00610A7C">
        <w:rPr>
          <w:rFonts w:ascii="Calibri" w:hAnsi="Calibri" w:cstheme="minorHAnsi"/>
        </w:rPr>
        <w:t xml:space="preserve">assessments of </w:t>
      </w:r>
      <w:r w:rsidRPr="00610A7C" w:rsidR="00266AA6">
        <w:rPr>
          <w:rFonts w:ascii="Calibri" w:hAnsi="Calibri" w:cstheme="minorHAnsi"/>
        </w:rPr>
        <w:t>small</w:t>
      </w:r>
      <w:r w:rsidRPr="00610A7C" w:rsidR="00825C00">
        <w:rPr>
          <w:rFonts w:ascii="Calibri" w:hAnsi="Calibri" w:cstheme="minorHAnsi"/>
        </w:rPr>
        <w:t>-</w:t>
      </w:r>
      <w:r w:rsidRPr="00610A7C" w:rsidR="00266AA6">
        <w:rPr>
          <w:rFonts w:ascii="Calibri" w:hAnsi="Calibri" w:cstheme="minorHAnsi"/>
        </w:rPr>
        <w:t xml:space="preserve"> and medium-sized workplaces </w:t>
      </w:r>
      <w:r w:rsidRPr="00610A7C">
        <w:rPr>
          <w:rFonts w:ascii="Calibri" w:hAnsi="Calibri" w:cstheme="minorHAnsi"/>
        </w:rPr>
        <w:t>during consultation visits when employers request such consultative services</w:t>
      </w:r>
      <w:r w:rsidRPr="00610A7C" w:rsidR="00EA3F0C">
        <w:rPr>
          <w:rFonts w:ascii="Calibri" w:hAnsi="Calibri" w:cstheme="minorHAnsi"/>
        </w:rPr>
        <w:t xml:space="preserve"> (</w:t>
      </w:r>
      <w:r w:rsidRPr="00610A7C" w:rsidR="00403517">
        <w:rPr>
          <w:rFonts w:ascii="Calibri" w:hAnsi="Calibri" w:cstheme="minorHAnsi"/>
        </w:rPr>
        <w:t xml:space="preserve">provided </w:t>
      </w:r>
      <w:r w:rsidRPr="00610A7C" w:rsidR="00914940">
        <w:rPr>
          <w:rFonts w:ascii="Calibri" w:hAnsi="Calibri" w:cstheme="minorHAnsi"/>
        </w:rPr>
        <w:t>to them at no cost</w:t>
      </w:r>
      <w:r w:rsidRPr="00610A7C" w:rsidR="00EA3F0C">
        <w:rPr>
          <w:rFonts w:ascii="Calibri" w:hAnsi="Calibri" w:cstheme="minorHAnsi"/>
        </w:rPr>
        <w:t>)</w:t>
      </w:r>
      <w:r w:rsidRPr="00610A7C" w:rsidR="00CE43DF">
        <w:rPr>
          <w:rFonts w:ascii="Calibri" w:hAnsi="Calibri" w:cstheme="minorHAnsi"/>
        </w:rPr>
        <w:t xml:space="preserve">.  </w:t>
      </w:r>
    </w:p>
    <w:p w:rsidR="00654F00" w:rsidRPr="00610A7C" w:rsidP="00654F00" w14:paraId="0EE45D57" w14:textId="77777777">
      <w:pPr>
        <w:rPr>
          <w:rFonts w:ascii="Calibri" w:hAnsi="Calibri" w:cstheme="minorHAnsi"/>
        </w:rPr>
      </w:pPr>
      <w:r w:rsidRPr="00610A7C">
        <w:rPr>
          <w:rFonts w:ascii="Calibri" w:hAnsi="Calibri" w:cstheme="minorHAnsi"/>
        </w:rPr>
        <w:t xml:space="preserve">The </w:t>
      </w:r>
      <w:r w:rsidRPr="00610A7C" w:rsidR="00CE43DF">
        <w:rPr>
          <w:rFonts w:ascii="Calibri" w:hAnsi="Calibri" w:cstheme="minorHAnsi"/>
        </w:rPr>
        <w:t xml:space="preserve">DRF33 </w:t>
      </w:r>
      <w:r w:rsidR="001620E4">
        <w:rPr>
          <w:rFonts w:ascii="Calibri" w:hAnsi="Calibri" w:cstheme="minorHAnsi"/>
        </w:rPr>
        <w:t>was</w:t>
      </w:r>
      <w:r w:rsidRPr="00610A7C" w:rsidR="00CE43DF">
        <w:rPr>
          <w:rFonts w:ascii="Calibri" w:hAnsi="Calibri" w:cstheme="minorHAnsi"/>
        </w:rPr>
        <w:t xml:space="preserve"> uploaded into </w:t>
      </w:r>
      <w:r w:rsidR="005A7D9B">
        <w:rPr>
          <w:rFonts w:ascii="Calibri" w:hAnsi="Calibri" w:cstheme="minorHAnsi"/>
        </w:rPr>
        <w:t xml:space="preserve">Qualtrics, </w:t>
      </w:r>
      <w:r w:rsidRPr="00610A7C" w:rsidR="00CE43DF">
        <w:rPr>
          <w:rFonts w:ascii="Calibri" w:hAnsi="Calibri" w:cstheme="minorHAnsi"/>
        </w:rPr>
        <w:t xml:space="preserve">a </w:t>
      </w:r>
      <w:r w:rsidRPr="00610A7C" w:rsidR="002D1A8D">
        <w:rPr>
          <w:rFonts w:ascii="Calibri" w:hAnsi="Calibri" w:cstheme="minorHAnsi"/>
        </w:rPr>
        <w:t>cloud</w:t>
      </w:r>
      <w:r w:rsidR="00CF0B56">
        <w:rPr>
          <w:rFonts w:ascii="Calibri" w:hAnsi="Calibri" w:cstheme="minorHAnsi"/>
        </w:rPr>
        <w:t>-</w:t>
      </w:r>
      <w:r w:rsidRPr="00610A7C" w:rsidR="00CE43DF">
        <w:rPr>
          <w:rFonts w:ascii="Calibri" w:hAnsi="Calibri" w:cstheme="minorHAnsi"/>
        </w:rPr>
        <w:t>based data entry tool</w:t>
      </w:r>
      <w:r w:rsidR="00CE7280">
        <w:rPr>
          <w:rFonts w:ascii="Calibri" w:hAnsi="Calibri" w:cstheme="minorHAnsi"/>
        </w:rPr>
        <w:t>,</w:t>
      </w:r>
      <w:r w:rsidRPr="00610A7C" w:rsidR="00CE43DF">
        <w:rPr>
          <w:rFonts w:ascii="Calibri" w:hAnsi="Calibri" w:cstheme="minorHAnsi"/>
        </w:rPr>
        <w:t xml:space="preserve"> </w:t>
      </w:r>
      <w:r w:rsidR="001620E4">
        <w:rPr>
          <w:rFonts w:ascii="Calibri" w:hAnsi="Calibri" w:cstheme="minorHAnsi"/>
        </w:rPr>
        <w:t>for</w:t>
      </w:r>
      <w:r w:rsidRPr="00610A7C" w:rsidR="00CE43DF">
        <w:rPr>
          <w:rFonts w:ascii="Calibri" w:hAnsi="Calibri" w:cstheme="minorHAnsi"/>
        </w:rPr>
        <w:t xml:space="preserve"> consultants </w:t>
      </w:r>
      <w:r w:rsidR="001620E4">
        <w:rPr>
          <w:rFonts w:ascii="Calibri" w:hAnsi="Calibri" w:cstheme="minorHAnsi"/>
        </w:rPr>
        <w:t xml:space="preserve">to </w:t>
      </w:r>
      <w:r w:rsidRPr="00610A7C" w:rsidR="008F0DCA">
        <w:rPr>
          <w:rFonts w:ascii="Calibri" w:hAnsi="Calibri" w:cstheme="minorHAnsi"/>
        </w:rPr>
        <w:t>enter</w:t>
      </w:r>
      <w:r w:rsidRPr="00610A7C" w:rsidR="00CE43DF">
        <w:rPr>
          <w:rFonts w:ascii="Calibri" w:hAnsi="Calibri" w:cstheme="minorHAnsi"/>
        </w:rPr>
        <w:t xml:space="preserve"> </w:t>
      </w:r>
      <w:r w:rsidRPr="00610A7C" w:rsidR="00001F9A">
        <w:rPr>
          <w:rFonts w:ascii="Calibri" w:hAnsi="Calibri" w:cstheme="minorHAnsi"/>
        </w:rPr>
        <w:t xml:space="preserve">SHP assessment </w:t>
      </w:r>
      <w:r w:rsidRPr="00610A7C" w:rsidR="00CE43DF">
        <w:rPr>
          <w:rFonts w:ascii="Calibri" w:hAnsi="Calibri" w:cstheme="minorHAnsi"/>
        </w:rPr>
        <w:t>information</w:t>
      </w:r>
      <w:r w:rsidRPr="00610A7C" w:rsidR="00924404">
        <w:rPr>
          <w:rFonts w:ascii="Calibri" w:hAnsi="Calibri" w:cstheme="minorHAnsi"/>
        </w:rPr>
        <w:t xml:space="preserve"> (i.e., </w:t>
      </w:r>
      <w:r w:rsidR="0050451C">
        <w:rPr>
          <w:rFonts w:ascii="Calibri" w:hAnsi="Calibri" w:cstheme="minorHAnsi"/>
        </w:rPr>
        <w:t xml:space="preserve">a </w:t>
      </w:r>
      <w:r w:rsidRPr="00610A7C" w:rsidR="00924404">
        <w:rPr>
          <w:rFonts w:ascii="Calibri" w:hAnsi="Calibri" w:cstheme="minorHAnsi"/>
        </w:rPr>
        <w:t xml:space="preserve">summary of findings based upon workplace SHP assessments, ratings for each of the </w:t>
      </w:r>
      <w:r w:rsidRPr="00610A7C" w:rsidR="008F0DCA">
        <w:rPr>
          <w:rFonts w:ascii="Calibri" w:hAnsi="Calibri" w:cstheme="minorHAnsi"/>
        </w:rPr>
        <w:t>52</w:t>
      </w:r>
      <w:r w:rsidRPr="00610A7C" w:rsidR="00924404">
        <w:rPr>
          <w:rFonts w:ascii="Calibri" w:hAnsi="Calibri" w:cstheme="minorHAnsi"/>
        </w:rPr>
        <w:t xml:space="preserve"> attributes </w:t>
      </w:r>
      <w:r w:rsidR="0065750E">
        <w:rPr>
          <w:rFonts w:ascii="Calibri" w:hAnsi="Calibri" w:cstheme="minorHAnsi"/>
        </w:rPr>
        <w:t xml:space="preserve">(i.e., </w:t>
      </w:r>
      <w:r w:rsidRPr="00610A7C" w:rsidR="00924404">
        <w:rPr>
          <w:rFonts w:ascii="Calibri" w:hAnsi="Calibri" w:cstheme="minorHAnsi"/>
        </w:rPr>
        <w:t>SHP assessment criteria</w:t>
      </w:r>
      <w:r w:rsidR="0065750E">
        <w:rPr>
          <w:rFonts w:ascii="Calibri" w:hAnsi="Calibri" w:cstheme="minorHAnsi"/>
        </w:rPr>
        <w:t>)</w:t>
      </w:r>
      <w:r w:rsidRPr="00610A7C" w:rsidR="00924404">
        <w:rPr>
          <w:rFonts w:ascii="Calibri" w:hAnsi="Calibri" w:cstheme="minorHAnsi"/>
        </w:rPr>
        <w:t>, and recommendations to the employer</w:t>
      </w:r>
      <w:r w:rsidRPr="00610A7C" w:rsidR="00CE43DF">
        <w:rPr>
          <w:rFonts w:ascii="Calibri" w:hAnsi="Calibri" w:cstheme="minorHAnsi"/>
        </w:rPr>
        <w:t>.</w:t>
      </w:r>
      <w:r w:rsidRPr="00610A7C" w:rsidR="00924404">
        <w:rPr>
          <w:rFonts w:ascii="Calibri" w:hAnsi="Calibri" w:cstheme="minorHAnsi"/>
        </w:rPr>
        <w:t xml:space="preserve">  </w:t>
      </w:r>
      <w:r w:rsidRPr="00610A7C" w:rsidR="00914940">
        <w:rPr>
          <w:rFonts w:ascii="Calibri" w:hAnsi="Calibri" w:cstheme="minorHAnsi"/>
        </w:rPr>
        <w:t>The DRF33 is supported by a</w:t>
      </w:r>
      <w:r w:rsidR="00D02F9C">
        <w:rPr>
          <w:rFonts w:ascii="Calibri" w:hAnsi="Calibri" w:cstheme="minorHAnsi"/>
        </w:rPr>
        <w:t xml:space="preserve"> draft revised</w:t>
      </w:r>
      <w:r w:rsidRPr="00610A7C" w:rsidR="00914940">
        <w:rPr>
          <w:rFonts w:ascii="Calibri" w:hAnsi="Calibri" w:cstheme="minorHAnsi"/>
        </w:rPr>
        <w:t xml:space="preserve"> ARG that contains detailed descriptions of all attributes, updated guidance for assessing the implementation of each attribute at a workplace, and several work aids for consultants to use.  </w:t>
      </w:r>
      <w:r w:rsidRPr="00610A7C" w:rsidR="001B2025">
        <w:rPr>
          <w:rFonts w:ascii="Calibri" w:hAnsi="Calibri" w:cstheme="minorHAnsi"/>
        </w:rPr>
        <w:t xml:space="preserve">The ARG </w:t>
      </w:r>
      <w:r w:rsidR="000C3F5B">
        <w:rPr>
          <w:rFonts w:ascii="Calibri" w:hAnsi="Calibri" w:cstheme="minorHAnsi"/>
        </w:rPr>
        <w:t>was</w:t>
      </w:r>
      <w:r w:rsidRPr="00610A7C" w:rsidR="000C3F5B">
        <w:rPr>
          <w:rFonts w:ascii="Calibri" w:hAnsi="Calibri" w:cstheme="minorHAnsi"/>
        </w:rPr>
        <w:t xml:space="preserve"> </w:t>
      </w:r>
      <w:r w:rsidRPr="00610A7C" w:rsidR="001B2025">
        <w:rPr>
          <w:rFonts w:ascii="Calibri" w:hAnsi="Calibri" w:cstheme="minorHAnsi"/>
        </w:rPr>
        <w:t xml:space="preserve">also uploaded into Qualtrics </w:t>
      </w:r>
      <w:r w:rsidRPr="00610A7C" w:rsidR="00D364F3">
        <w:rPr>
          <w:rFonts w:ascii="Calibri" w:hAnsi="Calibri" w:cstheme="minorHAnsi"/>
        </w:rPr>
        <w:t>for easy access</w:t>
      </w:r>
      <w:r w:rsidR="0050451C">
        <w:rPr>
          <w:rFonts w:ascii="Calibri" w:hAnsi="Calibri" w:cstheme="minorHAnsi"/>
        </w:rPr>
        <w:t xml:space="preserve"> and </w:t>
      </w:r>
      <w:r w:rsidRPr="00610A7C" w:rsidR="001B2025">
        <w:rPr>
          <w:rFonts w:ascii="Calibri" w:hAnsi="Calibri" w:cstheme="minorHAnsi"/>
        </w:rPr>
        <w:t xml:space="preserve">as a job aid for consultants.  </w:t>
      </w:r>
      <w:r w:rsidRPr="00610A7C">
        <w:rPr>
          <w:rFonts w:ascii="Calibri" w:hAnsi="Calibri" w:cstheme="minorHAnsi"/>
        </w:rPr>
        <w:t>Consultants participating in the Pilot Study</w:t>
      </w:r>
      <w:r w:rsidR="001620E4">
        <w:rPr>
          <w:rFonts w:ascii="Calibri" w:hAnsi="Calibri" w:cstheme="minorHAnsi"/>
        </w:rPr>
        <w:t xml:space="preserve"> </w:t>
      </w:r>
      <w:r w:rsidRPr="00610A7C" w:rsidR="00AF58BA">
        <w:rPr>
          <w:rFonts w:ascii="Calibri" w:hAnsi="Calibri" w:cstheme="minorHAnsi"/>
        </w:rPr>
        <w:t>follow</w:t>
      </w:r>
      <w:r w:rsidRPr="00610A7C">
        <w:rPr>
          <w:rFonts w:ascii="Calibri" w:hAnsi="Calibri" w:cstheme="minorHAnsi"/>
        </w:rPr>
        <w:t xml:space="preserve"> the policies and procedures in th</w:t>
      </w:r>
      <w:r w:rsidRPr="00610A7C" w:rsidR="00DA1D07">
        <w:rPr>
          <w:rFonts w:ascii="Calibri" w:hAnsi="Calibri" w:cstheme="minorHAnsi"/>
        </w:rPr>
        <w:t>e CPPM</w:t>
      </w:r>
      <w:r w:rsidRPr="00610A7C">
        <w:rPr>
          <w:rFonts w:ascii="Calibri" w:hAnsi="Calibri" w:cstheme="minorHAnsi"/>
        </w:rPr>
        <w:t xml:space="preserve"> for conducting consultation visits, including SHP assessments.</w:t>
      </w:r>
      <w:r w:rsidRPr="00610A7C" w:rsidR="00914940">
        <w:rPr>
          <w:rFonts w:ascii="Calibri" w:hAnsi="Calibri" w:cstheme="minorHAnsi"/>
        </w:rPr>
        <w:t xml:space="preserve">  </w:t>
      </w:r>
    </w:p>
    <w:p w:rsidR="00946C92" w:rsidP="00654F00" w14:paraId="69DD98E3" w14:textId="77777777">
      <w:pPr>
        <w:rPr>
          <w:rFonts w:ascii="Calibri" w:hAnsi="Calibri" w:cstheme="minorHAnsi"/>
        </w:rPr>
      </w:pPr>
      <w:r w:rsidRPr="00610A7C">
        <w:rPr>
          <w:rFonts w:ascii="Calibri" w:hAnsi="Calibri" w:cstheme="minorHAnsi"/>
        </w:rPr>
        <w:t>There are seven (7) core elements of the DRF</w:t>
      </w:r>
      <w:r w:rsidRPr="00610A7C" w:rsidR="0050319A">
        <w:rPr>
          <w:rFonts w:ascii="Calibri" w:hAnsi="Calibri" w:cstheme="minorHAnsi"/>
        </w:rPr>
        <w:t>33 (i.e., Management Leadership; Worker Participation;</w:t>
      </w:r>
      <w:r w:rsidRPr="00610A7C">
        <w:rPr>
          <w:rFonts w:ascii="Calibri" w:hAnsi="Calibri" w:cstheme="minorHAnsi"/>
        </w:rPr>
        <w:t xml:space="preserve"> Hazar</w:t>
      </w:r>
      <w:r w:rsidRPr="00610A7C" w:rsidR="0050319A">
        <w:rPr>
          <w:rFonts w:ascii="Calibri" w:hAnsi="Calibri" w:cstheme="minorHAnsi"/>
        </w:rPr>
        <w:t>d Identification and Assessment; Hazard Prevention and Control; Education and Training;</w:t>
      </w:r>
      <w:r w:rsidRPr="00610A7C">
        <w:rPr>
          <w:rFonts w:ascii="Calibri" w:hAnsi="Calibri" w:cstheme="minorHAnsi"/>
        </w:rPr>
        <w:t xml:space="preserve"> Pro</w:t>
      </w:r>
      <w:r w:rsidRPr="00610A7C" w:rsidR="0050319A">
        <w:rPr>
          <w:rFonts w:ascii="Calibri" w:hAnsi="Calibri" w:cstheme="minorHAnsi"/>
        </w:rPr>
        <w:t>gram Evaluation and Improvement;</w:t>
      </w:r>
      <w:r w:rsidRPr="00610A7C">
        <w:rPr>
          <w:rFonts w:ascii="Calibri" w:hAnsi="Calibri" w:cstheme="minorHAnsi"/>
        </w:rPr>
        <w:t xml:space="preserve"> </w:t>
      </w:r>
      <w:r w:rsidRPr="00610A7C" w:rsidR="0050319A">
        <w:rPr>
          <w:rFonts w:ascii="Calibri" w:hAnsi="Calibri" w:cstheme="minorHAnsi"/>
        </w:rPr>
        <w:t xml:space="preserve">and </w:t>
      </w:r>
      <w:r w:rsidRPr="00610A7C">
        <w:rPr>
          <w:rFonts w:ascii="Calibri" w:hAnsi="Calibri" w:cstheme="minorHAnsi"/>
        </w:rPr>
        <w:t>Communication and Coordination for Host Employers, Contractors and Staffing Agencies</w:t>
      </w:r>
      <w:r w:rsidRPr="00610A7C" w:rsidR="0050319A">
        <w:rPr>
          <w:rFonts w:ascii="Calibri" w:hAnsi="Calibri" w:cstheme="minorHAnsi"/>
        </w:rPr>
        <w:t xml:space="preserve"> </w:t>
      </w:r>
      <w:r w:rsidRPr="00610A7C">
        <w:rPr>
          <w:rFonts w:ascii="Calibri" w:hAnsi="Calibri" w:cstheme="minorHAnsi"/>
        </w:rPr>
        <w:t>(</w:t>
      </w:r>
      <w:r w:rsidRPr="00610A7C" w:rsidR="0050319A">
        <w:rPr>
          <w:rFonts w:ascii="Calibri" w:hAnsi="Calibri" w:cstheme="minorHAnsi"/>
        </w:rPr>
        <w:t xml:space="preserve">i.e., the </w:t>
      </w:r>
      <w:r w:rsidRPr="00610A7C">
        <w:rPr>
          <w:rFonts w:ascii="Calibri" w:hAnsi="Calibri" w:cstheme="minorHAnsi"/>
        </w:rPr>
        <w:t xml:space="preserve">multi-employer element)).  </w:t>
      </w:r>
      <w:r w:rsidRPr="00610A7C" w:rsidR="00990A40">
        <w:rPr>
          <w:rFonts w:ascii="Calibri" w:hAnsi="Calibri" w:cstheme="minorHAnsi"/>
        </w:rPr>
        <w:t>Each core element is described by a number of attributes</w:t>
      </w:r>
      <w:r w:rsidRPr="00610A7C" w:rsidR="008F0DCA">
        <w:rPr>
          <w:rFonts w:ascii="Calibri" w:hAnsi="Calibri" w:cstheme="minorHAnsi"/>
        </w:rPr>
        <w:t>.</w:t>
      </w:r>
      <w:r w:rsidRPr="00610A7C" w:rsidR="00990A40">
        <w:rPr>
          <w:rFonts w:ascii="Calibri" w:hAnsi="Calibri" w:cstheme="minorHAnsi"/>
        </w:rPr>
        <w:t xml:space="preserve">  </w:t>
      </w:r>
      <w:r>
        <w:rPr>
          <w:rFonts w:ascii="Calibri" w:hAnsi="Calibri" w:cstheme="minorHAnsi"/>
        </w:rPr>
        <w:t>T</w:t>
      </w:r>
      <w:r w:rsidRPr="00946C92">
        <w:rPr>
          <w:rFonts w:ascii="Calibri" w:hAnsi="Calibri" w:cstheme="minorHAnsi"/>
        </w:rPr>
        <w:t>he total number of attributes in the DRF33 is fifty-two (52), and four of these attributes directly assess the multi-employer element</w:t>
      </w:r>
      <w:r>
        <w:rPr>
          <w:rFonts w:ascii="Calibri" w:hAnsi="Calibri" w:cstheme="minorHAnsi"/>
        </w:rPr>
        <w:t xml:space="preserve">.  </w:t>
      </w:r>
    </w:p>
    <w:p w:rsidR="003D4C01" w:rsidP="00654F00" w14:paraId="753F24D6" w14:textId="77777777">
      <w:pPr>
        <w:rPr>
          <w:rFonts w:ascii="Calibri" w:hAnsi="Calibri" w:cstheme="minorHAnsi"/>
        </w:rPr>
      </w:pPr>
      <w:r w:rsidRPr="00610A7C">
        <w:rPr>
          <w:rFonts w:ascii="Calibri" w:hAnsi="Calibri" w:cstheme="minorHAnsi"/>
        </w:rPr>
        <w:t>A comprehensive SHP assessment means that c</w:t>
      </w:r>
      <w:r w:rsidRPr="00610A7C" w:rsidR="00654F00">
        <w:rPr>
          <w:rFonts w:ascii="Calibri" w:hAnsi="Calibri" w:cstheme="minorHAnsi"/>
        </w:rPr>
        <w:t>onsultants</w:t>
      </w:r>
      <w:r w:rsidRPr="00610A7C" w:rsidR="000D7572">
        <w:rPr>
          <w:rFonts w:ascii="Calibri" w:hAnsi="Calibri" w:cstheme="minorHAnsi"/>
        </w:rPr>
        <w:t xml:space="preserve"> (i.e., respondents)</w:t>
      </w:r>
      <w:r w:rsidRPr="00610A7C" w:rsidR="00654F00">
        <w:rPr>
          <w:rFonts w:ascii="Calibri" w:hAnsi="Calibri" w:cstheme="minorHAnsi"/>
        </w:rPr>
        <w:t xml:space="preserve"> will assess the level of implementation of each</w:t>
      </w:r>
      <w:r w:rsidRPr="00610A7C">
        <w:rPr>
          <w:rFonts w:ascii="Calibri" w:hAnsi="Calibri" w:cstheme="minorHAnsi"/>
        </w:rPr>
        <w:t xml:space="preserve"> of the </w:t>
      </w:r>
      <w:r w:rsidRPr="00610A7C" w:rsidR="008F0DCA">
        <w:rPr>
          <w:rFonts w:ascii="Calibri" w:hAnsi="Calibri" w:cstheme="minorHAnsi"/>
        </w:rPr>
        <w:t>52</w:t>
      </w:r>
      <w:r w:rsidRPr="00610A7C" w:rsidR="00654F00">
        <w:rPr>
          <w:rFonts w:ascii="Calibri" w:hAnsi="Calibri" w:cstheme="minorHAnsi"/>
        </w:rPr>
        <w:t xml:space="preserve"> attribute</w:t>
      </w:r>
      <w:r w:rsidRPr="00610A7C">
        <w:rPr>
          <w:rFonts w:ascii="Calibri" w:hAnsi="Calibri" w:cstheme="minorHAnsi"/>
        </w:rPr>
        <w:t>s</w:t>
      </w:r>
      <w:r w:rsidRPr="00610A7C" w:rsidR="00654F00">
        <w:rPr>
          <w:rFonts w:ascii="Calibri" w:hAnsi="Calibri" w:cstheme="minorHAnsi"/>
        </w:rPr>
        <w:t xml:space="preserve"> at a workplace and assign ratings recorded in </w:t>
      </w:r>
      <w:r w:rsidR="00213EB1">
        <w:rPr>
          <w:rFonts w:ascii="Calibri" w:hAnsi="Calibri" w:cstheme="minorHAnsi"/>
        </w:rPr>
        <w:t xml:space="preserve">the </w:t>
      </w:r>
      <w:r w:rsidRPr="00610A7C" w:rsidR="00654F00">
        <w:rPr>
          <w:rFonts w:ascii="Calibri" w:hAnsi="Calibri" w:cstheme="minorHAnsi"/>
        </w:rPr>
        <w:t>DRF33.  The possible ratings for an attribute range from 0 to 3</w:t>
      </w:r>
      <w:r>
        <w:rPr>
          <w:rFonts w:ascii="Calibri" w:hAnsi="Calibri" w:cstheme="minorHAnsi"/>
        </w:rPr>
        <w:t xml:space="preserve">.  </w:t>
      </w:r>
      <w:r w:rsidR="001A6B63">
        <w:rPr>
          <w:rFonts w:ascii="Calibri" w:hAnsi="Calibri" w:cstheme="minorHAnsi"/>
        </w:rPr>
        <w:t>I</w:t>
      </w:r>
      <w:r w:rsidRPr="00610A7C" w:rsidR="005764A3">
        <w:rPr>
          <w:rFonts w:ascii="Calibri" w:hAnsi="Calibri" w:cstheme="minorHAnsi"/>
        </w:rPr>
        <w:t xml:space="preserve">n the case of </w:t>
      </w:r>
      <w:r w:rsidRPr="00610A7C" w:rsidR="00E24D8A">
        <w:rPr>
          <w:rFonts w:ascii="Calibri" w:hAnsi="Calibri" w:cstheme="minorHAnsi"/>
        </w:rPr>
        <w:t xml:space="preserve">a workplace where </w:t>
      </w:r>
      <w:r w:rsidRPr="00610A7C" w:rsidR="005764A3">
        <w:rPr>
          <w:rFonts w:ascii="Calibri" w:hAnsi="Calibri" w:cstheme="minorHAnsi"/>
        </w:rPr>
        <w:t>the</w:t>
      </w:r>
      <w:r w:rsidRPr="00610A7C" w:rsidR="00E24D8A">
        <w:rPr>
          <w:rFonts w:ascii="Calibri" w:hAnsi="Calibri" w:cstheme="minorHAnsi"/>
        </w:rPr>
        <w:t>re is only one employer</w:t>
      </w:r>
      <w:r w:rsidRPr="005458BF" w:rsidR="005458BF">
        <w:rPr>
          <w:rFonts w:ascii="Calibri" w:hAnsi="Calibri" w:cstheme="minorHAnsi"/>
        </w:rPr>
        <w:t xml:space="preserve"> </w:t>
      </w:r>
      <w:r w:rsidR="003C6CA6">
        <w:rPr>
          <w:rFonts w:ascii="Calibri" w:hAnsi="Calibri" w:cstheme="minorHAnsi"/>
        </w:rPr>
        <w:t xml:space="preserve">at all times </w:t>
      </w:r>
      <w:r w:rsidRPr="005458BF" w:rsidR="005458BF">
        <w:rPr>
          <w:rFonts w:ascii="Calibri" w:hAnsi="Calibri" w:cstheme="minorHAnsi"/>
        </w:rPr>
        <w:t>and all workers in the workplace work directly for this e</w:t>
      </w:r>
      <w:r w:rsidR="00D00B13">
        <w:rPr>
          <w:rFonts w:ascii="Calibri" w:hAnsi="Calibri" w:cstheme="minorHAnsi"/>
        </w:rPr>
        <w:t>mployer</w:t>
      </w:r>
      <w:r w:rsidRPr="00610A7C" w:rsidR="00E24D8A">
        <w:rPr>
          <w:rFonts w:ascii="Calibri" w:hAnsi="Calibri" w:cstheme="minorHAnsi"/>
        </w:rPr>
        <w:t xml:space="preserve">, the </w:t>
      </w:r>
      <w:r w:rsidRPr="00610A7C" w:rsidR="005764A3">
        <w:rPr>
          <w:rFonts w:ascii="Calibri" w:hAnsi="Calibri" w:cstheme="minorHAnsi"/>
        </w:rPr>
        <w:t xml:space="preserve">multi-employer </w:t>
      </w:r>
      <w:r w:rsidRPr="00610A7C" w:rsidR="00E24D8A">
        <w:rPr>
          <w:rFonts w:ascii="Calibri" w:hAnsi="Calibri" w:cstheme="minorHAnsi"/>
        </w:rPr>
        <w:t>element would not apply, and consequently</w:t>
      </w:r>
      <w:r w:rsidR="005C5EE1">
        <w:rPr>
          <w:rFonts w:ascii="Calibri" w:hAnsi="Calibri" w:cstheme="minorHAnsi"/>
        </w:rPr>
        <w:t>,</w:t>
      </w:r>
      <w:r w:rsidRPr="00610A7C" w:rsidR="00E24D8A">
        <w:rPr>
          <w:rFonts w:ascii="Calibri" w:hAnsi="Calibri" w:cstheme="minorHAnsi"/>
        </w:rPr>
        <w:t xml:space="preserve"> </w:t>
      </w:r>
      <w:r w:rsidRPr="00610A7C" w:rsidR="00797BD8">
        <w:rPr>
          <w:rFonts w:ascii="Calibri" w:hAnsi="Calibri" w:cstheme="minorHAnsi"/>
        </w:rPr>
        <w:t xml:space="preserve">consultants will not be able to assess the </w:t>
      </w:r>
      <w:r w:rsidRPr="00610A7C" w:rsidR="00E24D8A">
        <w:rPr>
          <w:rFonts w:ascii="Calibri" w:hAnsi="Calibri" w:cstheme="minorHAnsi"/>
        </w:rPr>
        <w:t xml:space="preserve">implementation of the </w:t>
      </w:r>
      <w:r w:rsidR="001747BB">
        <w:rPr>
          <w:rFonts w:ascii="Calibri" w:hAnsi="Calibri" w:cstheme="minorHAnsi"/>
        </w:rPr>
        <w:t xml:space="preserve">multi-employer </w:t>
      </w:r>
      <w:r w:rsidRPr="00610A7C" w:rsidR="005764A3">
        <w:rPr>
          <w:rFonts w:ascii="Calibri" w:hAnsi="Calibri" w:cstheme="minorHAnsi"/>
        </w:rPr>
        <w:t>attributes</w:t>
      </w:r>
      <w:r w:rsidR="001747BB">
        <w:rPr>
          <w:rFonts w:ascii="Calibri" w:hAnsi="Calibri" w:cstheme="minorHAnsi"/>
        </w:rPr>
        <w:t xml:space="preserve"> but must assess the remaining 48 attributes</w:t>
      </w:r>
      <w:r w:rsidRPr="00610A7C" w:rsidR="00654F00">
        <w:rPr>
          <w:rFonts w:ascii="Calibri" w:hAnsi="Calibri" w:cstheme="minorHAnsi"/>
        </w:rPr>
        <w:t xml:space="preserve">.  </w:t>
      </w:r>
      <w:r w:rsidRPr="00610A7C">
        <w:rPr>
          <w:rFonts w:ascii="Calibri" w:hAnsi="Calibri" w:cstheme="minorHAnsi"/>
        </w:rPr>
        <w:t xml:space="preserve"> </w:t>
      </w:r>
      <w:r w:rsidRPr="003D4C01">
        <w:rPr>
          <w:rFonts w:ascii="Calibri" w:hAnsi="Calibri" w:cstheme="minorHAnsi"/>
        </w:rPr>
        <w:t xml:space="preserve">Therefore, </w:t>
      </w:r>
      <w:r w:rsidRPr="003D4C01">
        <w:rPr>
          <w:rFonts w:ascii="Calibri" w:hAnsi="Calibri" w:cstheme="minorHAnsi"/>
          <w:u w:val="single"/>
        </w:rPr>
        <w:t xml:space="preserve">it is important to emphasize that consultants must evaluate every workplace assessed in these studies with regard to all the 48 DRF33 attributes, which do not explicitly pertain to the multi-employer core element.  </w:t>
      </w:r>
      <w:r w:rsidR="005E4EEF">
        <w:rPr>
          <w:rFonts w:ascii="Calibri" w:hAnsi="Calibri" w:cstheme="minorHAnsi"/>
          <w:u w:val="single"/>
        </w:rPr>
        <w:t>Additionally,</w:t>
      </w:r>
      <w:r w:rsidR="00ED0FC7">
        <w:rPr>
          <w:rFonts w:ascii="Calibri" w:hAnsi="Calibri" w:cstheme="minorHAnsi"/>
          <w:u w:val="single"/>
        </w:rPr>
        <w:t xml:space="preserve"> t</w:t>
      </w:r>
      <w:r w:rsidR="003207C8">
        <w:rPr>
          <w:rFonts w:ascii="Calibri" w:hAnsi="Calibri" w:cstheme="minorHAnsi"/>
          <w:u w:val="single"/>
        </w:rPr>
        <w:t>he</w:t>
      </w:r>
      <w:r w:rsidRPr="003D4C01">
        <w:rPr>
          <w:rFonts w:ascii="Calibri" w:hAnsi="Calibri" w:cstheme="minorHAnsi"/>
          <w:u w:val="single"/>
        </w:rPr>
        <w:t xml:space="preserve"> four multi-employer attributes must be rated at every workplace </w:t>
      </w:r>
      <w:r w:rsidR="0097335D">
        <w:rPr>
          <w:rFonts w:ascii="Calibri" w:hAnsi="Calibri" w:cstheme="minorHAnsi"/>
          <w:u w:val="single"/>
        </w:rPr>
        <w:t>that may have</w:t>
      </w:r>
      <w:r w:rsidR="0081186B">
        <w:rPr>
          <w:rFonts w:ascii="Calibri" w:hAnsi="Calibri" w:cstheme="minorHAnsi"/>
          <w:u w:val="single"/>
        </w:rPr>
        <w:t xml:space="preserve"> other</w:t>
      </w:r>
      <w:r w:rsidRPr="003D4C01">
        <w:rPr>
          <w:rFonts w:ascii="Calibri" w:hAnsi="Calibri" w:cstheme="minorHAnsi"/>
          <w:u w:val="single"/>
        </w:rPr>
        <w:t xml:space="preserve"> workers</w:t>
      </w:r>
      <w:r w:rsidR="0097335D">
        <w:rPr>
          <w:rFonts w:ascii="Calibri" w:hAnsi="Calibri" w:cstheme="minorHAnsi"/>
          <w:u w:val="single"/>
        </w:rPr>
        <w:t xml:space="preserve"> present at any time</w:t>
      </w:r>
      <w:r w:rsidRPr="003D4C01">
        <w:rPr>
          <w:rFonts w:ascii="Calibri" w:hAnsi="Calibri" w:cstheme="minorHAnsi"/>
          <w:u w:val="single"/>
        </w:rPr>
        <w:t xml:space="preserve"> </w:t>
      </w:r>
      <w:r w:rsidR="00791BF1">
        <w:rPr>
          <w:rFonts w:ascii="Calibri" w:hAnsi="Calibri" w:cstheme="minorHAnsi"/>
          <w:u w:val="single"/>
        </w:rPr>
        <w:t xml:space="preserve">(e.g., temporary, seasonal, </w:t>
      </w:r>
      <w:r w:rsidR="00A35E64">
        <w:rPr>
          <w:rFonts w:ascii="Calibri" w:hAnsi="Calibri" w:cstheme="minorHAnsi"/>
          <w:u w:val="single"/>
        </w:rPr>
        <w:t xml:space="preserve">and </w:t>
      </w:r>
      <w:r w:rsidR="00791BF1">
        <w:rPr>
          <w:rFonts w:ascii="Calibri" w:hAnsi="Calibri" w:cstheme="minorHAnsi"/>
          <w:u w:val="single"/>
        </w:rPr>
        <w:t xml:space="preserve">contractual workers) </w:t>
      </w:r>
      <w:r w:rsidR="0081186B">
        <w:rPr>
          <w:rFonts w:ascii="Calibri" w:hAnsi="Calibri" w:cstheme="minorHAnsi"/>
          <w:u w:val="single"/>
        </w:rPr>
        <w:t>in addition to</w:t>
      </w:r>
      <w:r w:rsidRPr="003D4C01">
        <w:rPr>
          <w:rFonts w:ascii="Calibri" w:hAnsi="Calibri" w:cstheme="minorHAnsi"/>
          <w:u w:val="single"/>
        </w:rPr>
        <w:t xml:space="preserve"> the host employer’s workers</w:t>
      </w:r>
      <w:r w:rsidR="0090500E">
        <w:rPr>
          <w:rFonts w:ascii="Calibri" w:hAnsi="Calibri" w:cstheme="minorHAnsi"/>
          <w:u w:val="single"/>
        </w:rPr>
        <w:t>.</w:t>
      </w:r>
      <w:r w:rsidRPr="003D4C01">
        <w:rPr>
          <w:rFonts w:ascii="Calibri" w:hAnsi="Calibri" w:cstheme="minorHAnsi"/>
        </w:rPr>
        <w:t xml:space="preserve"> </w:t>
      </w:r>
      <w:r w:rsidRPr="00610A7C">
        <w:rPr>
          <w:rFonts w:ascii="Calibri" w:hAnsi="Calibri" w:cstheme="minorHAnsi"/>
        </w:rPr>
        <w:t xml:space="preserve"> </w:t>
      </w:r>
      <w:r w:rsidRPr="00610A7C" w:rsidR="00654F00">
        <w:rPr>
          <w:rFonts w:ascii="Calibri" w:hAnsi="Calibri" w:cstheme="minorHAnsi"/>
        </w:rPr>
        <w:t xml:space="preserve">  </w:t>
      </w:r>
    </w:p>
    <w:p w:rsidR="00A13BF3" w:rsidRPr="00610A7C" w:rsidP="00654F00" w14:paraId="127526EC" w14:textId="77777777">
      <w:pPr>
        <w:rPr>
          <w:rFonts w:ascii="Calibri" w:hAnsi="Calibri" w:cstheme="minorHAnsi"/>
        </w:rPr>
      </w:pPr>
      <w:r>
        <w:rPr>
          <w:rFonts w:ascii="Calibri" w:hAnsi="Calibri" w:cstheme="minorHAnsi"/>
        </w:rPr>
        <w:t xml:space="preserve">Core element scores </w:t>
      </w:r>
      <w:r w:rsidR="00B17661">
        <w:rPr>
          <w:rFonts w:ascii="Calibri" w:hAnsi="Calibri" w:cstheme="minorHAnsi"/>
        </w:rPr>
        <w:t>are</w:t>
      </w:r>
      <w:r>
        <w:rPr>
          <w:rFonts w:ascii="Calibri" w:hAnsi="Calibri" w:cstheme="minorHAnsi"/>
        </w:rPr>
        <w:t xml:space="preserve"> derived by summing the ratings for attributes in each core element and subsequently placing these summed scores onto a 0 to 100-point scale.  A weighted total score </w:t>
      </w:r>
      <w:r w:rsidR="00B17661">
        <w:rPr>
          <w:rFonts w:ascii="Calibri" w:hAnsi="Calibri" w:cstheme="minorHAnsi"/>
        </w:rPr>
        <w:t>is</w:t>
      </w:r>
      <w:r>
        <w:rPr>
          <w:rFonts w:ascii="Calibri" w:hAnsi="Calibri" w:cstheme="minorHAnsi"/>
        </w:rPr>
        <w:t xml:space="preserve"> derived analogously across all attributes (except the four multi-employer attributes).  An unweighted </w:t>
      </w:r>
      <w:r>
        <w:rPr>
          <w:rFonts w:ascii="Calibri" w:hAnsi="Calibri" w:cstheme="minorHAnsi"/>
        </w:rPr>
        <w:t xml:space="preserve">total score </w:t>
      </w:r>
      <w:r w:rsidR="00B17661">
        <w:rPr>
          <w:rFonts w:ascii="Calibri" w:hAnsi="Calibri" w:cstheme="minorHAnsi"/>
        </w:rPr>
        <w:t>is</w:t>
      </w:r>
      <w:r>
        <w:rPr>
          <w:rFonts w:ascii="Calibri" w:hAnsi="Calibri" w:cstheme="minorHAnsi"/>
        </w:rPr>
        <w:t xml:space="preserve"> produced by simply averaging all core elements (except the multi-employer element).  The multi-employer element will be excluded from the total scores due to its systematic missing data, but this element will be included in the primary and secondary analyses of multi-employer worksites whenever it is appropriate.  </w:t>
      </w:r>
      <w:r w:rsidRPr="00610A7C" w:rsidR="00CE43DF">
        <w:rPr>
          <w:rFonts w:ascii="Calibri" w:hAnsi="Calibri" w:cstheme="minorHAnsi"/>
        </w:rPr>
        <w:t>Consultants will also input a summary of SHP assessment findings and recommendations for employers</w:t>
      </w:r>
      <w:r w:rsidR="00902843">
        <w:rPr>
          <w:rFonts w:ascii="Calibri" w:hAnsi="Calibri" w:cstheme="minorHAnsi"/>
        </w:rPr>
        <w:t>’</w:t>
      </w:r>
      <w:r>
        <w:rPr>
          <w:rFonts w:ascii="Calibri" w:hAnsi="Calibri" w:cstheme="minorHAnsi"/>
        </w:rPr>
        <w:t xml:space="preserve"> workplaces into the DRF33</w:t>
      </w:r>
      <w:r w:rsidRPr="00610A7C" w:rsidR="00CE43DF">
        <w:rPr>
          <w:rFonts w:ascii="Calibri" w:hAnsi="Calibri" w:cstheme="minorHAnsi"/>
        </w:rPr>
        <w:t xml:space="preserve">.  </w:t>
      </w:r>
      <w:r w:rsidRPr="00610A7C" w:rsidR="00654F00">
        <w:rPr>
          <w:rFonts w:ascii="Calibri" w:hAnsi="Calibri" w:cstheme="minorHAnsi"/>
        </w:rPr>
        <w:t>In addition, consultants may choose to provide feedback on the a</w:t>
      </w:r>
      <w:r w:rsidRPr="00610A7C" w:rsidR="003563AA">
        <w:rPr>
          <w:rFonts w:ascii="Calibri" w:hAnsi="Calibri" w:cstheme="minorHAnsi"/>
        </w:rPr>
        <w:t>pplication of the DRF33 and ARG</w:t>
      </w:r>
      <w:r w:rsidRPr="00610A7C" w:rsidR="00654F00">
        <w:rPr>
          <w:rFonts w:ascii="Calibri" w:hAnsi="Calibri" w:cstheme="minorHAnsi"/>
        </w:rPr>
        <w:t xml:space="preserve"> through </w:t>
      </w:r>
      <w:r w:rsidRPr="00610A7C" w:rsidR="00924216">
        <w:rPr>
          <w:rFonts w:ascii="Calibri" w:hAnsi="Calibri" w:cstheme="minorHAnsi"/>
        </w:rPr>
        <w:t>six</w:t>
      </w:r>
      <w:r w:rsidRPr="00610A7C" w:rsidR="00654F00">
        <w:rPr>
          <w:rFonts w:ascii="Calibri" w:hAnsi="Calibri" w:cstheme="minorHAnsi"/>
        </w:rPr>
        <w:t xml:space="preserve"> </w:t>
      </w:r>
      <w:r w:rsidRPr="00610A7C" w:rsidR="00001F9A">
        <w:rPr>
          <w:rFonts w:ascii="Calibri" w:hAnsi="Calibri" w:cstheme="minorHAnsi"/>
        </w:rPr>
        <w:t>optional</w:t>
      </w:r>
      <w:r w:rsidRPr="00610A7C" w:rsidR="00654F00">
        <w:rPr>
          <w:rFonts w:ascii="Calibri" w:hAnsi="Calibri" w:cstheme="minorHAnsi"/>
        </w:rPr>
        <w:t xml:space="preserve"> survey questions.</w:t>
      </w:r>
      <w:r w:rsidRPr="00610A7C">
        <w:rPr>
          <w:rFonts w:ascii="Calibri" w:hAnsi="Calibri" w:cstheme="minorHAnsi"/>
        </w:rPr>
        <w:t xml:space="preserve">  </w:t>
      </w:r>
      <w:r w:rsidRPr="00610A7C" w:rsidR="00654F00">
        <w:rPr>
          <w:rFonts w:ascii="Calibri" w:hAnsi="Calibri" w:cstheme="minorHAnsi"/>
        </w:rPr>
        <w:t xml:space="preserve">The data collected by consultants in the DRF33 will be used to conduct validity and reliability </w:t>
      </w:r>
      <w:r w:rsidRPr="00610A7C" w:rsidR="008602AF">
        <w:rPr>
          <w:rFonts w:ascii="Calibri" w:hAnsi="Calibri" w:cstheme="minorHAnsi"/>
        </w:rPr>
        <w:t>analyses</w:t>
      </w:r>
      <w:r w:rsidRPr="00610A7C" w:rsidR="00654F00">
        <w:rPr>
          <w:rFonts w:ascii="Calibri" w:hAnsi="Calibri" w:cstheme="minorHAnsi"/>
        </w:rPr>
        <w:t xml:space="preserve"> to determine the effectiveness of the DRF33 in assessing workplace SHPs.  </w:t>
      </w:r>
    </w:p>
    <w:p w:rsidR="00A13BF3" w:rsidRPr="00610A7C" w:rsidP="00654F00" w14:paraId="3362E4E8" w14:textId="77777777">
      <w:pPr>
        <w:rPr>
          <w:rFonts w:ascii="Calibri" w:hAnsi="Calibri" w:cstheme="minorHAnsi"/>
          <w:b/>
          <w:i/>
        </w:rPr>
      </w:pPr>
      <w:r w:rsidRPr="00610A7C">
        <w:rPr>
          <w:rFonts w:ascii="Calibri" w:hAnsi="Calibri" w:cstheme="minorHAnsi"/>
          <w:b/>
          <w:i/>
        </w:rPr>
        <w:t>TRC and DART</w:t>
      </w:r>
      <w:r w:rsidR="005F2F03">
        <w:rPr>
          <w:rFonts w:ascii="Calibri" w:hAnsi="Calibri" w:cstheme="minorHAnsi"/>
          <w:b/>
          <w:i/>
        </w:rPr>
        <w:t xml:space="preserve"> Calculations</w:t>
      </w:r>
    </w:p>
    <w:p w:rsidR="00650A37" w:rsidP="00654F00" w14:paraId="73F46275" w14:textId="77777777">
      <w:pPr>
        <w:rPr>
          <w:rFonts w:ascii="Calibri" w:hAnsi="Calibri" w:cstheme="minorHAnsi"/>
        </w:rPr>
      </w:pPr>
      <w:r w:rsidRPr="00610A7C">
        <w:rPr>
          <w:rFonts w:ascii="Calibri" w:hAnsi="Calibri" w:cstheme="minorHAnsi"/>
        </w:rPr>
        <w:t xml:space="preserve">Although the total and subscale DRF33 scores will serve as the primary measures in the </w:t>
      </w:r>
      <w:r w:rsidRPr="00610A7C" w:rsidR="008602AF">
        <w:rPr>
          <w:rFonts w:ascii="Calibri" w:hAnsi="Calibri" w:cstheme="minorHAnsi"/>
        </w:rPr>
        <w:t>analyses</w:t>
      </w:r>
      <w:r w:rsidRPr="00610A7C">
        <w:rPr>
          <w:rFonts w:ascii="Calibri" w:hAnsi="Calibri" w:cstheme="minorHAnsi"/>
        </w:rPr>
        <w:t xml:space="preserve"> that will be conducted, measures regarding other workplace level covariates will also be obtained.  </w:t>
      </w:r>
      <w:r w:rsidR="0065750E">
        <w:rPr>
          <w:rFonts w:ascii="Calibri" w:hAnsi="Calibri" w:cstheme="minorHAnsi"/>
        </w:rPr>
        <w:t xml:space="preserve">Since </w:t>
      </w:r>
      <w:r w:rsidR="0065750E">
        <w:rPr>
          <w:rFonts w:ascii="Calibri" w:hAnsi="Calibri" w:cstheme="minorHAnsi"/>
          <w:lang w:val="en"/>
        </w:rPr>
        <w:t>the overall goal of SHPs</w:t>
      </w:r>
      <w:r w:rsidRPr="0065750E" w:rsidR="0065750E">
        <w:rPr>
          <w:rFonts w:ascii="Calibri" w:hAnsi="Calibri" w:cstheme="minorHAnsi"/>
          <w:lang w:val="en"/>
        </w:rPr>
        <w:t xml:space="preserve"> is to prevent the occurrence of </w:t>
      </w:r>
      <w:r w:rsidR="0065750E">
        <w:rPr>
          <w:rFonts w:ascii="Calibri" w:hAnsi="Calibri" w:cstheme="minorHAnsi"/>
          <w:lang w:val="en"/>
        </w:rPr>
        <w:t>illnesses and injuries</w:t>
      </w:r>
      <w:r w:rsidRPr="0065750E" w:rsidR="0065750E">
        <w:rPr>
          <w:rFonts w:ascii="Calibri" w:hAnsi="Calibri" w:cstheme="minorHAnsi"/>
          <w:lang w:val="en"/>
        </w:rPr>
        <w:t xml:space="preserve"> that may result from exposure to hazardous workplace conditions and hazardous work practices</w:t>
      </w:r>
      <w:r w:rsidR="0065750E">
        <w:rPr>
          <w:rFonts w:ascii="Calibri" w:hAnsi="Calibri" w:cstheme="minorHAnsi"/>
          <w:lang w:val="en"/>
        </w:rPr>
        <w:t xml:space="preserve">, </w:t>
      </w:r>
      <w:r w:rsidRPr="00610A7C">
        <w:rPr>
          <w:rFonts w:ascii="Calibri" w:hAnsi="Calibri" w:cstheme="minorHAnsi"/>
        </w:rPr>
        <w:t xml:space="preserve">measures of the total recordable case rate (TRC), </w:t>
      </w:r>
      <w:r w:rsidRPr="00610A7C" w:rsidR="005764A3">
        <w:rPr>
          <w:rFonts w:ascii="Calibri" w:hAnsi="Calibri" w:cstheme="minorHAnsi"/>
        </w:rPr>
        <w:t xml:space="preserve">and the </w:t>
      </w:r>
      <w:r w:rsidRPr="00610A7C">
        <w:rPr>
          <w:rFonts w:ascii="Calibri" w:hAnsi="Calibri" w:cstheme="minorHAnsi"/>
        </w:rPr>
        <w:t>days away, restricted or transferred rate (DART) will be used.</w:t>
      </w:r>
      <w:r w:rsidRPr="00610A7C" w:rsidR="005764A3">
        <w:rPr>
          <w:rFonts w:ascii="Calibri" w:hAnsi="Calibri" w:cstheme="minorHAnsi"/>
        </w:rPr>
        <w:t xml:space="preserve">  </w:t>
      </w:r>
      <w:r w:rsidRPr="00610A7C" w:rsidR="0000695D">
        <w:rPr>
          <w:rFonts w:ascii="Calibri" w:hAnsi="Calibri" w:cstheme="minorHAnsi"/>
        </w:rPr>
        <w:t xml:space="preserve"> </w:t>
      </w:r>
    </w:p>
    <w:p w:rsidR="008F339C" w:rsidRPr="00610A7C" w:rsidP="00654F00" w14:paraId="01721BF8" w14:textId="77777777">
      <w:pPr>
        <w:rPr>
          <w:rFonts w:ascii="Calibri" w:hAnsi="Calibri" w:cstheme="minorHAnsi"/>
        </w:rPr>
      </w:pPr>
      <w:r w:rsidRPr="00610A7C">
        <w:rPr>
          <w:rFonts w:ascii="Calibri" w:hAnsi="Calibri" w:cstheme="minorHAnsi"/>
        </w:rPr>
        <w:t xml:space="preserve">Since </w:t>
      </w:r>
      <w:r w:rsidRPr="00610A7C" w:rsidR="007961FB">
        <w:rPr>
          <w:rFonts w:ascii="Calibri" w:hAnsi="Calibri" w:cstheme="minorHAnsi"/>
        </w:rPr>
        <w:t>DART and TRC</w:t>
      </w:r>
      <w:r w:rsidRPr="00610A7C" w:rsidR="005764A3">
        <w:rPr>
          <w:rFonts w:ascii="Calibri" w:hAnsi="Calibri" w:cstheme="minorHAnsi"/>
        </w:rPr>
        <w:t xml:space="preserve"> are indices of </w:t>
      </w:r>
      <w:r w:rsidRPr="00610A7C" w:rsidR="00E8465B">
        <w:rPr>
          <w:rFonts w:ascii="Calibri" w:hAnsi="Calibri" w:cstheme="minorHAnsi"/>
        </w:rPr>
        <w:t xml:space="preserve">occupational </w:t>
      </w:r>
      <w:r w:rsidR="0065750E">
        <w:rPr>
          <w:rFonts w:ascii="Calibri" w:hAnsi="Calibri" w:cstheme="minorHAnsi"/>
        </w:rPr>
        <w:t>illness</w:t>
      </w:r>
      <w:r w:rsidRPr="00610A7C" w:rsidR="0065750E">
        <w:rPr>
          <w:rFonts w:ascii="Calibri" w:hAnsi="Calibri" w:cstheme="minorHAnsi"/>
        </w:rPr>
        <w:t xml:space="preserve"> </w:t>
      </w:r>
      <w:r w:rsidRPr="00610A7C" w:rsidR="005764A3">
        <w:rPr>
          <w:rFonts w:ascii="Calibri" w:hAnsi="Calibri" w:cstheme="minorHAnsi"/>
        </w:rPr>
        <w:t>and injury, one would h</w:t>
      </w:r>
      <w:r w:rsidRPr="00610A7C" w:rsidR="008602AF">
        <w:rPr>
          <w:rFonts w:ascii="Calibri" w:hAnsi="Calibri" w:cstheme="minorHAnsi"/>
        </w:rPr>
        <w:t>ypothesize</w:t>
      </w:r>
      <w:r w:rsidRPr="00610A7C" w:rsidR="005764A3">
        <w:rPr>
          <w:rFonts w:ascii="Calibri" w:hAnsi="Calibri" w:cstheme="minorHAnsi"/>
        </w:rPr>
        <w:t xml:space="preserve"> that these rates would be </w:t>
      </w:r>
      <w:r w:rsidRPr="00610A7C">
        <w:rPr>
          <w:rFonts w:ascii="Calibri" w:hAnsi="Calibri" w:cstheme="minorHAnsi"/>
        </w:rPr>
        <w:t>lower</w:t>
      </w:r>
      <w:r w:rsidRPr="00610A7C" w:rsidR="005764A3">
        <w:rPr>
          <w:rFonts w:ascii="Calibri" w:hAnsi="Calibri" w:cstheme="minorHAnsi"/>
        </w:rPr>
        <w:t xml:space="preserve"> for workplaces with strong</w:t>
      </w:r>
      <w:r w:rsidRPr="00610A7C">
        <w:rPr>
          <w:rFonts w:ascii="Calibri" w:hAnsi="Calibri" w:cstheme="minorHAnsi"/>
        </w:rPr>
        <w:t xml:space="preserve"> or effective</w:t>
      </w:r>
      <w:r w:rsidRPr="00610A7C" w:rsidR="005764A3">
        <w:rPr>
          <w:rFonts w:ascii="Calibri" w:hAnsi="Calibri" w:cstheme="minorHAnsi"/>
        </w:rPr>
        <w:t xml:space="preserve"> SHP</w:t>
      </w:r>
      <w:r w:rsidRPr="00610A7C">
        <w:rPr>
          <w:rFonts w:ascii="Calibri" w:hAnsi="Calibri" w:cstheme="minorHAnsi"/>
        </w:rPr>
        <w:t>s</w:t>
      </w:r>
      <w:r w:rsidRPr="00610A7C" w:rsidR="00AC556D">
        <w:rPr>
          <w:rFonts w:ascii="Calibri" w:hAnsi="Calibri" w:cstheme="minorHAnsi"/>
        </w:rPr>
        <w:t>,</w:t>
      </w:r>
      <w:r w:rsidRPr="00610A7C" w:rsidR="005764A3">
        <w:rPr>
          <w:rFonts w:ascii="Calibri" w:hAnsi="Calibri" w:cstheme="minorHAnsi"/>
        </w:rPr>
        <w:t xml:space="preserve"> rather than </w:t>
      </w:r>
      <w:r w:rsidRPr="00610A7C" w:rsidR="00AC556D">
        <w:rPr>
          <w:rFonts w:ascii="Calibri" w:hAnsi="Calibri" w:cstheme="minorHAnsi"/>
        </w:rPr>
        <w:t xml:space="preserve">those with </w:t>
      </w:r>
      <w:r w:rsidRPr="00610A7C" w:rsidR="005764A3">
        <w:rPr>
          <w:rFonts w:ascii="Calibri" w:hAnsi="Calibri" w:cstheme="minorHAnsi"/>
        </w:rPr>
        <w:t>weak</w:t>
      </w:r>
      <w:r w:rsidRPr="00610A7C">
        <w:rPr>
          <w:rFonts w:ascii="Calibri" w:hAnsi="Calibri" w:cstheme="minorHAnsi"/>
        </w:rPr>
        <w:t xml:space="preserve"> or ineffective</w:t>
      </w:r>
      <w:r w:rsidRPr="00610A7C" w:rsidR="005764A3">
        <w:rPr>
          <w:rFonts w:ascii="Calibri" w:hAnsi="Calibri" w:cstheme="minorHAnsi"/>
        </w:rPr>
        <w:t xml:space="preserve"> programs.</w:t>
      </w:r>
      <w:r w:rsidRPr="00610A7C" w:rsidR="00654F00">
        <w:rPr>
          <w:rFonts w:ascii="Calibri" w:hAnsi="Calibri" w:cstheme="minorHAnsi"/>
        </w:rPr>
        <w:t xml:space="preserve"> </w:t>
      </w:r>
      <w:r w:rsidRPr="00610A7C" w:rsidR="00B5159B">
        <w:rPr>
          <w:rFonts w:ascii="Calibri" w:hAnsi="Calibri" w:cstheme="minorHAnsi"/>
        </w:rPr>
        <w:t xml:space="preserve"> </w:t>
      </w:r>
      <w:r w:rsidRPr="00610A7C" w:rsidR="00B5159B">
        <w:rPr>
          <w:rFonts w:ascii="Calibri" w:hAnsi="Calibri" w:cstheme="minorHAnsi"/>
          <w:color w:val="000000"/>
        </w:rPr>
        <w:t xml:space="preserve">Indeed, </w:t>
      </w:r>
      <w:r w:rsidRPr="00610A7C" w:rsidR="00B5159B">
        <w:rPr>
          <w:rFonts w:ascii="Calibri" w:hAnsi="Calibri" w:cstheme="minorHAnsi"/>
        </w:rPr>
        <w:t xml:space="preserve">Shea, De Cieri, Donohue, Cooper, and Sheehan (2016) suggested that some </w:t>
      </w:r>
      <w:r w:rsidRPr="00610A7C">
        <w:rPr>
          <w:rFonts w:ascii="Calibri" w:hAnsi="Calibri" w:cstheme="minorHAnsi"/>
        </w:rPr>
        <w:t xml:space="preserve">SHP </w:t>
      </w:r>
      <w:r w:rsidR="00D813BC">
        <w:rPr>
          <w:rFonts w:ascii="Calibri" w:hAnsi="Calibri" w:cstheme="minorHAnsi"/>
        </w:rPr>
        <w:t>activities that are leading indicators</w:t>
      </w:r>
      <w:r>
        <w:rPr>
          <w:rStyle w:val="FootnoteReference"/>
          <w:rFonts w:ascii="Calibri" w:hAnsi="Calibri" w:cstheme="minorHAnsi"/>
        </w:rPr>
        <w:footnoteReference w:id="6"/>
      </w:r>
      <w:r w:rsidRPr="00610A7C" w:rsidR="00B5159B">
        <w:rPr>
          <w:rFonts w:ascii="Calibri" w:hAnsi="Calibri" w:cstheme="minorHAnsi"/>
        </w:rPr>
        <w:t xml:space="preserve"> </w:t>
      </w:r>
      <w:r w:rsidR="00D813BC">
        <w:rPr>
          <w:rFonts w:ascii="Calibri" w:hAnsi="Calibri" w:cstheme="minorHAnsi"/>
        </w:rPr>
        <w:t xml:space="preserve">are </w:t>
      </w:r>
      <w:r w:rsidRPr="00610A7C" w:rsidR="00B5159B">
        <w:rPr>
          <w:rFonts w:ascii="Calibri" w:hAnsi="Calibri" w:cstheme="minorHAnsi"/>
        </w:rPr>
        <w:t xml:space="preserve">negatively related </w:t>
      </w:r>
      <w:r w:rsidR="00D813BC">
        <w:rPr>
          <w:rFonts w:ascii="Calibri" w:hAnsi="Calibri" w:cstheme="minorHAnsi"/>
        </w:rPr>
        <w:t xml:space="preserve">to </w:t>
      </w:r>
      <w:r w:rsidRPr="00610A7C" w:rsidR="00B5159B">
        <w:rPr>
          <w:rFonts w:ascii="Calibri" w:hAnsi="Calibri" w:cstheme="minorHAnsi"/>
        </w:rPr>
        <w:t>outcomes like workplace injury or compensation claims.</w:t>
      </w:r>
      <w:r w:rsidRPr="00610A7C" w:rsidR="00A923C5">
        <w:rPr>
          <w:rFonts w:ascii="Calibri" w:hAnsi="Calibri" w:cstheme="minorHAnsi"/>
        </w:rPr>
        <w:t xml:space="preserve">  Auten</w:t>
      </w:r>
      <w:r w:rsidRPr="00610A7C" w:rsidR="00333C33">
        <w:rPr>
          <w:rFonts w:ascii="Calibri" w:hAnsi="Calibri" w:cstheme="minorHAnsi"/>
        </w:rPr>
        <w:t>rieth, Brazile, Sandfort, Douphrate Roman-Muniz, and Reynolds (201</w:t>
      </w:r>
      <w:r w:rsidR="004D4BB1">
        <w:rPr>
          <w:rFonts w:ascii="Calibri" w:hAnsi="Calibri" w:cstheme="minorHAnsi"/>
        </w:rPr>
        <w:t>6</w:t>
      </w:r>
      <w:r w:rsidRPr="00610A7C" w:rsidR="00333C33">
        <w:rPr>
          <w:rFonts w:ascii="Calibri" w:hAnsi="Calibri" w:cstheme="minorHAnsi"/>
        </w:rPr>
        <w:t>) reached similar conclusions when examining TRC and D</w:t>
      </w:r>
      <w:r w:rsidRPr="00610A7C" w:rsidR="008602AF">
        <w:rPr>
          <w:rFonts w:ascii="Calibri" w:hAnsi="Calibri" w:cstheme="minorHAnsi"/>
        </w:rPr>
        <w:t>A</w:t>
      </w:r>
      <w:r w:rsidRPr="00610A7C" w:rsidR="00333C33">
        <w:rPr>
          <w:rFonts w:ascii="Calibri" w:hAnsi="Calibri" w:cstheme="minorHAnsi"/>
        </w:rPr>
        <w:t xml:space="preserve">RT with the OSHA Form 33 that is currently in use.  However, their conclusions </w:t>
      </w:r>
      <w:r w:rsidRPr="00610A7C" w:rsidR="008602AF">
        <w:rPr>
          <w:rFonts w:ascii="Calibri" w:hAnsi="Calibri" w:cstheme="minorHAnsi"/>
        </w:rPr>
        <w:t>generally hold</w:t>
      </w:r>
      <w:r w:rsidRPr="00610A7C" w:rsidR="00333C33">
        <w:rPr>
          <w:rFonts w:ascii="Calibri" w:hAnsi="Calibri" w:cstheme="minorHAnsi"/>
        </w:rPr>
        <w:t xml:space="preserve"> only when all attributes </w:t>
      </w:r>
      <w:r w:rsidRPr="00610A7C">
        <w:rPr>
          <w:rFonts w:ascii="Calibri" w:hAnsi="Calibri" w:cstheme="minorHAnsi"/>
        </w:rPr>
        <w:t xml:space="preserve">of the worksheet </w:t>
      </w:r>
      <w:r w:rsidRPr="00610A7C" w:rsidR="00333C33">
        <w:rPr>
          <w:rFonts w:ascii="Calibri" w:hAnsi="Calibri" w:cstheme="minorHAnsi"/>
        </w:rPr>
        <w:t>have been</w:t>
      </w:r>
      <w:r w:rsidRPr="00610A7C">
        <w:rPr>
          <w:rFonts w:ascii="Calibri" w:hAnsi="Calibri" w:cstheme="minorHAnsi"/>
        </w:rPr>
        <w:t xml:space="preserve"> assessed and</w:t>
      </w:r>
      <w:r w:rsidRPr="00610A7C" w:rsidR="00333C33">
        <w:rPr>
          <w:rFonts w:ascii="Calibri" w:hAnsi="Calibri" w:cstheme="minorHAnsi"/>
        </w:rPr>
        <w:t xml:space="preserve"> rated by consultants.  </w:t>
      </w:r>
    </w:p>
    <w:p w:rsidR="008F339C" w:rsidRPr="00610A7C" w:rsidP="00654F00" w14:paraId="11A79725" w14:textId="77777777">
      <w:pPr>
        <w:rPr>
          <w:rFonts w:ascii="Calibri" w:hAnsi="Calibri" w:cstheme="minorHAnsi"/>
          <w:lang w:val="en"/>
        </w:rPr>
      </w:pPr>
      <w:r w:rsidRPr="00610A7C">
        <w:rPr>
          <w:rFonts w:ascii="Calibri" w:hAnsi="Calibri" w:cstheme="minorHAnsi"/>
          <w:lang w:val="en"/>
        </w:rPr>
        <w:t xml:space="preserve">The TRC </w:t>
      </w:r>
      <w:r w:rsidRPr="00610A7C" w:rsidR="00471F06">
        <w:rPr>
          <w:rFonts w:ascii="Calibri" w:hAnsi="Calibri" w:cstheme="minorHAnsi"/>
          <w:lang w:val="en"/>
        </w:rPr>
        <w:t xml:space="preserve">and DART </w:t>
      </w:r>
      <w:r w:rsidRPr="00610A7C">
        <w:rPr>
          <w:rFonts w:ascii="Calibri" w:hAnsi="Calibri" w:cstheme="minorHAnsi"/>
          <w:lang w:val="en"/>
        </w:rPr>
        <w:t>used in th</w:t>
      </w:r>
      <w:r w:rsidRPr="00610A7C" w:rsidR="007961FB">
        <w:rPr>
          <w:rFonts w:ascii="Calibri" w:hAnsi="Calibri" w:cstheme="minorHAnsi"/>
          <w:lang w:val="en"/>
        </w:rPr>
        <w:t>e</w:t>
      </w:r>
      <w:r w:rsidRPr="00610A7C">
        <w:rPr>
          <w:rFonts w:ascii="Calibri" w:hAnsi="Calibri" w:cstheme="minorHAnsi"/>
          <w:lang w:val="en"/>
        </w:rPr>
        <w:t>s</w:t>
      </w:r>
      <w:r w:rsidRPr="00610A7C" w:rsidR="007961FB">
        <w:rPr>
          <w:rFonts w:ascii="Calibri" w:hAnsi="Calibri" w:cstheme="minorHAnsi"/>
          <w:lang w:val="en"/>
        </w:rPr>
        <w:t>e</w:t>
      </w:r>
      <w:r w:rsidRPr="00610A7C">
        <w:rPr>
          <w:rFonts w:ascii="Calibri" w:hAnsi="Calibri" w:cstheme="minorHAnsi"/>
          <w:lang w:val="en"/>
        </w:rPr>
        <w:t xml:space="preserve"> stud</w:t>
      </w:r>
      <w:r w:rsidRPr="00610A7C" w:rsidR="007961FB">
        <w:rPr>
          <w:rFonts w:ascii="Calibri" w:hAnsi="Calibri" w:cstheme="minorHAnsi"/>
          <w:lang w:val="en"/>
        </w:rPr>
        <w:t>ies</w:t>
      </w:r>
      <w:r w:rsidRPr="00610A7C">
        <w:rPr>
          <w:rFonts w:ascii="Calibri" w:hAnsi="Calibri" w:cstheme="minorHAnsi"/>
          <w:lang w:val="en"/>
        </w:rPr>
        <w:t xml:space="preserve"> will be calculated as follows:</w:t>
      </w:r>
    </w:p>
    <w:p w:rsidR="00626BAC" w:rsidRPr="00610A7C" w:rsidP="00D06C76" w14:paraId="655E13B3" w14:textId="77777777">
      <w:pPr>
        <w:pStyle w:val="ListParagraph"/>
        <w:numPr>
          <w:ilvl w:val="0"/>
          <w:numId w:val="7"/>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H = logged cases resulting in days away from work</w:t>
      </w:r>
    </w:p>
    <w:p w:rsidR="00626BAC" w:rsidRPr="00610A7C" w:rsidP="008F339C" w14:paraId="65269447" w14:textId="77777777">
      <w:pPr>
        <w:spacing w:after="0" w:line="240" w:lineRule="auto"/>
        <w:rPr>
          <w:rFonts w:ascii="Calibri" w:eastAsia="Times New Roman" w:hAnsi="Calibri" w:cstheme="minorHAnsi"/>
          <w:bCs/>
          <w:color w:val="333333"/>
          <w:shd w:val="clear" w:color="auto" w:fill="FFFFFF"/>
        </w:rPr>
      </w:pPr>
    </w:p>
    <w:p w:rsidR="00626BAC" w:rsidRPr="00610A7C" w:rsidP="00D06C76" w14:paraId="14134CA6" w14:textId="77777777">
      <w:pPr>
        <w:pStyle w:val="ListParagraph"/>
        <w:numPr>
          <w:ilvl w:val="0"/>
          <w:numId w:val="7"/>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I = logged cases resulting in job transfer or restriction</w:t>
      </w:r>
    </w:p>
    <w:p w:rsidR="00CA1A92" w:rsidRPr="00610A7C" w:rsidP="008F339C" w14:paraId="43704283" w14:textId="77777777">
      <w:pPr>
        <w:spacing w:after="0" w:line="240" w:lineRule="auto"/>
        <w:rPr>
          <w:rFonts w:ascii="Calibri" w:eastAsia="Times New Roman" w:hAnsi="Calibri" w:cstheme="minorHAnsi"/>
          <w:bCs/>
          <w:color w:val="333333"/>
          <w:shd w:val="clear" w:color="auto" w:fill="FFFFFF"/>
        </w:rPr>
      </w:pPr>
    </w:p>
    <w:p w:rsidR="00626BAC" w:rsidRPr="00610A7C" w:rsidP="00D06C76" w14:paraId="44B47CFF" w14:textId="77777777">
      <w:pPr>
        <w:pStyle w:val="ListParagraph"/>
        <w:numPr>
          <w:ilvl w:val="0"/>
          <w:numId w:val="7"/>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J = other logged cases</w:t>
      </w:r>
    </w:p>
    <w:p w:rsidR="00626BAC" w:rsidRPr="00610A7C" w:rsidP="008F339C" w14:paraId="5B2C2192" w14:textId="77777777">
      <w:pPr>
        <w:spacing w:after="0" w:line="240" w:lineRule="auto"/>
        <w:rPr>
          <w:rFonts w:ascii="Calibri" w:eastAsia="Times New Roman" w:hAnsi="Calibri" w:cstheme="minorHAnsi"/>
          <w:bCs/>
          <w:color w:val="333333"/>
          <w:shd w:val="clear" w:color="auto" w:fill="FFFFFF"/>
        </w:rPr>
      </w:pPr>
    </w:p>
    <w:p w:rsidR="00626BAC" w:rsidRPr="00610A7C" w:rsidP="00D06C76" w14:paraId="4710BD33" w14:textId="77777777">
      <w:pPr>
        <w:pStyle w:val="ListParagraph"/>
        <w:numPr>
          <w:ilvl w:val="0"/>
          <w:numId w:val="7"/>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E = estimated hours worked by all employees at the workplace during the</w:t>
      </w:r>
      <w:r w:rsidR="00B17661">
        <w:rPr>
          <w:rFonts w:ascii="Calibri" w:eastAsia="Times New Roman" w:hAnsi="Calibri" w:cstheme="minorHAnsi"/>
          <w:bCs/>
          <w:color w:val="333333"/>
          <w:shd w:val="clear" w:color="auto" w:fill="FFFFFF"/>
        </w:rPr>
        <w:t xml:space="preserve"> </w:t>
      </w:r>
      <w:r w:rsidRPr="00610A7C">
        <w:rPr>
          <w:rFonts w:ascii="Calibri" w:eastAsia="Times New Roman" w:hAnsi="Calibri" w:cstheme="minorHAnsi"/>
          <w:bCs/>
          <w:color w:val="333333"/>
          <w:shd w:val="clear" w:color="auto" w:fill="FFFFFF"/>
        </w:rPr>
        <w:t>12 months</w:t>
      </w:r>
      <w:r w:rsidRPr="00610A7C" w:rsidR="007961FB">
        <w:rPr>
          <w:rFonts w:ascii="Calibri" w:eastAsia="Times New Roman" w:hAnsi="Calibri" w:cstheme="minorHAnsi"/>
          <w:bCs/>
          <w:color w:val="333333"/>
          <w:shd w:val="clear" w:color="auto" w:fill="FFFFFF"/>
        </w:rPr>
        <w:t xml:space="preserve"> preceding (i.e., retrospective analysis) or following (i.e., prospective analysis) the Pilot Study consultation visit</w:t>
      </w:r>
    </w:p>
    <w:p w:rsidR="00CA1A92" w:rsidRPr="00610A7C" w:rsidP="008F339C" w14:paraId="68371B3A" w14:textId="77777777">
      <w:pPr>
        <w:spacing w:after="0" w:line="240" w:lineRule="auto"/>
        <w:rPr>
          <w:rFonts w:ascii="Calibri" w:eastAsia="Times New Roman" w:hAnsi="Calibri" w:cstheme="minorHAnsi"/>
          <w:bCs/>
          <w:color w:val="333333"/>
          <w:shd w:val="clear" w:color="auto" w:fill="FFFFFF"/>
        </w:rPr>
      </w:pPr>
    </w:p>
    <w:p w:rsidR="00626BAC" w:rsidRPr="00610A7C" w:rsidP="00D06C76" w14:paraId="251C67C6" w14:textId="77777777">
      <w:pPr>
        <w:pStyle w:val="ListParagraph"/>
        <w:numPr>
          <w:ilvl w:val="0"/>
          <w:numId w:val="7"/>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S = a scale factor equal to 200,000 (</w:t>
      </w:r>
      <w:r w:rsidR="005C5EE1">
        <w:rPr>
          <w:rFonts w:ascii="Calibri" w:eastAsia="Times New Roman" w:hAnsi="Calibri" w:cstheme="minorHAnsi"/>
          <w:bCs/>
          <w:color w:val="333333"/>
          <w:shd w:val="clear" w:color="auto" w:fill="FFFFFF"/>
        </w:rPr>
        <w:t>equivalent to</w:t>
      </w:r>
      <w:r w:rsidRPr="00610A7C">
        <w:rPr>
          <w:rFonts w:ascii="Calibri" w:eastAsia="Times New Roman" w:hAnsi="Calibri" w:cstheme="minorHAnsi"/>
          <w:bCs/>
          <w:color w:val="333333"/>
          <w:shd w:val="clear" w:color="auto" w:fill="FFFFFF"/>
        </w:rPr>
        <w:t xml:space="preserve"> 100 full-time employees working</w:t>
      </w:r>
      <w:r w:rsidRPr="00610A7C" w:rsidR="00CA1A92">
        <w:rPr>
          <w:rFonts w:ascii="Calibri" w:eastAsia="Times New Roman" w:hAnsi="Calibri" w:cstheme="minorHAnsi"/>
          <w:bCs/>
          <w:color w:val="333333"/>
          <w:shd w:val="clear" w:color="auto" w:fill="FFFFFF"/>
        </w:rPr>
        <w:t xml:space="preserve"> </w:t>
      </w:r>
      <w:r w:rsidRPr="00610A7C">
        <w:rPr>
          <w:rFonts w:ascii="Calibri" w:eastAsia="Times New Roman" w:hAnsi="Calibri" w:cstheme="minorHAnsi"/>
          <w:bCs/>
          <w:color w:val="333333"/>
          <w:shd w:val="clear" w:color="auto" w:fill="FFFFFF"/>
        </w:rPr>
        <w:t>40 hours per week for 50 weeks per year</w:t>
      </w:r>
      <w:r w:rsidRPr="00610A7C" w:rsidR="008602AF">
        <w:rPr>
          <w:rFonts w:ascii="Calibri" w:eastAsia="Times New Roman" w:hAnsi="Calibri" w:cstheme="minorHAnsi"/>
          <w:bCs/>
          <w:color w:val="333333"/>
          <w:shd w:val="clear" w:color="auto" w:fill="FFFFFF"/>
        </w:rPr>
        <w:t>)</w:t>
      </w:r>
      <w:r w:rsidRPr="00610A7C">
        <w:rPr>
          <w:rFonts w:ascii="Calibri" w:eastAsia="Times New Roman" w:hAnsi="Calibri" w:cstheme="minorHAnsi"/>
          <w:bCs/>
          <w:color w:val="333333"/>
          <w:shd w:val="clear" w:color="auto" w:fill="FFFFFF"/>
        </w:rPr>
        <w:t>.</w:t>
      </w:r>
    </w:p>
    <w:p w:rsidR="00471F06" w:rsidRPr="00610A7C" w:rsidP="008F339C" w14:paraId="4DC5D964" w14:textId="77777777">
      <w:pPr>
        <w:spacing w:after="0" w:line="240" w:lineRule="auto"/>
        <w:rPr>
          <w:rFonts w:ascii="Calibri" w:eastAsia="Times New Roman" w:hAnsi="Calibri" w:cstheme="minorHAnsi"/>
          <w:bCs/>
          <w:color w:val="333333"/>
          <w:shd w:val="clear" w:color="auto" w:fill="FFFFFF"/>
        </w:rPr>
      </w:pPr>
    </w:p>
    <w:p w:rsidR="00471F06" w:rsidRPr="00610A7C" w:rsidP="008F339C" w14:paraId="3A31AF97" w14:textId="77777777">
      <w:p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Then:</w:t>
      </w:r>
    </w:p>
    <w:p w:rsidR="00471F06" w:rsidRPr="00610A7C" w:rsidP="008F339C" w14:paraId="1F29FAAA" w14:textId="77777777">
      <w:pPr>
        <w:spacing w:after="0" w:line="240" w:lineRule="auto"/>
        <w:rPr>
          <w:rFonts w:ascii="Calibri" w:eastAsia="Times New Roman" w:hAnsi="Calibri" w:cstheme="minorHAnsi"/>
          <w:bCs/>
          <w:color w:val="333333"/>
          <w:shd w:val="clear" w:color="auto" w:fill="FFFFFF"/>
        </w:rPr>
      </w:pPr>
    </w:p>
    <w:p w:rsidR="00471F06" w:rsidRPr="00610A7C" w:rsidP="00D06C76" w14:paraId="28821830" w14:textId="77777777">
      <w:pPr>
        <w:pStyle w:val="ListParagraph"/>
        <w:numPr>
          <w:ilvl w:val="0"/>
          <w:numId w:val="8"/>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TRC = [(H + I + J) / E ] * S</w:t>
      </w:r>
    </w:p>
    <w:p w:rsidR="00471F06" w:rsidRPr="00610A7C" w:rsidP="008F339C" w14:paraId="21E6A768" w14:textId="77777777">
      <w:pPr>
        <w:spacing w:after="0" w:line="240" w:lineRule="auto"/>
        <w:rPr>
          <w:rFonts w:ascii="Calibri" w:eastAsia="Times New Roman" w:hAnsi="Calibri" w:cstheme="minorHAnsi"/>
          <w:bCs/>
          <w:color w:val="333333"/>
          <w:shd w:val="clear" w:color="auto" w:fill="FFFFFF"/>
        </w:rPr>
      </w:pPr>
    </w:p>
    <w:p w:rsidR="00471F06" w:rsidRPr="00610A7C" w:rsidP="00D06C76" w14:paraId="28B0FC93" w14:textId="77777777">
      <w:pPr>
        <w:pStyle w:val="ListParagraph"/>
        <w:numPr>
          <w:ilvl w:val="0"/>
          <w:numId w:val="8"/>
        </w:num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DART = [(H + I) / E ] *S.</w:t>
      </w:r>
    </w:p>
    <w:p w:rsidR="00CA1A92" w:rsidRPr="00EF5F3B" w:rsidP="008F339C" w14:paraId="28D66B4C" w14:textId="77777777">
      <w:pPr>
        <w:spacing w:after="0" w:line="240" w:lineRule="auto"/>
        <w:rPr>
          <w:rFonts w:ascii="Calibri" w:eastAsia="Times New Roman" w:hAnsi="Calibri" w:cstheme="minorHAnsi"/>
          <w:bCs/>
          <w:color w:val="333333"/>
          <w:shd w:val="clear" w:color="auto" w:fill="FFFFFF"/>
        </w:rPr>
      </w:pPr>
    </w:p>
    <w:p w:rsidR="00CA1A92" w:rsidRPr="00EF5F3B" w:rsidP="00D06C76" w14:paraId="44DEF88F" w14:textId="77777777">
      <w:pPr>
        <w:keepNext/>
        <w:widowControl w:val="0"/>
        <w:rPr>
          <w:rFonts w:ascii="Calibri" w:hAnsi="Calibri" w:cstheme="minorHAnsi"/>
        </w:rPr>
      </w:pPr>
      <w:r w:rsidRPr="00EF5F3B">
        <w:rPr>
          <w:rFonts w:ascii="Calibri" w:hAnsi="Calibri" w:cstheme="minorHAnsi"/>
          <w:b/>
          <w:u w:val="single"/>
        </w:rPr>
        <w:t>Notes</w:t>
      </w:r>
      <w:r w:rsidRPr="00EF5F3B">
        <w:rPr>
          <w:rFonts w:ascii="Calibri" w:hAnsi="Calibri" w:cstheme="minorHAnsi"/>
        </w:rPr>
        <w:t>:</w:t>
      </w:r>
    </w:p>
    <w:p w:rsidR="0081186B" w:rsidP="00CA1A92" w14:paraId="38F25766" w14:textId="77777777">
      <w:pPr>
        <w:pStyle w:val="ListParagraph"/>
        <w:numPr>
          <w:ilvl w:val="0"/>
          <w:numId w:val="8"/>
        </w:numPr>
        <w:rPr>
          <w:rFonts w:ascii="Calibri" w:hAnsi="Calibri" w:cstheme="minorHAnsi"/>
        </w:rPr>
      </w:pPr>
      <w:r w:rsidRPr="00EF5F3B">
        <w:rPr>
          <w:rFonts w:ascii="Calibri" w:hAnsi="Calibri" w:cstheme="minorHAnsi"/>
        </w:rPr>
        <w:t xml:space="preserve">Values for H, I, and J will be acquired from </w:t>
      </w:r>
      <w:hyperlink r:id="rId11" w:history="1">
        <w:r w:rsidRPr="00610A7C">
          <w:rPr>
            <w:rStyle w:val="Hyperlink"/>
            <w:rFonts w:ascii="Calibri" w:hAnsi="Calibri" w:cstheme="minorHAnsi"/>
          </w:rPr>
          <w:t>OSHA’s Form 300, Log of Work-Related Injuries and Illnesses</w:t>
        </w:r>
      </w:hyperlink>
      <w:r w:rsidRPr="00610A7C">
        <w:rPr>
          <w:rFonts w:ascii="Calibri" w:hAnsi="Calibri" w:cstheme="minorHAnsi"/>
          <w:lang w:val="en"/>
        </w:rPr>
        <w:t>,</w:t>
      </w:r>
      <w:r w:rsidRPr="00610A7C">
        <w:rPr>
          <w:rFonts w:ascii="Calibri" w:hAnsi="Calibri" w:cstheme="minorHAnsi"/>
        </w:rPr>
        <w:t xml:space="preserve"> maintained at the workplace. </w:t>
      </w:r>
    </w:p>
    <w:p w:rsidR="0081186B" w:rsidRPr="00610A7C" w:rsidP="0081186B" w14:paraId="440FA88A" w14:textId="77777777">
      <w:pPr>
        <w:pStyle w:val="ListParagraph"/>
        <w:rPr>
          <w:rFonts w:ascii="Calibri" w:hAnsi="Calibri" w:cstheme="minorHAnsi"/>
        </w:rPr>
      </w:pPr>
    </w:p>
    <w:p w:rsidR="00471F06" w:rsidRPr="0081186B" w:rsidP="0081186B" w14:paraId="27C190B9" w14:textId="77777777">
      <w:pPr>
        <w:pStyle w:val="ListParagraph"/>
        <w:numPr>
          <w:ilvl w:val="0"/>
          <w:numId w:val="8"/>
        </w:numPr>
        <w:rPr>
          <w:rFonts w:eastAsia="Times New Roman"/>
          <w:bCs/>
          <w:color w:val="333333"/>
          <w:shd w:val="clear" w:color="auto" w:fill="FFFFFF"/>
        </w:rPr>
      </w:pPr>
      <w:r w:rsidRPr="0081186B">
        <w:t>The injury and illness data in OSHA’s Form 300 is summarized in Form 300A, Summary of Work Related Injuries and Illnesses.</w:t>
      </w:r>
    </w:p>
    <w:p w:rsidR="00471F06" w:rsidRPr="00610A7C" w:rsidP="008F339C" w14:paraId="47D9D3D6" w14:textId="77777777">
      <w:pPr>
        <w:spacing w:after="0" w:line="240" w:lineRule="auto"/>
        <w:rPr>
          <w:rFonts w:ascii="Calibri" w:eastAsia="Times New Roman" w:hAnsi="Calibri" w:cstheme="minorHAnsi"/>
          <w:bCs/>
          <w:color w:val="333333"/>
          <w:shd w:val="clear" w:color="auto" w:fill="FFFFFF"/>
        </w:rPr>
      </w:pPr>
      <w:r w:rsidRPr="00610A7C">
        <w:rPr>
          <w:rFonts w:ascii="Calibri" w:eastAsia="Times New Roman" w:hAnsi="Calibri" w:cstheme="minorHAnsi"/>
          <w:bCs/>
          <w:color w:val="333333"/>
          <w:shd w:val="clear" w:color="auto" w:fill="FFFFFF"/>
        </w:rPr>
        <w:t>The TRC gives the total cases one would expect from 100 full-time employees at a given workplace, whereas DART yield</w:t>
      </w:r>
      <w:r w:rsidRPr="00610A7C" w:rsidR="008602AF">
        <w:rPr>
          <w:rFonts w:ascii="Calibri" w:eastAsia="Times New Roman" w:hAnsi="Calibri" w:cstheme="minorHAnsi"/>
          <w:bCs/>
          <w:color w:val="333333"/>
          <w:shd w:val="clear" w:color="auto" w:fill="FFFFFF"/>
        </w:rPr>
        <w:t>s</w:t>
      </w:r>
      <w:r w:rsidRPr="00610A7C">
        <w:rPr>
          <w:rFonts w:ascii="Calibri" w:eastAsia="Times New Roman" w:hAnsi="Calibri" w:cstheme="minorHAnsi"/>
          <w:bCs/>
          <w:color w:val="333333"/>
          <w:shd w:val="clear" w:color="auto" w:fill="FFFFFF"/>
        </w:rPr>
        <w:t xml:space="preserve"> a similar expectation with respect to only cases resulting in days away from work, job transfer, or job restriction.  These indices are scaled to make workplaces of various sizes comparable.  </w:t>
      </w:r>
    </w:p>
    <w:p w:rsidR="00471F06" w:rsidRPr="00610A7C" w:rsidP="008F339C" w14:paraId="0AA08F4A" w14:textId="77777777">
      <w:pPr>
        <w:spacing w:after="0" w:line="240" w:lineRule="auto"/>
        <w:rPr>
          <w:rFonts w:ascii="Calibri" w:eastAsia="Times New Roman" w:hAnsi="Calibri" w:cstheme="minorHAnsi"/>
          <w:b/>
          <w:bCs/>
          <w:color w:val="333333"/>
          <w:shd w:val="clear" w:color="auto" w:fill="FFFFFF"/>
        </w:rPr>
      </w:pPr>
    </w:p>
    <w:p w:rsidR="00073D3F" w:rsidRPr="00610A7C" w:rsidP="00D06C76" w14:paraId="4CA5B57E" w14:textId="77777777">
      <w:pPr>
        <w:rPr>
          <w:rFonts w:ascii="Calibri" w:hAnsi="Calibri" w:cstheme="minorHAnsi"/>
        </w:rPr>
      </w:pPr>
      <w:r w:rsidRPr="00610A7C">
        <w:rPr>
          <w:rFonts w:ascii="Calibri" w:hAnsi="Calibri" w:cstheme="minorHAnsi"/>
        </w:rPr>
        <w:t>Both</w:t>
      </w:r>
      <w:r w:rsidRPr="00610A7C" w:rsidR="00CA1A92">
        <w:rPr>
          <w:rFonts w:ascii="Calibri" w:hAnsi="Calibri" w:cstheme="minorHAnsi"/>
        </w:rPr>
        <w:t xml:space="preserve"> TRC and DART must be calculated for a given period of time.  Care must be taken to make the time period long enough to register adverse events which may be infrequent at a given workplace yet short enough to provide fidelity to the outcomes at that workplace so as not to average them out.  This study will base calculations of TRC and DART on the 12 months preceding (retrospective) and following (prospective) the Pilot Study consultation visits.  Therefore, the term “retrospective” might be considered a “baseline” or “current” measure of TRC or DART.  The term “retrospective” is used because those calculations are based on logged observations from a period of time preceding the Pilot Study consultation visits even though they represent the most current state of affairs at that time. </w:t>
      </w:r>
    </w:p>
    <w:p w:rsidR="00C32D44" w:rsidRPr="00610A7C" w:rsidP="00654F00" w14:paraId="0C3071AD" w14:textId="77777777">
      <w:pPr>
        <w:rPr>
          <w:rFonts w:ascii="Calibri" w:hAnsi="Calibri" w:cstheme="minorHAnsi"/>
        </w:rPr>
      </w:pPr>
      <w:r w:rsidRPr="00610A7C">
        <w:rPr>
          <w:rFonts w:ascii="Calibri" w:hAnsi="Calibri" w:cstheme="minorHAnsi"/>
        </w:rPr>
        <w:t xml:space="preserve">The data analyses described in </w:t>
      </w:r>
      <w:r w:rsidRPr="00610A7C" w:rsidR="0018160C">
        <w:rPr>
          <w:rFonts w:ascii="Calibri" w:hAnsi="Calibri" w:cstheme="minorHAnsi"/>
        </w:rPr>
        <w:t>#2</w:t>
      </w:r>
      <w:r w:rsidRPr="00610A7C">
        <w:rPr>
          <w:rFonts w:ascii="Calibri" w:hAnsi="Calibri" w:cstheme="minorHAnsi"/>
        </w:rPr>
        <w:t xml:space="preserve"> of this document will be performed after the </w:t>
      </w:r>
      <w:r w:rsidRPr="00610A7C" w:rsidR="000F179A">
        <w:rPr>
          <w:rFonts w:ascii="Calibri" w:hAnsi="Calibri" w:cstheme="minorHAnsi"/>
        </w:rPr>
        <w:t xml:space="preserve">Pilot Study </w:t>
      </w:r>
      <w:r w:rsidRPr="00610A7C">
        <w:rPr>
          <w:rFonts w:ascii="Calibri" w:hAnsi="Calibri" w:cstheme="minorHAnsi"/>
        </w:rPr>
        <w:t>consultation visits are completed using the DRF33 and retrospective covariate measures.</w:t>
      </w:r>
      <w:r w:rsidRPr="00610A7C" w:rsidR="00471F06">
        <w:rPr>
          <w:rFonts w:ascii="Calibri" w:hAnsi="Calibri" w:cstheme="minorHAnsi"/>
        </w:rPr>
        <w:t xml:space="preserve">  </w:t>
      </w:r>
      <w:r w:rsidRPr="00610A7C" w:rsidR="000F179A">
        <w:rPr>
          <w:rFonts w:ascii="Calibri" w:hAnsi="Calibri" w:cstheme="minorHAnsi"/>
        </w:rPr>
        <w:t xml:space="preserve">Prospective </w:t>
      </w:r>
      <w:r w:rsidRPr="00610A7C" w:rsidR="00471F06">
        <w:rPr>
          <w:rFonts w:ascii="Calibri" w:hAnsi="Calibri" w:cstheme="minorHAnsi"/>
        </w:rPr>
        <w:t>Analys</w:t>
      </w:r>
      <w:r w:rsidRPr="00610A7C" w:rsidR="000F179A">
        <w:rPr>
          <w:rFonts w:ascii="Calibri" w:hAnsi="Calibri" w:cstheme="minorHAnsi"/>
        </w:rPr>
        <w:t>i</w:t>
      </w:r>
      <w:r w:rsidRPr="00610A7C" w:rsidR="00471F06">
        <w:rPr>
          <w:rFonts w:ascii="Calibri" w:hAnsi="Calibri" w:cstheme="minorHAnsi"/>
        </w:rPr>
        <w:t xml:space="preserve">s involving prospective estimates of TRC and DART will occur roughly 12 months </w:t>
      </w:r>
      <w:r w:rsidRPr="00610A7C" w:rsidR="000F179A">
        <w:rPr>
          <w:rFonts w:ascii="Calibri" w:hAnsi="Calibri" w:cstheme="minorHAnsi"/>
        </w:rPr>
        <w:t>after the Pilot Study consultation visits</w:t>
      </w:r>
      <w:r w:rsidRPr="00610A7C" w:rsidR="00471F06">
        <w:rPr>
          <w:rFonts w:ascii="Calibri" w:hAnsi="Calibri" w:cstheme="minorHAnsi"/>
        </w:rPr>
        <w:t>.</w:t>
      </w:r>
      <w:r w:rsidRPr="00610A7C" w:rsidR="00E8465B">
        <w:rPr>
          <w:rFonts w:ascii="Calibri" w:hAnsi="Calibri" w:cstheme="minorHAnsi"/>
        </w:rPr>
        <w:t xml:space="preserve">  </w:t>
      </w:r>
    </w:p>
    <w:p w:rsidR="00073D3F" w:rsidRPr="00610A7C" w:rsidP="00654F00" w14:paraId="3985B797" w14:textId="77777777">
      <w:pPr>
        <w:rPr>
          <w:rFonts w:ascii="Calibri" w:hAnsi="Calibri" w:cstheme="minorHAnsi"/>
          <w:bCs/>
        </w:rPr>
      </w:pPr>
      <w:r w:rsidRPr="00610A7C">
        <w:rPr>
          <w:rFonts w:ascii="Calibri" w:hAnsi="Calibri" w:cstheme="minorHAnsi"/>
        </w:rPr>
        <w:t>During the Pilot Study</w:t>
      </w:r>
      <w:r w:rsidR="00DE742D">
        <w:rPr>
          <w:rFonts w:ascii="Calibri" w:hAnsi="Calibri" w:cstheme="minorHAnsi"/>
        </w:rPr>
        <w:t xml:space="preserve"> consultation visits</w:t>
      </w:r>
      <w:r w:rsidRPr="00610A7C">
        <w:rPr>
          <w:rFonts w:ascii="Calibri" w:hAnsi="Calibri" w:cstheme="minorHAnsi"/>
        </w:rPr>
        <w:t xml:space="preserve">, </w:t>
      </w:r>
      <w:r w:rsidRPr="00610A7C">
        <w:rPr>
          <w:rFonts w:ascii="Calibri" w:hAnsi="Calibri" w:cstheme="minorHAnsi"/>
          <w:bCs/>
        </w:rPr>
        <w:t>consultants collect copies of injury and illness Forms 300 and 300A for the calendar year preceding the consultation visit</w:t>
      </w:r>
      <w:r w:rsidR="00234771">
        <w:rPr>
          <w:rFonts w:ascii="Calibri" w:hAnsi="Calibri" w:cstheme="minorHAnsi"/>
          <w:bCs/>
        </w:rPr>
        <w:t xml:space="preserve"> and </w:t>
      </w:r>
      <w:r w:rsidRPr="00610A7C">
        <w:rPr>
          <w:rFonts w:ascii="Calibri" w:hAnsi="Calibri" w:cstheme="minorHAnsi"/>
          <w:bCs/>
        </w:rPr>
        <w:t xml:space="preserve">Form 300 for the year of the consultation visit (up to the date of the visit).  Consultants also collect information about the number of employees at the workplace and the number of hours worked by all employees, for the year of the consultation visit – up to the date of the visit.  Consultants </w:t>
      </w:r>
      <w:r w:rsidR="004D4260">
        <w:rPr>
          <w:rFonts w:ascii="Calibri" w:hAnsi="Calibri" w:cstheme="minorHAnsi"/>
          <w:bCs/>
        </w:rPr>
        <w:t xml:space="preserve">email </w:t>
      </w:r>
      <w:r w:rsidRPr="00610A7C">
        <w:rPr>
          <w:rFonts w:ascii="Calibri" w:hAnsi="Calibri" w:cstheme="minorHAnsi"/>
          <w:bCs/>
        </w:rPr>
        <w:t>all collected</w:t>
      </w:r>
      <w:r w:rsidRPr="00610A7C" w:rsidR="00A113AD">
        <w:rPr>
          <w:rFonts w:ascii="Calibri" w:hAnsi="Calibri" w:cstheme="minorHAnsi"/>
          <w:bCs/>
        </w:rPr>
        <w:t xml:space="preserve"> injury and illness</w:t>
      </w:r>
      <w:r w:rsidRPr="00610A7C">
        <w:rPr>
          <w:rFonts w:ascii="Calibri" w:hAnsi="Calibri" w:cstheme="minorHAnsi"/>
          <w:bCs/>
        </w:rPr>
        <w:t xml:space="preserve"> data</w:t>
      </w:r>
      <w:r w:rsidR="004D4260">
        <w:rPr>
          <w:rFonts w:ascii="Calibri" w:hAnsi="Calibri" w:cstheme="minorHAnsi"/>
          <w:bCs/>
        </w:rPr>
        <w:t xml:space="preserve"> to be uploaded</w:t>
      </w:r>
      <w:r w:rsidRPr="00610A7C">
        <w:rPr>
          <w:rFonts w:ascii="Calibri" w:hAnsi="Calibri" w:cstheme="minorHAnsi"/>
          <w:bCs/>
        </w:rPr>
        <w:t xml:space="preserve"> into a secure Drop</w:t>
      </w:r>
      <w:r w:rsidR="003F1883">
        <w:rPr>
          <w:rFonts w:ascii="Calibri" w:hAnsi="Calibri" w:cstheme="minorHAnsi"/>
          <w:bCs/>
        </w:rPr>
        <w:t>b</w:t>
      </w:r>
      <w:r w:rsidRPr="00610A7C">
        <w:rPr>
          <w:rFonts w:ascii="Calibri" w:hAnsi="Calibri" w:cstheme="minorHAnsi"/>
          <w:bCs/>
        </w:rPr>
        <w:t>ox for analysis</w:t>
      </w:r>
      <w:r w:rsidRPr="00610A7C" w:rsidR="00A113AD">
        <w:rPr>
          <w:rFonts w:ascii="Calibri" w:hAnsi="Calibri" w:cstheme="minorHAnsi"/>
          <w:bCs/>
        </w:rPr>
        <w:t xml:space="preserve">.  </w:t>
      </w:r>
      <w:r w:rsidR="00234771">
        <w:rPr>
          <w:rFonts w:ascii="Calibri" w:hAnsi="Calibri" w:cstheme="minorHAnsi"/>
          <w:bCs/>
        </w:rPr>
        <w:t>Statisticians use the data collected</w:t>
      </w:r>
      <w:r w:rsidRPr="00610A7C">
        <w:rPr>
          <w:rFonts w:ascii="Calibri" w:hAnsi="Calibri" w:cstheme="minorHAnsi"/>
          <w:bCs/>
        </w:rPr>
        <w:t xml:space="preserve"> to calculate the retrospective TRC and DART for the 12-month period prior to the Pilot Study consultation visits.  Similar data will be collected by consultants for the 12-month period following the Pilot Study (</w:t>
      </w:r>
      <w:r w:rsidRPr="00610A7C" w:rsidR="00A92018">
        <w:rPr>
          <w:rFonts w:ascii="Calibri" w:hAnsi="Calibri" w:cstheme="minorHAnsi"/>
          <w:bCs/>
        </w:rPr>
        <w:t>from</w:t>
      </w:r>
      <w:r w:rsidRPr="00610A7C">
        <w:rPr>
          <w:rFonts w:ascii="Calibri" w:hAnsi="Calibri" w:cstheme="minorHAnsi"/>
          <w:bCs/>
        </w:rPr>
        <w:t xml:space="preserve"> workplaces that previously received </w:t>
      </w:r>
      <w:r w:rsidR="00F658B0">
        <w:rPr>
          <w:rFonts w:ascii="Calibri" w:hAnsi="Calibri" w:cstheme="minorHAnsi"/>
          <w:bCs/>
        </w:rPr>
        <w:t xml:space="preserve">Pilot Study </w:t>
      </w:r>
      <w:r w:rsidRPr="00610A7C">
        <w:rPr>
          <w:rFonts w:ascii="Calibri" w:hAnsi="Calibri" w:cstheme="minorHAnsi"/>
          <w:bCs/>
        </w:rPr>
        <w:t>consultation visits); for statisticians to calculate the prospective TRC and DART.</w:t>
      </w:r>
    </w:p>
    <w:p w:rsidR="00654F00" w:rsidRPr="00610A7C" w:rsidP="00654F00" w14:paraId="59E0E91B" w14:textId="77777777">
      <w:pPr>
        <w:rPr>
          <w:rFonts w:ascii="Calibri" w:hAnsi="Calibri" w:cstheme="minorHAnsi"/>
          <w:b/>
          <w:i/>
        </w:rPr>
      </w:pPr>
      <w:r w:rsidRPr="00610A7C">
        <w:rPr>
          <w:rFonts w:ascii="Calibri" w:hAnsi="Calibri" w:cstheme="minorHAnsi"/>
          <w:b/>
          <w:i/>
        </w:rPr>
        <w:t>Design</w:t>
      </w:r>
    </w:p>
    <w:p w:rsidR="00D143AA" w:rsidP="00654F00" w14:paraId="245B9511" w14:textId="77777777">
      <w:pPr>
        <w:rPr>
          <w:rFonts w:ascii="Calibri" w:hAnsi="Calibri" w:cstheme="minorHAnsi"/>
        </w:rPr>
      </w:pPr>
      <w:r w:rsidRPr="00610A7C">
        <w:rPr>
          <w:rFonts w:ascii="Calibri" w:hAnsi="Calibri" w:cstheme="minorHAnsi"/>
        </w:rPr>
        <w:t>OSHA developed the DRF33 for s</w:t>
      </w:r>
      <w:r w:rsidRPr="00610A7C" w:rsidR="00305707">
        <w:rPr>
          <w:rFonts w:ascii="Calibri" w:hAnsi="Calibri" w:cstheme="minorHAnsi"/>
        </w:rPr>
        <w:t>tate On-Site Consultation programs</w:t>
      </w:r>
      <w:r w:rsidRPr="00610A7C">
        <w:rPr>
          <w:rFonts w:ascii="Calibri" w:hAnsi="Calibri" w:cstheme="minorHAnsi"/>
        </w:rPr>
        <w:t xml:space="preserve"> that</w:t>
      </w:r>
      <w:r w:rsidRPr="00610A7C" w:rsidR="00305707">
        <w:rPr>
          <w:rFonts w:ascii="Calibri" w:hAnsi="Calibri" w:cstheme="minorHAnsi"/>
        </w:rPr>
        <w:t xml:space="preserve"> provide no-cost consultat</w:t>
      </w:r>
      <w:r w:rsidRPr="00610A7C">
        <w:rPr>
          <w:rFonts w:ascii="Calibri" w:hAnsi="Calibri" w:cstheme="minorHAnsi"/>
        </w:rPr>
        <w:t>ive services to small- and medi</w:t>
      </w:r>
      <w:r w:rsidRPr="00610A7C" w:rsidR="00305707">
        <w:rPr>
          <w:rFonts w:ascii="Calibri" w:hAnsi="Calibri" w:cstheme="minorHAnsi"/>
        </w:rPr>
        <w:t>um-sized businesses nationwide</w:t>
      </w:r>
      <w:r w:rsidRPr="00610A7C">
        <w:rPr>
          <w:rFonts w:ascii="Calibri" w:hAnsi="Calibri" w:cstheme="minorHAnsi"/>
        </w:rPr>
        <w:t xml:space="preserve"> (i.e., similar to how the current OSHA Form 33 is applied)</w:t>
      </w:r>
      <w:r w:rsidRPr="00610A7C" w:rsidR="00305707">
        <w:rPr>
          <w:rFonts w:ascii="Calibri" w:hAnsi="Calibri" w:cstheme="minorHAnsi"/>
        </w:rPr>
        <w:t xml:space="preserve">.  Therefore, it is essential to assess the effectiveness of </w:t>
      </w:r>
      <w:r w:rsidRPr="00610A7C">
        <w:rPr>
          <w:rFonts w:ascii="Calibri" w:hAnsi="Calibri" w:cstheme="minorHAnsi"/>
        </w:rPr>
        <w:t>the DRF33 as a tool for measuring the SHPs of small- and medium-sized businesses.</w:t>
      </w:r>
      <w:r w:rsidRPr="00610A7C" w:rsidR="00305707">
        <w:rPr>
          <w:rFonts w:ascii="Calibri" w:hAnsi="Calibri" w:cstheme="minorHAnsi"/>
        </w:rPr>
        <w:t xml:space="preserve">  </w:t>
      </w:r>
      <w:r w:rsidR="00467963">
        <w:rPr>
          <w:rFonts w:ascii="Calibri" w:hAnsi="Calibri" w:cstheme="minorHAnsi"/>
        </w:rPr>
        <w:t>S</w:t>
      </w:r>
      <w:r w:rsidRPr="00610A7C">
        <w:rPr>
          <w:rFonts w:ascii="Calibri" w:hAnsi="Calibri" w:cstheme="minorHAnsi"/>
        </w:rPr>
        <w:t xml:space="preserve">tate On-Site Consultation programs </w:t>
      </w:r>
      <w:r w:rsidR="000C7C70">
        <w:rPr>
          <w:rFonts w:ascii="Calibri" w:hAnsi="Calibri" w:cstheme="minorHAnsi"/>
        </w:rPr>
        <w:t>we</w:t>
      </w:r>
      <w:r w:rsidRPr="00610A7C">
        <w:rPr>
          <w:rFonts w:ascii="Calibri" w:hAnsi="Calibri" w:cstheme="minorHAnsi"/>
        </w:rPr>
        <w:t xml:space="preserve">re </w:t>
      </w:r>
      <w:r w:rsidRPr="00F27185" w:rsidR="00F3017B">
        <w:rPr>
          <w:rFonts w:ascii="Calibri" w:hAnsi="Calibri" w:cstheme="minorHAnsi"/>
        </w:rPr>
        <w:t xml:space="preserve">geographically grouped into ten (10) </w:t>
      </w:r>
      <w:r w:rsidRPr="00AC601D" w:rsidR="00F3017B">
        <w:t>regions of the nation</w:t>
      </w:r>
      <w:r w:rsidRPr="00610A7C">
        <w:rPr>
          <w:rFonts w:ascii="Calibri" w:hAnsi="Calibri" w:cstheme="minorHAnsi"/>
        </w:rPr>
        <w:t xml:space="preserve">.  The five (5) industry sectors selected for the Pilot Study represent the top 5 industries most visited by On-Site Consultation programs nationwide.  </w:t>
      </w:r>
    </w:p>
    <w:p w:rsidR="000628D2" w:rsidRPr="00610A7C" w:rsidP="00654F00" w14:paraId="68726200" w14:textId="77777777">
      <w:pPr>
        <w:rPr>
          <w:rFonts w:ascii="Calibri" w:hAnsi="Calibri" w:cstheme="minorHAnsi"/>
        </w:rPr>
      </w:pPr>
      <w:r w:rsidRPr="000628D2">
        <w:rPr>
          <w:rFonts w:ascii="Calibri" w:hAnsi="Calibri" w:cstheme="minorHAnsi"/>
        </w:rPr>
        <w:t xml:space="preserve">Information gathered from expert consultants suggested that workplace size and type of industry evaluated would likely influence scores on the DRF33 more than other external variables.  Additionally, there is a strong desire to include consultation visits from all of </w:t>
      </w:r>
      <w:r w:rsidR="00F658B0">
        <w:rPr>
          <w:rFonts w:ascii="Calibri" w:hAnsi="Calibri" w:cstheme="minorHAnsi"/>
        </w:rPr>
        <w:t>the</w:t>
      </w:r>
      <w:r w:rsidRPr="000628D2" w:rsidR="00F658B0">
        <w:rPr>
          <w:rFonts w:ascii="Calibri" w:hAnsi="Calibri" w:cstheme="minorHAnsi"/>
        </w:rPr>
        <w:t xml:space="preserve"> </w:t>
      </w:r>
      <w:r w:rsidRPr="000628D2">
        <w:rPr>
          <w:rFonts w:ascii="Calibri" w:hAnsi="Calibri" w:cstheme="minorHAnsi"/>
        </w:rPr>
        <w:t>ten (10) regions</w:t>
      </w:r>
      <w:r w:rsidR="001579AC">
        <w:rPr>
          <w:rFonts w:ascii="Calibri" w:hAnsi="Calibri" w:cstheme="minorHAnsi"/>
        </w:rPr>
        <w:t xml:space="preserve"> of the nation</w:t>
      </w:r>
      <w:r w:rsidRPr="000628D2">
        <w:rPr>
          <w:rFonts w:ascii="Calibri" w:hAnsi="Calibri" w:cstheme="minorHAnsi"/>
        </w:rPr>
        <w:t xml:space="preserve">.  Therefore, these variables will be used as stratification variables in a convenience sampling plan.  </w:t>
      </w:r>
    </w:p>
    <w:p w:rsidR="00654F00" w:rsidRPr="00610A7C" w:rsidP="00654F00" w14:paraId="07267604" w14:textId="77777777">
      <w:pPr>
        <w:rPr>
          <w:rFonts w:ascii="Calibri" w:hAnsi="Calibri" w:cstheme="minorHAnsi"/>
        </w:rPr>
      </w:pPr>
      <w:r w:rsidRPr="00610A7C">
        <w:rPr>
          <w:rFonts w:ascii="Calibri" w:hAnsi="Calibri" w:cstheme="minorHAnsi"/>
        </w:rPr>
        <w:t>The Pilot Study to assess the reliability and validit</w:t>
      </w:r>
      <w:r w:rsidRPr="00610A7C" w:rsidR="00EA3F0C">
        <w:rPr>
          <w:rFonts w:ascii="Calibri" w:hAnsi="Calibri" w:cstheme="minorHAnsi"/>
        </w:rPr>
        <w:t>y of the DRF33</w:t>
      </w:r>
      <w:r w:rsidRPr="00610A7C">
        <w:rPr>
          <w:rFonts w:ascii="Calibri" w:hAnsi="Calibri" w:cstheme="minorHAnsi"/>
        </w:rPr>
        <w:t xml:space="preserve"> is based on a 2 (workplace size) x 5 (industry sector) x 10 (region) factorial design.  For every region, an equal number of small</w:t>
      </w:r>
      <w:r w:rsidRPr="00610A7C" w:rsidR="0050319A">
        <w:rPr>
          <w:rFonts w:ascii="Calibri" w:hAnsi="Calibri" w:cstheme="minorHAnsi"/>
        </w:rPr>
        <w:t>-</w:t>
      </w:r>
      <w:r w:rsidRPr="00610A7C">
        <w:rPr>
          <w:rFonts w:ascii="Calibri" w:hAnsi="Calibri" w:cstheme="minorHAnsi"/>
        </w:rPr>
        <w:t xml:space="preserve"> (less than or equal to 25 employees</w:t>
      </w:r>
      <w:r w:rsidRPr="00610A7C" w:rsidR="0050319A">
        <w:rPr>
          <w:rFonts w:ascii="Calibri" w:hAnsi="Calibri" w:cstheme="minorHAnsi"/>
        </w:rPr>
        <w:t xml:space="preserve"> on-site) and medium-</w:t>
      </w:r>
      <w:r w:rsidRPr="00610A7C">
        <w:rPr>
          <w:rFonts w:ascii="Calibri" w:hAnsi="Calibri" w:cstheme="minorHAnsi"/>
        </w:rPr>
        <w:t xml:space="preserve">sized (greater than 25 </w:t>
      </w:r>
      <w:r w:rsidRPr="00610A7C" w:rsidR="0050319A">
        <w:rPr>
          <w:rFonts w:ascii="Calibri" w:hAnsi="Calibri" w:cstheme="minorHAnsi"/>
        </w:rPr>
        <w:t xml:space="preserve">but fewer than 250 </w:t>
      </w:r>
      <w:r w:rsidRPr="00610A7C">
        <w:rPr>
          <w:rFonts w:ascii="Calibri" w:hAnsi="Calibri" w:cstheme="minorHAnsi"/>
        </w:rPr>
        <w:t>employees</w:t>
      </w:r>
      <w:r w:rsidRPr="00610A7C" w:rsidR="0050319A">
        <w:rPr>
          <w:rFonts w:ascii="Calibri" w:hAnsi="Calibri" w:cstheme="minorHAnsi"/>
        </w:rPr>
        <w:t xml:space="preserve"> on-site</w:t>
      </w:r>
      <w:r w:rsidRPr="00610A7C">
        <w:rPr>
          <w:rFonts w:ascii="Calibri" w:hAnsi="Calibri" w:cstheme="minorHAnsi"/>
        </w:rPr>
        <w:t xml:space="preserve">) workplaces will be sampled from each of five pre-specified industry sectors.  The five industry sectors </w:t>
      </w:r>
      <w:r w:rsidR="007D101E">
        <w:rPr>
          <w:rFonts w:ascii="Calibri" w:hAnsi="Calibri" w:cstheme="minorHAnsi"/>
        </w:rPr>
        <w:t>were</w:t>
      </w:r>
      <w:r w:rsidRPr="00610A7C">
        <w:rPr>
          <w:rFonts w:ascii="Calibri" w:hAnsi="Calibri" w:cstheme="minorHAnsi"/>
        </w:rPr>
        <w:t xml:space="preserve"> chosen using data from the OSHA Information System (OIS) </w:t>
      </w:r>
      <w:r w:rsidRPr="00610A7C" w:rsidR="007B7E79">
        <w:rPr>
          <w:rFonts w:ascii="Calibri" w:hAnsi="Calibri" w:cstheme="minorHAnsi"/>
        </w:rPr>
        <w:t>for at least</w:t>
      </w:r>
      <w:r w:rsidRPr="00610A7C">
        <w:rPr>
          <w:rFonts w:ascii="Calibri" w:hAnsi="Calibri" w:cstheme="minorHAnsi"/>
        </w:rPr>
        <w:t xml:space="preserve"> three years (</w:t>
      </w:r>
      <w:r w:rsidRPr="00610A7C" w:rsidR="007B7E79">
        <w:rPr>
          <w:rFonts w:ascii="Calibri" w:hAnsi="Calibri" w:cstheme="minorHAnsi"/>
        </w:rPr>
        <w:t xml:space="preserve">e.g., </w:t>
      </w:r>
      <w:r w:rsidRPr="00610A7C">
        <w:rPr>
          <w:rFonts w:ascii="Calibri" w:hAnsi="Calibri" w:cstheme="minorHAnsi"/>
        </w:rPr>
        <w:t>FY2018-FY2020).  Specifically, the most frequently surveyed sectors (i.e., North American Industry Cla</w:t>
      </w:r>
      <w:r w:rsidRPr="00610A7C" w:rsidR="00EA3F0C">
        <w:rPr>
          <w:rFonts w:ascii="Calibri" w:hAnsi="Calibri" w:cstheme="minorHAnsi"/>
        </w:rPr>
        <w:t>ssification System (NAICS) code</w:t>
      </w:r>
      <w:r w:rsidRPr="00610A7C" w:rsidR="00297B9C">
        <w:rPr>
          <w:rFonts w:ascii="Calibri" w:hAnsi="Calibri" w:cstheme="minorHAnsi"/>
        </w:rPr>
        <w:t>)</w:t>
      </w:r>
      <w:r w:rsidR="007D101E">
        <w:rPr>
          <w:rFonts w:ascii="Calibri" w:hAnsi="Calibri" w:cstheme="minorHAnsi"/>
        </w:rPr>
        <w:t xml:space="preserve"> were</w:t>
      </w:r>
      <w:r w:rsidRPr="00610A7C">
        <w:rPr>
          <w:rFonts w:ascii="Calibri" w:hAnsi="Calibri" w:cstheme="minorHAnsi"/>
        </w:rPr>
        <w:t xml:space="preserve"> identified using data from across the nation.  From this subset of industry sectors, five sectors with sufficient representation across all </w:t>
      </w:r>
      <w:r w:rsidR="002B7285">
        <w:rPr>
          <w:rFonts w:ascii="Calibri" w:hAnsi="Calibri" w:cstheme="minorHAnsi"/>
        </w:rPr>
        <w:t>10</w:t>
      </w:r>
      <w:r w:rsidRPr="00610A7C" w:rsidR="002B7285">
        <w:rPr>
          <w:rFonts w:ascii="Calibri" w:hAnsi="Calibri" w:cstheme="minorHAnsi"/>
        </w:rPr>
        <w:t xml:space="preserve"> </w:t>
      </w:r>
      <w:r w:rsidRPr="00610A7C">
        <w:rPr>
          <w:rFonts w:ascii="Calibri" w:hAnsi="Calibri" w:cstheme="minorHAnsi"/>
        </w:rPr>
        <w:t xml:space="preserve">regions </w:t>
      </w:r>
      <w:r w:rsidR="007D101E">
        <w:rPr>
          <w:rFonts w:ascii="Calibri" w:hAnsi="Calibri" w:cstheme="minorHAnsi"/>
        </w:rPr>
        <w:t>were</w:t>
      </w:r>
      <w:r w:rsidRPr="00610A7C">
        <w:rPr>
          <w:rFonts w:ascii="Calibri" w:hAnsi="Calibri" w:cstheme="minorHAnsi"/>
        </w:rPr>
        <w:t xml:space="preserve"> selected for the study.  Each </w:t>
      </w:r>
      <w:r w:rsidR="00234771">
        <w:rPr>
          <w:rFonts w:ascii="Calibri" w:hAnsi="Calibri" w:cstheme="minorHAnsi"/>
        </w:rPr>
        <w:t>selected sector</w:t>
      </w:r>
      <w:r w:rsidRPr="00610A7C">
        <w:rPr>
          <w:rFonts w:ascii="Calibri" w:hAnsi="Calibri" w:cstheme="minorHAnsi"/>
        </w:rPr>
        <w:t xml:space="preserve"> should possess the requisite number of small</w:t>
      </w:r>
      <w:r w:rsidRPr="00610A7C" w:rsidR="00825C00">
        <w:rPr>
          <w:rFonts w:ascii="Calibri" w:hAnsi="Calibri" w:cstheme="minorHAnsi"/>
        </w:rPr>
        <w:t>- and medium-</w:t>
      </w:r>
      <w:r w:rsidRPr="00610A7C">
        <w:rPr>
          <w:rFonts w:ascii="Calibri" w:hAnsi="Calibri" w:cstheme="minorHAnsi"/>
        </w:rPr>
        <w:t xml:space="preserve">sized workplaces in each region.  </w:t>
      </w:r>
    </w:p>
    <w:p w:rsidR="00654F00" w:rsidRPr="00610A7C" w:rsidP="00654F00" w14:paraId="698A2D06" w14:textId="77777777">
      <w:pPr>
        <w:rPr>
          <w:rFonts w:ascii="Calibri" w:hAnsi="Calibri" w:cstheme="minorHAnsi"/>
          <w:b/>
          <w:i/>
          <w:iCs/>
        </w:rPr>
      </w:pPr>
      <w:r w:rsidRPr="00610A7C">
        <w:rPr>
          <w:rFonts w:ascii="Calibri" w:hAnsi="Calibri" w:cstheme="minorHAnsi"/>
          <w:b/>
          <w:i/>
          <w:iCs/>
        </w:rPr>
        <w:t>Sample characteristics</w:t>
      </w:r>
    </w:p>
    <w:p w:rsidR="007553B1" w:rsidRPr="00610A7C" w:rsidP="00654F00" w14:paraId="74EE3A82" w14:textId="77777777">
      <w:pPr>
        <w:rPr>
          <w:rFonts w:ascii="Calibri" w:hAnsi="Calibri" w:cstheme="minorHAnsi"/>
        </w:rPr>
      </w:pPr>
      <w:r w:rsidRPr="00610A7C">
        <w:rPr>
          <w:rFonts w:ascii="Calibri" w:hAnsi="Calibri" w:cstheme="minorHAnsi"/>
        </w:rPr>
        <w:t xml:space="preserve">The Pilot Study will use a stratified convenience sample with workplace size, industry sector, and region as stratification variables.  As mentioned above, this will yield a 2 x 5 x 10 = 100 cell design.  </w:t>
      </w:r>
      <w:r w:rsidRPr="00610A7C" w:rsidR="00654F00">
        <w:rPr>
          <w:rFonts w:ascii="Calibri" w:hAnsi="Calibri" w:cstheme="minorHAnsi"/>
        </w:rPr>
        <w:t xml:space="preserve">There will be three workplaces sampled in each of the 100 cells of the factorial design for a total </w:t>
      </w:r>
      <w:r w:rsidRPr="00610A7C" w:rsidR="00F83169">
        <w:rPr>
          <w:rFonts w:ascii="Calibri" w:hAnsi="Calibri" w:cstheme="minorHAnsi"/>
        </w:rPr>
        <w:t xml:space="preserve">sample size of 300 workplaces.  </w:t>
      </w:r>
      <w:r w:rsidRPr="00610A7C" w:rsidR="00637098">
        <w:rPr>
          <w:rFonts w:ascii="Calibri" w:hAnsi="Calibri" w:cstheme="minorHAnsi"/>
        </w:rPr>
        <w:t xml:space="preserve">As discussed later in this document, the attribute ratings from the DRF33 will be analyzed with an exploratory factor analysis procedure, and it is this procedure </w:t>
      </w:r>
      <w:r w:rsidRPr="00610A7C" w:rsidR="00202D26">
        <w:rPr>
          <w:rFonts w:ascii="Calibri" w:hAnsi="Calibri" w:cstheme="minorHAnsi"/>
        </w:rPr>
        <w:t>that</w:t>
      </w:r>
      <w:r w:rsidRPr="00610A7C" w:rsidR="00637098">
        <w:rPr>
          <w:rFonts w:ascii="Calibri" w:hAnsi="Calibri" w:cstheme="minorHAnsi"/>
        </w:rPr>
        <w:t xml:space="preserve"> determines the study sample size.  A</w:t>
      </w:r>
      <w:r w:rsidRPr="00610A7C" w:rsidR="0098142F">
        <w:rPr>
          <w:rFonts w:ascii="Calibri" w:hAnsi="Calibri" w:cstheme="minorHAnsi"/>
        </w:rPr>
        <w:t xml:space="preserve"> sample size </w:t>
      </w:r>
      <w:r w:rsidRPr="00610A7C" w:rsidR="00637098">
        <w:rPr>
          <w:rFonts w:ascii="Calibri" w:hAnsi="Calibri" w:cstheme="minorHAnsi"/>
        </w:rPr>
        <w:t xml:space="preserve">of 300 workplaces </w:t>
      </w:r>
      <w:r w:rsidRPr="00610A7C" w:rsidR="0098142F">
        <w:rPr>
          <w:rFonts w:ascii="Calibri" w:hAnsi="Calibri" w:cstheme="minorHAnsi"/>
        </w:rPr>
        <w:t xml:space="preserve">leads to a cases per attribute ratio of 5.8 which is in the range of recommendations </w:t>
      </w:r>
      <w:r w:rsidRPr="00610A7C" w:rsidR="005D3D3D">
        <w:rPr>
          <w:rFonts w:ascii="Calibri" w:hAnsi="Calibri" w:cstheme="minorHAnsi"/>
        </w:rPr>
        <w:t>suggested in</w:t>
      </w:r>
      <w:r w:rsidRPr="00610A7C" w:rsidR="0098142F">
        <w:rPr>
          <w:rFonts w:ascii="Calibri" w:hAnsi="Calibri" w:cstheme="minorHAnsi"/>
        </w:rPr>
        <w:t xml:space="preserve"> the exploratory factor analysis literature (</w:t>
      </w:r>
      <w:r w:rsidRPr="00610A7C" w:rsidR="005D3D3D">
        <w:rPr>
          <w:rFonts w:ascii="Calibri" w:hAnsi="Calibri" w:cstheme="minorHAnsi"/>
        </w:rPr>
        <w:t xml:space="preserve">Cattell, 1978; </w:t>
      </w:r>
      <w:r w:rsidRPr="00610A7C" w:rsidR="00CF4E8C">
        <w:rPr>
          <w:rFonts w:ascii="Calibri" w:hAnsi="Calibri" w:cstheme="minorHAnsi"/>
        </w:rPr>
        <w:t>Gorsuch</w:t>
      </w:r>
      <w:r w:rsidRPr="00610A7C" w:rsidR="005D3D3D">
        <w:rPr>
          <w:rFonts w:ascii="Calibri" w:hAnsi="Calibri" w:cstheme="minorHAnsi"/>
        </w:rPr>
        <w:t>, 1983</w:t>
      </w:r>
      <w:r w:rsidRPr="00610A7C" w:rsidR="0098142F">
        <w:rPr>
          <w:rFonts w:ascii="Calibri" w:hAnsi="Calibri" w:cstheme="minorHAnsi"/>
        </w:rPr>
        <w:t>).  W</w:t>
      </w:r>
      <w:r w:rsidRPr="00610A7C" w:rsidR="00654F00">
        <w:rPr>
          <w:rFonts w:ascii="Calibri" w:hAnsi="Calibri" w:cstheme="minorHAnsi"/>
        </w:rPr>
        <w:t xml:space="preserve">orkplaces will be selected by the Consultation Program Managers </w:t>
      </w:r>
      <w:r w:rsidRPr="00610A7C" w:rsidR="00296EEE">
        <w:rPr>
          <w:rFonts w:ascii="Calibri" w:hAnsi="Calibri" w:cstheme="minorHAnsi"/>
        </w:rPr>
        <w:t xml:space="preserve">who oversee </w:t>
      </w:r>
      <w:r w:rsidRPr="00610A7C" w:rsidR="00202D26">
        <w:rPr>
          <w:rFonts w:ascii="Calibri" w:hAnsi="Calibri" w:cstheme="minorHAnsi"/>
        </w:rPr>
        <w:t>s</w:t>
      </w:r>
      <w:r w:rsidRPr="00610A7C" w:rsidR="00296EEE">
        <w:rPr>
          <w:rFonts w:ascii="Calibri" w:hAnsi="Calibri" w:cstheme="minorHAnsi"/>
        </w:rPr>
        <w:t xml:space="preserve">tate On-Site Consultation programs </w:t>
      </w:r>
      <w:r w:rsidRPr="00610A7C" w:rsidR="00654F00">
        <w:rPr>
          <w:rFonts w:ascii="Calibri" w:hAnsi="Calibri" w:cstheme="minorHAnsi"/>
        </w:rPr>
        <w:t>(using the criteria specified for the study) to represent the most-frequently visited industries in the country with two classifications of company</w:t>
      </w:r>
      <w:r w:rsidRPr="00610A7C" w:rsidR="00296EEE">
        <w:rPr>
          <w:rFonts w:ascii="Calibri" w:hAnsi="Calibri" w:cstheme="minorHAnsi"/>
        </w:rPr>
        <w:t xml:space="preserve"> size (i.e., small and medium).  </w:t>
      </w:r>
    </w:p>
    <w:p w:rsidR="00225964" w:rsidRPr="00610A7C" w:rsidP="00654F00" w14:paraId="72478CAD" w14:textId="77777777">
      <w:pPr>
        <w:rPr>
          <w:rFonts w:ascii="Calibri" w:hAnsi="Calibri" w:cstheme="minorHAnsi"/>
        </w:rPr>
      </w:pPr>
      <w:r>
        <w:rPr>
          <w:rFonts w:ascii="Calibri" w:hAnsi="Calibri" w:cstheme="minorHAnsi"/>
        </w:rPr>
        <w:t>Pilot Study c</w:t>
      </w:r>
      <w:r w:rsidRPr="00610A7C" w:rsidR="00654F00">
        <w:rPr>
          <w:rFonts w:ascii="Calibri" w:hAnsi="Calibri" w:cstheme="minorHAnsi"/>
        </w:rPr>
        <w:t xml:space="preserve">onsultation visits </w:t>
      </w:r>
      <w:r>
        <w:rPr>
          <w:rFonts w:ascii="Calibri" w:hAnsi="Calibri" w:cstheme="minorHAnsi"/>
        </w:rPr>
        <w:t>are</w:t>
      </w:r>
      <w:r w:rsidRPr="00610A7C" w:rsidR="00654F00">
        <w:rPr>
          <w:rFonts w:ascii="Calibri" w:hAnsi="Calibri" w:cstheme="minorHAnsi"/>
        </w:rPr>
        <w:t xml:space="preserve"> assigned in an effort to meet the study criteria based on the open pool of requests within each Consultation program. </w:t>
      </w:r>
      <w:r w:rsidRPr="00610A7C" w:rsidR="007D0679">
        <w:rPr>
          <w:rFonts w:ascii="Calibri" w:hAnsi="Calibri" w:cstheme="minorHAnsi"/>
        </w:rPr>
        <w:t xml:space="preserve"> </w:t>
      </w:r>
      <w:r w:rsidRPr="00610A7C" w:rsidR="00654F00">
        <w:rPr>
          <w:rFonts w:ascii="Calibri" w:hAnsi="Calibri" w:cstheme="minorHAnsi"/>
        </w:rPr>
        <w:t xml:space="preserve">The workplaces selected for study visits must not have an active OSHA or </w:t>
      </w:r>
      <w:hyperlink r:id="rId12" w:history="1">
        <w:r w:rsidRPr="00610A7C" w:rsidR="00654F00">
          <w:rPr>
            <w:rStyle w:val="Hyperlink"/>
            <w:rFonts w:ascii="Calibri" w:hAnsi="Calibri" w:cstheme="minorHAnsi"/>
          </w:rPr>
          <w:t>State Plan</w:t>
        </w:r>
      </w:hyperlink>
      <w:r w:rsidRPr="00610A7C" w:rsidR="00654F00">
        <w:rPr>
          <w:rFonts w:ascii="Calibri" w:hAnsi="Calibri" w:cstheme="minorHAnsi"/>
        </w:rPr>
        <w:t xml:space="preserve"> enforcement inspection or involvement at the time of the consultation visit and must be in business for at least 2 years.  The employer must not have an employee population of more than 250, corporate wide.  </w:t>
      </w:r>
    </w:p>
    <w:p w:rsidR="007D0679" w:rsidRPr="00610A7C" w:rsidP="00654F00" w14:paraId="3DECC800" w14:textId="77777777">
      <w:pPr>
        <w:rPr>
          <w:rFonts w:ascii="Calibri" w:hAnsi="Calibri" w:cstheme="minorHAnsi"/>
        </w:rPr>
      </w:pPr>
      <w:r w:rsidRPr="00610A7C">
        <w:rPr>
          <w:rFonts w:ascii="Calibri" w:hAnsi="Calibri" w:cstheme="minorHAnsi"/>
        </w:rPr>
        <w:t xml:space="preserve">All study measures </w:t>
      </w:r>
      <w:r w:rsidR="00D92158">
        <w:rPr>
          <w:rFonts w:ascii="Calibri" w:hAnsi="Calibri" w:cstheme="minorHAnsi"/>
        </w:rPr>
        <w:t>for the 48 attributes are</w:t>
      </w:r>
      <w:r w:rsidRPr="00610A7C">
        <w:rPr>
          <w:rFonts w:ascii="Calibri" w:hAnsi="Calibri" w:cstheme="minorHAnsi"/>
        </w:rPr>
        <w:t xml:space="preserve"> obtained from every workplace</w:t>
      </w:r>
      <w:r w:rsidR="00E85029">
        <w:rPr>
          <w:rFonts w:ascii="Calibri" w:hAnsi="Calibri" w:cstheme="minorHAnsi"/>
        </w:rPr>
        <w:t>;</w:t>
      </w:r>
      <w:r w:rsidRPr="00610A7C" w:rsidR="00AE36BF">
        <w:rPr>
          <w:rFonts w:ascii="Calibri" w:hAnsi="Calibri" w:cstheme="minorHAnsi"/>
        </w:rPr>
        <w:t xml:space="preserve"> </w:t>
      </w:r>
      <w:r w:rsidR="00DF4E52">
        <w:rPr>
          <w:rFonts w:ascii="Calibri" w:hAnsi="Calibri" w:cstheme="minorHAnsi"/>
        </w:rPr>
        <w:t xml:space="preserve">and </w:t>
      </w:r>
      <w:r w:rsidRPr="00610A7C" w:rsidR="00AE36BF">
        <w:rPr>
          <w:rFonts w:ascii="Calibri" w:hAnsi="Calibri" w:cstheme="minorHAnsi"/>
        </w:rPr>
        <w:t xml:space="preserve">the </w:t>
      </w:r>
      <w:r w:rsidR="00A51ECE">
        <w:rPr>
          <w:rFonts w:ascii="Calibri" w:hAnsi="Calibri" w:cstheme="minorHAnsi"/>
        </w:rPr>
        <w:t>additional</w:t>
      </w:r>
      <w:r w:rsidRPr="00610A7C" w:rsidR="00AE36BF">
        <w:rPr>
          <w:rFonts w:ascii="Calibri" w:hAnsi="Calibri" w:cstheme="minorHAnsi"/>
        </w:rPr>
        <w:t xml:space="preserve"> four attributes </w:t>
      </w:r>
      <w:r w:rsidR="00A51ECE">
        <w:rPr>
          <w:rFonts w:ascii="Calibri" w:hAnsi="Calibri" w:cstheme="minorHAnsi"/>
        </w:rPr>
        <w:t>of the multi-employer core element</w:t>
      </w:r>
      <w:r w:rsidR="00DF4E52">
        <w:rPr>
          <w:rFonts w:ascii="Calibri" w:hAnsi="Calibri" w:cstheme="minorHAnsi"/>
        </w:rPr>
        <w:t xml:space="preserve"> are</w:t>
      </w:r>
      <w:r w:rsidR="00A51ECE">
        <w:rPr>
          <w:rFonts w:ascii="Calibri" w:hAnsi="Calibri" w:cstheme="minorHAnsi"/>
        </w:rPr>
        <w:t xml:space="preserve"> </w:t>
      </w:r>
      <w:r w:rsidRPr="00610A7C" w:rsidR="00AE36BF">
        <w:rPr>
          <w:rFonts w:ascii="Calibri" w:hAnsi="Calibri" w:cstheme="minorHAnsi"/>
        </w:rPr>
        <w:t>designed for only multi-employer workplaces</w:t>
      </w:r>
      <w:r w:rsidRPr="00610A7C">
        <w:rPr>
          <w:rFonts w:ascii="Calibri" w:hAnsi="Calibri" w:cstheme="minorHAnsi"/>
        </w:rPr>
        <w:t xml:space="preserve">. </w:t>
      </w:r>
    </w:p>
    <w:p w:rsidR="00127FD0" w:rsidRPr="00610A7C" w:rsidP="00127FD0" w14:paraId="3FC18B48" w14:textId="77777777">
      <w:pPr>
        <w:rPr>
          <w:rFonts w:ascii="Calibri" w:hAnsi="Calibri" w:cstheme="minorHAnsi"/>
        </w:rPr>
      </w:pPr>
      <w:r w:rsidRPr="00610A7C">
        <w:rPr>
          <w:rFonts w:ascii="Calibri" w:hAnsi="Calibri" w:cstheme="minorHAnsi"/>
        </w:rPr>
        <w:t xml:space="preserve">As mentioned earlier, workplaces request consultation visits from the </w:t>
      </w:r>
      <w:r w:rsidRPr="00610A7C" w:rsidR="00202D26">
        <w:rPr>
          <w:rFonts w:ascii="Calibri" w:hAnsi="Calibri" w:cstheme="minorHAnsi"/>
        </w:rPr>
        <w:t>state</w:t>
      </w:r>
      <w:r w:rsidRPr="00610A7C">
        <w:rPr>
          <w:rFonts w:ascii="Calibri" w:hAnsi="Calibri" w:cstheme="minorHAnsi"/>
        </w:rPr>
        <w:t xml:space="preserve"> On-Site Consultation </w:t>
      </w:r>
      <w:r w:rsidRPr="00610A7C" w:rsidR="00202D26">
        <w:rPr>
          <w:rFonts w:ascii="Calibri" w:hAnsi="Calibri" w:cstheme="minorHAnsi"/>
        </w:rPr>
        <w:t>p</w:t>
      </w:r>
      <w:r w:rsidRPr="00610A7C">
        <w:rPr>
          <w:rFonts w:ascii="Calibri" w:hAnsi="Calibri" w:cstheme="minorHAnsi"/>
        </w:rPr>
        <w:t>rogram</w:t>
      </w:r>
      <w:r w:rsidRPr="00610A7C" w:rsidR="00202D26">
        <w:rPr>
          <w:rFonts w:ascii="Calibri" w:hAnsi="Calibri" w:cstheme="minorHAnsi"/>
        </w:rPr>
        <w:t>s</w:t>
      </w:r>
      <w:r w:rsidRPr="00610A7C">
        <w:rPr>
          <w:rFonts w:ascii="Calibri" w:hAnsi="Calibri" w:cstheme="minorHAnsi"/>
        </w:rPr>
        <w:t xml:space="preserve">.  For this reason, </w:t>
      </w:r>
      <w:r w:rsidRPr="00610A7C" w:rsidR="00C11EBE">
        <w:rPr>
          <w:rFonts w:ascii="Calibri" w:hAnsi="Calibri" w:cstheme="minorHAnsi"/>
        </w:rPr>
        <w:t>p</w:t>
      </w:r>
      <w:r w:rsidRPr="00610A7C">
        <w:rPr>
          <w:rFonts w:ascii="Calibri" w:hAnsi="Calibri" w:cstheme="minorHAnsi"/>
        </w:rPr>
        <w:t xml:space="preserve">ilot </w:t>
      </w:r>
      <w:r w:rsidRPr="00610A7C" w:rsidR="00C11EBE">
        <w:rPr>
          <w:rFonts w:ascii="Calibri" w:hAnsi="Calibri" w:cstheme="minorHAnsi"/>
        </w:rPr>
        <w:t>s</w:t>
      </w:r>
      <w:r w:rsidRPr="00610A7C">
        <w:rPr>
          <w:rFonts w:ascii="Calibri" w:hAnsi="Calibri" w:cstheme="minorHAnsi"/>
        </w:rPr>
        <w:t xml:space="preserve">tudy drop-out is expected to be quite low and would chiefly result from </w:t>
      </w:r>
      <w:r w:rsidR="00000346">
        <w:rPr>
          <w:rFonts w:ascii="Calibri" w:hAnsi="Calibri" w:cstheme="minorHAnsi"/>
        </w:rPr>
        <w:t>the consultant's inability to conduct an assessment using all attributes from the DRF33 or workplace closure like that previously experienced during large COVID-19</w:t>
      </w:r>
      <w:r w:rsidRPr="00610A7C">
        <w:rPr>
          <w:rFonts w:ascii="Calibri" w:hAnsi="Calibri" w:cstheme="minorHAnsi"/>
        </w:rPr>
        <w:t xml:space="preserve"> outbreaks.  Neither of these conditions directly relate to the quality of the SHP </w:t>
      </w:r>
      <w:r w:rsidRPr="00610A7C" w:rsidR="00AE36BF">
        <w:rPr>
          <w:rFonts w:ascii="Calibri" w:hAnsi="Calibri" w:cstheme="minorHAnsi"/>
        </w:rPr>
        <w:t>at a given workplace</w:t>
      </w:r>
      <w:r w:rsidRPr="00610A7C">
        <w:rPr>
          <w:rFonts w:ascii="Calibri" w:hAnsi="Calibri" w:cstheme="minorHAnsi"/>
        </w:rPr>
        <w:t xml:space="preserve">, so the likelihood of informative missing data </w:t>
      </w:r>
      <w:r w:rsidRPr="00610A7C" w:rsidR="00AE36BF">
        <w:rPr>
          <w:rFonts w:ascii="Calibri" w:hAnsi="Calibri" w:cstheme="minorHAnsi"/>
        </w:rPr>
        <w:t xml:space="preserve">seems </w:t>
      </w:r>
      <w:r w:rsidRPr="00610A7C">
        <w:rPr>
          <w:rFonts w:ascii="Calibri" w:hAnsi="Calibri" w:cstheme="minorHAnsi"/>
        </w:rPr>
        <w:t xml:space="preserve">low.  Moreover, when any missing data are encountered, a substitute workplace </w:t>
      </w:r>
      <w:r w:rsidR="00D92158">
        <w:rPr>
          <w:rFonts w:ascii="Calibri" w:hAnsi="Calibri" w:cstheme="minorHAnsi"/>
        </w:rPr>
        <w:t>is</w:t>
      </w:r>
      <w:r w:rsidRPr="00610A7C">
        <w:rPr>
          <w:rFonts w:ascii="Calibri" w:hAnsi="Calibri" w:cstheme="minorHAnsi"/>
        </w:rPr>
        <w:t xml:space="preserve"> identified for the stratum in question and a consultant visit</w:t>
      </w:r>
      <w:r w:rsidR="00D92158">
        <w:rPr>
          <w:rFonts w:ascii="Calibri" w:hAnsi="Calibri" w:cstheme="minorHAnsi"/>
        </w:rPr>
        <w:t>s</w:t>
      </w:r>
      <w:r w:rsidRPr="00610A7C">
        <w:rPr>
          <w:rFonts w:ascii="Calibri" w:hAnsi="Calibri" w:cstheme="minorHAnsi"/>
        </w:rPr>
        <w:t xml:space="preserve"> the substitute workplace instead.  </w:t>
      </w:r>
      <w:r w:rsidRPr="00610A7C" w:rsidR="00202D26">
        <w:rPr>
          <w:rFonts w:ascii="Calibri" w:hAnsi="Calibri" w:cstheme="minorHAnsi"/>
        </w:rPr>
        <w:t>It is expected that t</w:t>
      </w:r>
      <w:r w:rsidRPr="00610A7C">
        <w:rPr>
          <w:rFonts w:ascii="Calibri" w:hAnsi="Calibri" w:cstheme="minorHAnsi"/>
        </w:rPr>
        <w:t>his procedure will yield complete data from 300 workplaces.</w:t>
      </w:r>
    </w:p>
    <w:p w:rsidR="006A10D9" w:rsidRPr="00610A7C" w:rsidP="006A10D9" w14:paraId="7F09167B" w14:textId="77777777">
      <w:pPr>
        <w:rPr>
          <w:rFonts w:ascii="Calibri" w:hAnsi="Calibri" w:cstheme="minorHAnsi"/>
          <w:bCs/>
        </w:rPr>
      </w:pPr>
      <w:r w:rsidRPr="00610A7C">
        <w:rPr>
          <w:rFonts w:ascii="Calibri" w:hAnsi="Calibri" w:cstheme="minorHAnsi"/>
          <w:bCs/>
        </w:rPr>
        <w:t>The Pilot Study</w:t>
      </w:r>
      <w:r w:rsidR="00D92158">
        <w:rPr>
          <w:rFonts w:ascii="Calibri" w:hAnsi="Calibri" w:cstheme="minorHAnsi"/>
          <w:bCs/>
        </w:rPr>
        <w:t xml:space="preserve"> </w:t>
      </w:r>
      <w:r w:rsidRPr="00610A7C">
        <w:rPr>
          <w:rFonts w:ascii="Calibri" w:hAnsi="Calibri" w:cstheme="minorHAnsi"/>
          <w:bCs/>
        </w:rPr>
        <w:t>involve</w:t>
      </w:r>
      <w:r w:rsidR="00D92158">
        <w:rPr>
          <w:rFonts w:ascii="Calibri" w:hAnsi="Calibri" w:cstheme="minorHAnsi"/>
          <w:bCs/>
        </w:rPr>
        <w:t>s</w:t>
      </w:r>
      <w:r w:rsidRPr="00610A7C">
        <w:rPr>
          <w:rFonts w:ascii="Calibri" w:hAnsi="Calibri" w:cstheme="minorHAnsi"/>
          <w:bCs/>
        </w:rPr>
        <w:t xml:space="preserve"> a comprehensive SHP assessment of 300 workplaces, each requiring </w:t>
      </w:r>
      <w:r w:rsidRPr="00610A7C" w:rsidR="000D58C2">
        <w:rPr>
          <w:rFonts w:ascii="Calibri" w:hAnsi="Calibri" w:cstheme="minorHAnsi"/>
          <w:bCs/>
        </w:rPr>
        <w:t xml:space="preserve">five (5) </w:t>
      </w:r>
      <w:r w:rsidRPr="00610A7C">
        <w:rPr>
          <w:rFonts w:ascii="Calibri" w:hAnsi="Calibri" w:cstheme="minorHAnsi"/>
          <w:bCs/>
        </w:rPr>
        <w:t xml:space="preserve">hours to complete.  In addition, to evaluate </w:t>
      </w:r>
      <w:r w:rsidRPr="00610A7C" w:rsidR="006D02A0">
        <w:rPr>
          <w:rFonts w:ascii="Calibri" w:hAnsi="Calibri" w:cstheme="minorHAnsi"/>
          <w:bCs/>
        </w:rPr>
        <w:t xml:space="preserve">the </w:t>
      </w:r>
      <w:r w:rsidRPr="00610A7C">
        <w:rPr>
          <w:rFonts w:ascii="Calibri" w:hAnsi="Calibri" w:cstheme="minorHAnsi"/>
          <w:bCs/>
        </w:rPr>
        <w:t>DRF33 interrater reliability – fifty (50) of the 300 workplaces</w:t>
      </w:r>
      <w:r w:rsidRPr="00610A7C" w:rsidR="00E347FB">
        <w:rPr>
          <w:rFonts w:ascii="Calibri" w:hAnsi="Calibri" w:cstheme="minorHAnsi"/>
          <w:bCs/>
        </w:rPr>
        <w:t xml:space="preserve"> assessed (i.e., five from each </w:t>
      </w:r>
      <w:r w:rsidR="00186788">
        <w:rPr>
          <w:rFonts w:ascii="Calibri" w:hAnsi="Calibri" w:cstheme="minorHAnsi"/>
          <w:bCs/>
        </w:rPr>
        <w:t xml:space="preserve">of the 10 </w:t>
      </w:r>
      <w:r w:rsidRPr="00610A7C" w:rsidR="00E347FB">
        <w:rPr>
          <w:rFonts w:ascii="Calibri" w:hAnsi="Calibri" w:cstheme="minorHAnsi"/>
          <w:bCs/>
        </w:rPr>
        <w:t>region</w:t>
      </w:r>
      <w:r w:rsidR="00186788">
        <w:rPr>
          <w:rFonts w:ascii="Calibri" w:hAnsi="Calibri" w:cstheme="minorHAnsi"/>
          <w:bCs/>
        </w:rPr>
        <w:t>s</w:t>
      </w:r>
      <w:r w:rsidRPr="00610A7C" w:rsidR="00E347FB">
        <w:rPr>
          <w:rFonts w:ascii="Calibri" w:hAnsi="Calibri" w:cstheme="minorHAnsi"/>
          <w:bCs/>
        </w:rPr>
        <w:t xml:space="preserve">) </w:t>
      </w:r>
      <w:r w:rsidRPr="00610A7C">
        <w:rPr>
          <w:rFonts w:ascii="Calibri" w:hAnsi="Calibri" w:cstheme="minorHAnsi"/>
          <w:bCs/>
        </w:rPr>
        <w:t>will be visited by two (2) consultants</w:t>
      </w:r>
      <w:r w:rsidRPr="00610A7C" w:rsidR="000D58C2">
        <w:rPr>
          <w:rFonts w:ascii="Calibri" w:hAnsi="Calibri" w:cstheme="minorHAnsi"/>
          <w:bCs/>
        </w:rPr>
        <w:t>.  B</w:t>
      </w:r>
      <w:r w:rsidRPr="00610A7C">
        <w:rPr>
          <w:rFonts w:ascii="Calibri" w:hAnsi="Calibri" w:cstheme="minorHAnsi"/>
          <w:bCs/>
        </w:rPr>
        <w:t xml:space="preserve">oth </w:t>
      </w:r>
      <w:r w:rsidRPr="00610A7C" w:rsidR="000D58C2">
        <w:rPr>
          <w:rFonts w:ascii="Calibri" w:hAnsi="Calibri" w:cstheme="minorHAnsi"/>
          <w:bCs/>
        </w:rPr>
        <w:t xml:space="preserve">consultants will </w:t>
      </w:r>
      <w:r w:rsidRPr="00610A7C">
        <w:rPr>
          <w:rFonts w:ascii="Calibri" w:hAnsi="Calibri" w:cstheme="minorHAnsi"/>
          <w:bCs/>
        </w:rPr>
        <w:t>fill out the DRF33 independently based on the information available at the workplace</w:t>
      </w:r>
      <w:r w:rsidRPr="00610A7C" w:rsidR="00E347FB">
        <w:rPr>
          <w:rFonts w:ascii="Calibri" w:hAnsi="Calibri" w:cstheme="minorHAnsi"/>
          <w:bCs/>
        </w:rPr>
        <w:t>,</w:t>
      </w:r>
      <w:r w:rsidRPr="00610A7C">
        <w:rPr>
          <w:rFonts w:ascii="Calibri" w:hAnsi="Calibri" w:cstheme="minorHAnsi"/>
          <w:bCs/>
        </w:rPr>
        <w:t xml:space="preserve"> therefore, the 300 Pilot Study </w:t>
      </w:r>
      <w:r w:rsidRPr="00610A7C" w:rsidR="006D02A0">
        <w:rPr>
          <w:rFonts w:ascii="Calibri" w:hAnsi="Calibri" w:cstheme="minorHAnsi"/>
          <w:bCs/>
        </w:rPr>
        <w:t xml:space="preserve">workplace </w:t>
      </w:r>
      <w:r w:rsidRPr="00610A7C">
        <w:rPr>
          <w:rFonts w:ascii="Calibri" w:hAnsi="Calibri" w:cstheme="minorHAnsi"/>
          <w:bCs/>
        </w:rPr>
        <w:t xml:space="preserve">consultation visits will result in 350 SHP assessments. </w:t>
      </w:r>
      <w:r w:rsidR="00360814">
        <w:rPr>
          <w:rFonts w:ascii="Calibri" w:hAnsi="Calibri" w:cstheme="minorHAnsi"/>
          <w:bCs/>
        </w:rPr>
        <w:t xml:space="preserve">So far, </w:t>
      </w:r>
      <w:r w:rsidRPr="00977392" w:rsidR="00977392">
        <w:rPr>
          <w:rFonts w:ascii="Calibri" w:hAnsi="Calibri" w:cstheme="minorHAnsi"/>
          <w:bCs/>
        </w:rPr>
        <w:t xml:space="preserve">326 pilot workplace SHP assessments have been conducted by Consultation programs nationwide out of the total number of 350 planned.  </w:t>
      </w:r>
    </w:p>
    <w:p w:rsidR="00440CF7" w:rsidRPr="00610A7C" w:rsidP="00D06C76" w14:paraId="1AB057E9" w14:textId="77777777">
      <w:pPr>
        <w:keepNext/>
        <w:widowControl w:val="0"/>
        <w:rPr>
          <w:rFonts w:ascii="Calibri" w:hAnsi="Calibri" w:cstheme="minorHAnsi"/>
          <w:b/>
          <w:u w:val="single"/>
        </w:rPr>
      </w:pPr>
      <w:r w:rsidRPr="00610A7C">
        <w:rPr>
          <w:rFonts w:ascii="Calibri" w:hAnsi="Calibri" w:cstheme="minorHAnsi"/>
          <w:b/>
          <w:u w:val="single"/>
        </w:rPr>
        <w:t>Prospective Analys</w:t>
      </w:r>
      <w:r w:rsidR="00E01DC4">
        <w:rPr>
          <w:rFonts w:ascii="Calibri" w:hAnsi="Calibri" w:cstheme="minorHAnsi"/>
          <w:b/>
          <w:u w:val="single"/>
        </w:rPr>
        <w:t>i</w:t>
      </w:r>
      <w:r w:rsidRPr="00610A7C">
        <w:rPr>
          <w:rFonts w:ascii="Calibri" w:hAnsi="Calibri" w:cstheme="minorHAnsi"/>
          <w:b/>
          <w:u w:val="single"/>
        </w:rPr>
        <w:t>s</w:t>
      </w:r>
    </w:p>
    <w:p w:rsidR="00440CF7" w:rsidRPr="00610A7C" w:rsidP="00440CF7" w14:paraId="7A29366B" w14:textId="77777777">
      <w:pPr>
        <w:rPr>
          <w:rFonts w:ascii="Calibri" w:hAnsi="Calibri" w:cstheme="minorHAnsi"/>
          <w:lang w:val="en"/>
        </w:rPr>
      </w:pPr>
      <w:r w:rsidRPr="00610A7C">
        <w:rPr>
          <w:rFonts w:ascii="Calibri" w:hAnsi="Calibri" w:cstheme="minorHAnsi"/>
        </w:rPr>
        <w:t xml:space="preserve">Prospective estimates of the TRC and DART will be based on </w:t>
      </w:r>
      <w:r w:rsidR="00000346">
        <w:rPr>
          <w:rFonts w:ascii="Calibri" w:hAnsi="Calibri" w:cstheme="minorHAnsi"/>
        </w:rPr>
        <w:t>the 12 months</w:t>
      </w:r>
      <w:r w:rsidRPr="00610A7C">
        <w:rPr>
          <w:rFonts w:ascii="Calibri" w:hAnsi="Calibri" w:cstheme="minorHAnsi"/>
        </w:rPr>
        <w:t xml:space="preserve"> following the </w:t>
      </w:r>
      <w:r w:rsidR="00D847C6">
        <w:rPr>
          <w:rFonts w:ascii="Calibri" w:hAnsi="Calibri" w:cstheme="minorHAnsi"/>
        </w:rPr>
        <w:t xml:space="preserve">Pilot Study </w:t>
      </w:r>
      <w:r w:rsidRPr="00610A7C">
        <w:rPr>
          <w:rFonts w:ascii="Calibri" w:hAnsi="Calibri" w:cstheme="minorHAnsi"/>
        </w:rPr>
        <w:t>consultation visits</w:t>
      </w:r>
      <w:r w:rsidRPr="00610A7C" w:rsidR="00A92018">
        <w:rPr>
          <w:rFonts w:ascii="Calibri" w:hAnsi="Calibri" w:cstheme="minorHAnsi"/>
        </w:rPr>
        <w:t>, as described above</w:t>
      </w:r>
      <w:r w:rsidRPr="00610A7C" w:rsidR="00A13BF3">
        <w:rPr>
          <w:rFonts w:ascii="Calibri" w:hAnsi="Calibri" w:cstheme="minorHAnsi"/>
        </w:rPr>
        <w:t xml:space="preserve"> (i.e., TRC and DART</w:t>
      </w:r>
      <w:r w:rsidR="006F00D2">
        <w:rPr>
          <w:rFonts w:ascii="Calibri" w:hAnsi="Calibri" w:cstheme="minorHAnsi"/>
        </w:rPr>
        <w:t xml:space="preserve"> Calculations</w:t>
      </w:r>
      <w:r w:rsidRPr="00610A7C" w:rsidR="00A13BF3">
        <w:rPr>
          <w:rFonts w:ascii="Calibri" w:hAnsi="Calibri" w:cstheme="minorHAnsi"/>
        </w:rPr>
        <w:t>)</w:t>
      </w:r>
      <w:r w:rsidRPr="00610A7C" w:rsidR="00C11EBE">
        <w:rPr>
          <w:rFonts w:ascii="Calibri" w:hAnsi="Calibri" w:cstheme="minorHAnsi"/>
        </w:rPr>
        <w:t xml:space="preserve">.  These covariates will be analyzed with the same procedures </w:t>
      </w:r>
      <w:r w:rsidRPr="00610A7C" w:rsidR="000215BC">
        <w:rPr>
          <w:rFonts w:ascii="Calibri" w:hAnsi="Calibri" w:cstheme="minorHAnsi"/>
        </w:rPr>
        <w:t xml:space="preserve">used for the retrospective analyses, although these analyses will take place </w:t>
      </w:r>
      <w:r w:rsidRPr="00610A7C">
        <w:rPr>
          <w:rFonts w:ascii="Calibri" w:hAnsi="Calibri" w:cstheme="minorHAnsi"/>
        </w:rPr>
        <w:t xml:space="preserve">one year </w:t>
      </w:r>
      <w:r w:rsidRPr="00610A7C" w:rsidR="00A92018">
        <w:rPr>
          <w:rFonts w:ascii="Calibri" w:hAnsi="Calibri" w:cstheme="minorHAnsi"/>
        </w:rPr>
        <w:t>after the Pilot Study consultation visits</w:t>
      </w:r>
      <w:r w:rsidRPr="00610A7C">
        <w:rPr>
          <w:rFonts w:ascii="Calibri" w:hAnsi="Calibri" w:cstheme="minorHAnsi"/>
        </w:rPr>
        <w:t xml:space="preserve"> when prospective covariates are available.</w:t>
      </w:r>
      <w:r w:rsidRPr="00610A7C" w:rsidR="00833F60">
        <w:rPr>
          <w:rFonts w:ascii="Calibri" w:hAnsi="Calibri" w:cstheme="minorHAnsi"/>
        </w:rPr>
        <w:t xml:space="preserve"> </w:t>
      </w:r>
      <w:r w:rsidRPr="00610A7C" w:rsidR="00833F60">
        <w:rPr>
          <w:rFonts w:ascii="Calibri" w:hAnsi="Calibri" w:cstheme="minorHAnsi"/>
          <w:bCs/>
        </w:rPr>
        <w:t xml:space="preserve">The Prospective Analysis </w:t>
      </w:r>
      <w:r w:rsidR="00D92158">
        <w:rPr>
          <w:rFonts w:ascii="Calibri" w:hAnsi="Calibri" w:cstheme="minorHAnsi"/>
          <w:bCs/>
        </w:rPr>
        <w:t>does not require</w:t>
      </w:r>
      <w:r w:rsidRPr="00610A7C" w:rsidR="00833F60">
        <w:rPr>
          <w:rFonts w:ascii="Calibri" w:hAnsi="Calibri" w:cstheme="minorHAnsi"/>
          <w:bCs/>
        </w:rPr>
        <w:t xml:space="preserve"> any additional consultation visits, therefore, there will be no SHP assessments using the DRF33.  Consultants will collect injury and illness data from employers via phone, fax, email, etcetera. </w:t>
      </w:r>
      <w:r w:rsidRPr="00610A7C" w:rsidR="00833F60">
        <w:rPr>
          <w:rFonts w:ascii="Calibri" w:hAnsi="Calibri" w:cstheme="minorHAnsi"/>
        </w:rPr>
        <w:t xml:space="preserve"> </w:t>
      </w:r>
    </w:p>
    <w:p w:rsidR="00231C3A" w:rsidRPr="00610A7C" w:rsidP="00654F00" w14:paraId="1A19B098" w14:textId="77777777">
      <w:pPr>
        <w:rPr>
          <w:rFonts w:ascii="Calibri" w:hAnsi="Calibri" w:cstheme="minorHAnsi"/>
          <w:b/>
          <w:i/>
        </w:rPr>
      </w:pPr>
      <w:r w:rsidRPr="00610A7C">
        <w:rPr>
          <w:rFonts w:ascii="Calibri" w:hAnsi="Calibri" w:cstheme="minorHAnsi"/>
          <w:b/>
          <w:i/>
        </w:rPr>
        <w:t>Pre-Test and Follow-Up</w:t>
      </w:r>
    </w:p>
    <w:p w:rsidR="003836DF" w:rsidP="00654F00" w14:paraId="6698654C" w14:textId="77777777">
      <w:pPr>
        <w:rPr>
          <w:rFonts w:ascii="Calibri" w:hAnsi="Calibri" w:cstheme="minorHAnsi"/>
        </w:rPr>
      </w:pPr>
      <w:r w:rsidRPr="00610A7C">
        <w:rPr>
          <w:rFonts w:ascii="Calibri" w:hAnsi="Calibri" w:cstheme="minorHAnsi"/>
        </w:rPr>
        <w:t>A</w:t>
      </w:r>
      <w:r w:rsidR="00592F0A">
        <w:rPr>
          <w:rFonts w:ascii="Calibri" w:hAnsi="Calibri" w:cstheme="minorHAnsi"/>
        </w:rPr>
        <w:t>ll</w:t>
      </w:r>
      <w:r w:rsidRPr="00610A7C">
        <w:rPr>
          <w:rFonts w:ascii="Calibri" w:hAnsi="Calibri" w:cstheme="minorHAnsi"/>
        </w:rPr>
        <w:t xml:space="preserve"> pre-t</w:t>
      </w:r>
      <w:r w:rsidRPr="00610A7C" w:rsidR="00654F00">
        <w:rPr>
          <w:rFonts w:ascii="Calibri" w:hAnsi="Calibri" w:cstheme="minorHAnsi"/>
        </w:rPr>
        <w:t xml:space="preserve">est </w:t>
      </w:r>
      <w:r w:rsidR="00592F0A">
        <w:rPr>
          <w:rFonts w:ascii="Calibri" w:hAnsi="Calibri" w:cstheme="minorHAnsi"/>
        </w:rPr>
        <w:t xml:space="preserve">SHP assessments for the Pilot Study were </w:t>
      </w:r>
      <w:r w:rsidRPr="00610A7C" w:rsidR="00654F00">
        <w:rPr>
          <w:rFonts w:ascii="Calibri" w:hAnsi="Calibri" w:cstheme="minorHAnsi"/>
        </w:rPr>
        <w:t xml:space="preserve">conducted to ensure that all procedures and information technology platforms will function as designed during the Pilot Study.  Any failings observed in procedures or technology used during the </w:t>
      </w:r>
      <w:r w:rsidRPr="00610A7C" w:rsidR="000215BC">
        <w:rPr>
          <w:rFonts w:ascii="Calibri" w:hAnsi="Calibri" w:cstheme="minorHAnsi"/>
        </w:rPr>
        <w:t>pre-test</w:t>
      </w:r>
      <w:r w:rsidRPr="00610A7C" w:rsidR="00AD24A4">
        <w:rPr>
          <w:rFonts w:ascii="Calibri" w:hAnsi="Calibri" w:cstheme="minorHAnsi"/>
        </w:rPr>
        <w:t xml:space="preserve"> </w:t>
      </w:r>
      <w:r>
        <w:rPr>
          <w:rFonts w:ascii="Calibri" w:hAnsi="Calibri" w:cstheme="minorHAnsi"/>
        </w:rPr>
        <w:t>was</w:t>
      </w:r>
      <w:r w:rsidRPr="00610A7C" w:rsidR="00654F00">
        <w:rPr>
          <w:rFonts w:ascii="Calibri" w:hAnsi="Calibri" w:cstheme="minorHAnsi"/>
        </w:rPr>
        <w:t xml:space="preserve"> fixed </w:t>
      </w:r>
      <w:r w:rsidRPr="00610A7C">
        <w:rPr>
          <w:rFonts w:ascii="Calibri" w:hAnsi="Calibri" w:cstheme="minorHAnsi"/>
        </w:rPr>
        <w:t>before launching the Pilot Study.  The pre-t</w:t>
      </w:r>
      <w:r w:rsidRPr="00610A7C" w:rsidR="00654F00">
        <w:rPr>
          <w:rFonts w:ascii="Calibri" w:hAnsi="Calibri" w:cstheme="minorHAnsi"/>
        </w:rPr>
        <w:t xml:space="preserve">est </w:t>
      </w:r>
      <w:r>
        <w:rPr>
          <w:rFonts w:ascii="Calibri" w:hAnsi="Calibri" w:cstheme="minorHAnsi"/>
        </w:rPr>
        <w:t>was</w:t>
      </w:r>
      <w:r w:rsidRPr="00610A7C" w:rsidR="00654F00">
        <w:rPr>
          <w:rFonts w:ascii="Calibri" w:hAnsi="Calibri" w:cstheme="minorHAnsi"/>
        </w:rPr>
        <w:t xml:space="preserve"> conducted in only one of the </w:t>
      </w:r>
      <w:r w:rsidRPr="00610A7C" w:rsidR="00225964">
        <w:rPr>
          <w:rFonts w:ascii="Calibri" w:hAnsi="Calibri" w:cstheme="minorHAnsi"/>
        </w:rPr>
        <w:t>ten r</w:t>
      </w:r>
      <w:r w:rsidRPr="00610A7C" w:rsidR="00654F00">
        <w:rPr>
          <w:rFonts w:ascii="Calibri" w:hAnsi="Calibri" w:cstheme="minorHAnsi"/>
        </w:rPr>
        <w:t xml:space="preserve">egions </w:t>
      </w:r>
      <w:r>
        <w:rPr>
          <w:rFonts w:ascii="Calibri" w:hAnsi="Calibri" w:cstheme="minorHAnsi"/>
        </w:rPr>
        <w:t>with fewer than the</w:t>
      </w:r>
      <w:r w:rsidRPr="00610A7C" w:rsidR="00654F00">
        <w:rPr>
          <w:rFonts w:ascii="Calibri" w:hAnsi="Calibri" w:cstheme="minorHAnsi"/>
        </w:rPr>
        <w:t xml:space="preserve"> maximum of twenty (20) workplace SHP asses</w:t>
      </w:r>
      <w:r w:rsidRPr="00610A7C">
        <w:rPr>
          <w:rFonts w:ascii="Calibri" w:hAnsi="Calibri" w:cstheme="minorHAnsi"/>
        </w:rPr>
        <w:t xml:space="preserve">sments </w:t>
      </w:r>
      <w:r w:rsidR="00B504B1">
        <w:rPr>
          <w:rFonts w:ascii="Calibri" w:hAnsi="Calibri" w:cstheme="minorHAnsi"/>
        </w:rPr>
        <w:t>estimated</w:t>
      </w:r>
      <w:r w:rsidRPr="00610A7C">
        <w:rPr>
          <w:rFonts w:ascii="Calibri" w:hAnsi="Calibri" w:cstheme="minorHAnsi"/>
        </w:rPr>
        <w:t xml:space="preserve">.  </w:t>
      </w:r>
    </w:p>
    <w:p w:rsidR="00654F00" w:rsidP="00654F00" w14:paraId="7F7309A5" w14:textId="77777777">
      <w:pPr>
        <w:rPr>
          <w:rFonts w:ascii="Calibri" w:hAnsi="Calibri" w:cstheme="minorHAnsi"/>
        </w:rPr>
      </w:pPr>
      <w:r w:rsidRPr="00610A7C">
        <w:rPr>
          <w:rFonts w:ascii="Calibri" w:hAnsi="Calibri" w:cstheme="minorHAnsi"/>
        </w:rPr>
        <w:t xml:space="preserve">Similarly, a follow-up will be conducted, using a maximum of thirty (30) workplace SHP assessments, only if </w:t>
      </w:r>
      <w:r w:rsidR="006F0E45">
        <w:rPr>
          <w:rFonts w:ascii="Calibri" w:hAnsi="Calibri" w:cstheme="minorHAnsi"/>
        </w:rPr>
        <w:t>data analys</w:t>
      </w:r>
      <w:r w:rsidR="001C13B3">
        <w:rPr>
          <w:rFonts w:ascii="Calibri" w:hAnsi="Calibri" w:cstheme="minorHAnsi"/>
        </w:rPr>
        <w:t>e</w:t>
      </w:r>
      <w:r w:rsidR="006F0E45">
        <w:rPr>
          <w:rFonts w:ascii="Calibri" w:hAnsi="Calibri" w:cstheme="minorHAnsi"/>
        </w:rPr>
        <w:t xml:space="preserve">s and other </w:t>
      </w:r>
      <w:r w:rsidRPr="00610A7C">
        <w:rPr>
          <w:rFonts w:ascii="Calibri" w:hAnsi="Calibri" w:cstheme="minorHAnsi"/>
        </w:rPr>
        <w:t>findings result in updates to the DRF33 and ARG that require verification of effectiveness before implementing</w:t>
      </w:r>
      <w:r w:rsidRPr="00610A7C" w:rsidR="000215BC">
        <w:rPr>
          <w:rFonts w:ascii="Calibri" w:hAnsi="Calibri" w:cstheme="minorHAnsi"/>
        </w:rPr>
        <w:t xml:space="preserve"> operationally</w:t>
      </w:r>
      <w:r w:rsidRPr="00610A7C">
        <w:rPr>
          <w:rFonts w:ascii="Calibri" w:hAnsi="Calibri" w:cstheme="minorHAnsi"/>
        </w:rPr>
        <w:t xml:space="preserve">. </w:t>
      </w:r>
      <w:r w:rsidR="003836DF">
        <w:rPr>
          <w:rFonts w:ascii="Calibri" w:hAnsi="Calibri" w:cstheme="minorHAnsi"/>
        </w:rPr>
        <w:t xml:space="preserve"> </w:t>
      </w:r>
      <w:r w:rsidRPr="00610A7C">
        <w:rPr>
          <w:rFonts w:ascii="Calibri" w:hAnsi="Calibri" w:cstheme="minorHAnsi"/>
        </w:rPr>
        <w:t xml:space="preserve"> </w:t>
      </w:r>
    </w:p>
    <w:p w:rsidR="00D0032B" w:rsidRPr="00610A7C" w:rsidP="00654F00" w14:paraId="7B45F480" w14:textId="77777777">
      <w:pPr>
        <w:rPr>
          <w:rFonts w:ascii="Calibri" w:hAnsi="Calibri" w:cstheme="minorHAnsi"/>
        </w:rPr>
      </w:pPr>
    </w:p>
    <w:p w:rsidR="00841B0E" w:rsidRPr="00610A7C" w:rsidP="004B3258" w14:paraId="45C1D28D" w14:textId="77777777">
      <w:pPr>
        <w:keepNext/>
        <w:widowControl w:val="0"/>
        <w:autoSpaceDE w:val="0"/>
        <w:autoSpaceDN w:val="0"/>
        <w:adjustRightInd w:val="0"/>
        <w:spacing w:after="0" w:line="240" w:lineRule="auto"/>
        <w:jc w:val="center"/>
        <w:rPr>
          <w:rFonts w:ascii="Calibri" w:eastAsia="Times New Roman" w:hAnsi="Calibri" w:cstheme="minorHAnsi"/>
          <w:i/>
        </w:rPr>
      </w:pPr>
      <w:r w:rsidRPr="00610A7C">
        <w:rPr>
          <w:rFonts w:ascii="Calibri" w:eastAsia="Times New Roman" w:hAnsi="Calibri" w:cstheme="minorHAnsi"/>
          <w:b/>
        </w:rPr>
        <w:t>Table 1: Summary of Data Collection Plan</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350"/>
        <w:gridCol w:w="1525"/>
        <w:gridCol w:w="1440"/>
        <w:gridCol w:w="1260"/>
        <w:gridCol w:w="1350"/>
        <w:gridCol w:w="1170"/>
      </w:tblGrid>
      <w:tr w14:paraId="5D264D63" w14:textId="77777777" w:rsidTr="00D75FF7">
        <w:tblPrEx>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jc w:val="center"/>
        </w:trPr>
        <w:tc>
          <w:tcPr>
            <w:tcW w:w="153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37B75566"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Activity</w:t>
            </w:r>
          </w:p>
        </w:tc>
        <w:tc>
          <w:tcPr>
            <w:tcW w:w="153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0F53EC4B"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Type of</w:t>
            </w:r>
          </w:p>
          <w:p w:rsidR="00F86CC6" w:rsidRPr="00610A7C" w:rsidP="00F86CC6" w14:paraId="219CC29A"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Respondents</w:t>
            </w:r>
            <w:r>
              <w:rPr>
                <w:rStyle w:val="FootnoteReference"/>
                <w:rFonts w:ascii="Calibri" w:eastAsia="Times New Roman" w:hAnsi="Calibri" w:cstheme="minorHAnsi"/>
                <w:b/>
              </w:rPr>
              <w:footnoteReference w:id="7"/>
            </w:r>
          </w:p>
        </w:tc>
        <w:tc>
          <w:tcPr>
            <w:tcW w:w="135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15E2611E"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No. of Workplaces Visited</w:t>
            </w:r>
          </w:p>
        </w:tc>
        <w:tc>
          <w:tcPr>
            <w:tcW w:w="1525"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28B48734"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No. of Respondents</w:t>
            </w:r>
            <w:r>
              <w:rPr>
                <w:rStyle w:val="FootnoteReference"/>
                <w:rFonts w:ascii="Calibri" w:eastAsia="Times New Roman" w:hAnsi="Calibri" w:cstheme="minorHAnsi"/>
                <w:b/>
              </w:rPr>
              <w:footnoteReference w:id="8"/>
            </w:r>
          </w:p>
        </w:tc>
        <w:tc>
          <w:tcPr>
            <w:tcW w:w="144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30B39E6C"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No. of Responses</w:t>
            </w:r>
          </w:p>
          <w:p w:rsidR="00F86CC6" w:rsidRPr="00610A7C" w:rsidP="00F86CC6" w14:paraId="75D1687A"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7DA208F4"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Total No. of Responses</w:t>
            </w:r>
          </w:p>
        </w:tc>
        <w:tc>
          <w:tcPr>
            <w:tcW w:w="135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4C3E6390"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Average Burden (Hours)</w:t>
            </w:r>
          </w:p>
        </w:tc>
        <w:tc>
          <w:tcPr>
            <w:tcW w:w="1170" w:type="dxa"/>
            <w:tcBorders>
              <w:top w:val="single" w:sz="4" w:space="0" w:color="auto"/>
              <w:left w:val="single" w:sz="4" w:space="0" w:color="auto"/>
              <w:bottom w:val="single" w:sz="4" w:space="0" w:color="auto"/>
              <w:right w:val="single" w:sz="4" w:space="0" w:color="auto"/>
            </w:tcBorders>
            <w:shd w:val="clear" w:color="auto" w:fill="8DB3E2"/>
          </w:tcPr>
          <w:p w:rsidR="00F86CC6" w:rsidRPr="00610A7C" w:rsidP="00F86CC6" w14:paraId="107E6CF3"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Total Burden (Hours)</w:t>
            </w:r>
          </w:p>
        </w:tc>
      </w:tr>
      <w:tr w14:paraId="3FE93861" w14:textId="77777777" w:rsidTr="00D75FF7">
        <w:tblPrEx>
          <w:tblW w:w="11155" w:type="dxa"/>
          <w:jc w:val="center"/>
          <w:tblLayout w:type="fixed"/>
          <w:tblLook w:val="04A0"/>
        </w:tblPrEx>
        <w:trPr>
          <w:jc w:val="center"/>
        </w:trPr>
        <w:tc>
          <w:tcPr>
            <w:tcW w:w="1530" w:type="dxa"/>
            <w:tcBorders>
              <w:top w:val="single" w:sz="4" w:space="0" w:color="auto"/>
              <w:left w:val="single" w:sz="4" w:space="0" w:color="auto"/>
              <w:bottom w:val="single" w:sz="4" w:space="0" w:color="auto"/>
              <w:right w:val="single" w:sz="4" w:space="0" w:color="auto"/>
            </w:tcBorders>
          </w:tcPr>
          <w:p w:rsidR="00F86CC6" w:rsidRPr="00610A7C" w:rsidP="00F86CC6" w14:paraId="2173C820"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 xml:space="preserve">Pilot </w:t>
            </w:r>
            <w:r w:rsidR="008666BF">
              <w:rPr>
                <w:rFonts w:ascii="Calibri" w:eastAsia="Times New Roman" w:hAnsi="Calibri" w:cstheme="minorHAnsi"/>
                <w:b/>
              </w:rPr>
              <w:t>SHP Assessments</w:t>
            </w:r>
          </w:p>
        </w:tc>
        <w:tc>
          <w:tcPr>
            <w:tcW w:w="1530" w:type="dxa"/>
            <w:tcBorders>
              <w:top w:val="single" w:sz="4" w:space="0" w:color="auto"/>
              <w:left w:val="single" w:sz="4" w:space="0" w:color="auto"/>
              <w:bottom w:val="single" w:sz="4" w:space="0" w:color="auto"/>
              <w:right w:val="single" w:sz="4" w:space="0" w:color="auto"/>
            </w:tcBorders>
          </w:tcPr>
          <w:p w:rsidR="00F86CC6" w:rsidRPr="00610A7C" w:rsidP="00F86CC6" w14:paraId="71D14272"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Consultants</w:t>
            </w: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03EF12EB" w14:textId="77777777">
            <w:pPr>
              <w:widowControl w:val="0"/>
              <w:autoSpaceDE w:val="0"/>
              <w:autoSpaceDN w:val="0"/>
              <w:adjustRightInd w:val="0"/>
              <w:spacing w:after="0" w:line="276" w:lineRule="auto"/>
              <w:jc w:val="center"/>
              <w:rPr>
                <w:rFonts w:ascii="Calibri" w:eastAsia="Times New Roman" w:hAnsi="Calibri" w:cstheme="minorHAnsi"/>
              </w:rPr>
            </w:pPr>
            <w:r>
              <w:rPr>
                <w:rFonts w:ascii="Calibri" w:eastAsia="Times New Roman" w:hAnsi="Calibri" w:cstheme="minorHAnsi"/>
              </w:rPr>
              <w:t>2</w:t>
            </w:r>
            <w:r w:rsidR="00D7483D">
              <w:rPr>
                <w:rFonts w:ascii="Calibri" w:eastAsia="Times New Roman" w:hAnsi="Calibri" w:cstheme="minorHAnsi"/>
              </w:rPr>
              <w:t>0</w:t>
            </w:r>
          </w:p>
        </w:tc>
        <w:tc>
          <w:tcPr>
            <w:tcW w:w="1525" w:type="dxa"/>
            <w:tcBorders>
              <w:top w:val="single" w:sz="4" w:space="0" w:color="auto"/>
              <w:left w:val="single" w:sz="4" w:space="0" w:color="auto"/>
              <w:bottom w:val="single" w:sz="4" w:space="0" w:color="auto"/>
              <w:right w:val="single" w:sz="4" w:space="0" w:color="auto"/>
            </w:tcBorders>
          </w:tcPr>
          <w:p w:rsidR="00F86CC6" w:rsidRPr="00610A7C" w:rsidP="00F86CC6" w14:paraId="05B56C75"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20</w:t>
            </w:r>
          </w:p>
        </w:tc>
        <w:tc>
          <w:tcPr>
            <w:tcW w:w="1440" w:type="dxa"/>
            <w:tcBorders>
              <w:top w:val="single" w:sz="4" w:space="0" w:color="auto"/>
              <w:left w:val="single" w:sz="4" w:space="0" w:color="auto"/>
              <w:bottom w:val="single" w:sz="4" w:space="0" w:color="auto"/>
              <w:right w:val="single" w:sz="4" w:space="0" w:color="auto"/>
            </w:tcBorders>
          </w:tcPr>
          <w:p w:rsidR="00F86CC6" w:rsidRPr="00610A7C" w:rsidP="00F86CC6" w14:paraId="1C0E88FE" w14:textId="77777777">
            <w:pPr>
              <w:widowControl w:val="0"/>
              <w:autoSpaceDE w:val="0"/>
              <w:autoSpaceDN w:val="0"/>
              <w:adjustRightInd w:val="0"/>
              <w:spacing w:after="0" w:line="276" w:lineRule="auto"/>
              <w:jc w:val="center"/>
              <w:rPr>
                <w:rFonts w:ascii="Calibri" w:eastAsia="Times New Roman" w:hAnsi="Calibri" w:cstheme="minorHAnsi"/>
              </w:rPr>
            </w:pPr>
            <w:r>
              <w:rPr>
                <w:rFonts w:ascii="Calibri" w:eastAsia="Times New Roman" w:hAnsi="Calibri" w:cstheme="minorHAnsi"/>
              </w:rPr>
              <w:t>1.2</w:t>
            </w:r>
          </w:p>
        </w:tc>
        <w:tc>
          <w:tcPr>
            <w:tcW w:w="1260" w:type="dxa"/>
            <w:tcBorders>
              <w:top w:val="single" w:sz="4" w:space="0" w:color="auto"/>
              <w:left w:val="single" w:sz="4" w:space="0" w:color="auto"/>
              <w:bottom w:val="single" w:sz="4" w:space="0" w:color="auto"/>
              <w:right w:val="single" w:sz="4" w:space="0" w:color="auto"/>
            </w:tcBorders>
          </w:tcPr>
          <w:p w:rsidR="00F86CC6" w:rsidRPr="00610A7C" w:rsidP="00F86CC6" w14:paraId="74AA2C7F" w14:textId="77777777">
            <w:pPr>
              <w:widowControl w:val="0"/>
              <w:autoSpaceDE w:val="0"/>
              <w:autoSpaceDN w:val="0"/>
              <w:adjustRightInd w:val="0"/>
              <w:spacing w:after="0" w:line="276" w:lineRule="auto"/>
              <w:jc w:val="center"/>
              <w:rPr>
                <w:rFonts w:ascii="Calibri" w:eastAsia="Times New Roman" w:hAnsi="Calibri" w:cstheme="minorHAnsi"/>
              </w:rPr>
            </w:pPr>
            <w:r>
              <w:rPr>
                <w:rFonts w:ascii="Calibri" w:eastAsia="Times New Roman" w:hAnsi="Calibri" w:cstheme="minorHAnsi"/>
              </w:rPr>
              <w:t>24</w:t>
            </w:r>
            <w:r>
              <w:rPr>
                <w:rStyle w:val="FootnoteReference"/>
                <w:rFonts w:ascii="Calibri" w:eastAsia="Times New Roman" w:hAnsi="Calibri" w:cstheme="minorHAnsi"/>
              </w:rPr>
              <w:footnoteReference w:id="9"/>
            </w: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3F79F521"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5</w:t>
            </w:r>
          </w:p>
        </w:tc>
        <w:tc>
          <w:tcPr>
            <w:tcW w:w="1170" w:type="dxa"/>
            <w:tcBorders>
              <w:top w:val="single" w:sz="4" w:space="0" w:color="auto"/>
              <w:left w:val="single" w:sz="4" w:space="0" w:color="auto"/>
              <w:bottom w:val="single" w:sz="4" w:space="0" w:color="auto"/>
              <w:right w:val="single" w:sz="4" w:space="0" w:color="auto"/>
            </w:tcBorders>
          </w:tcPr>
          <w:p w:rsidR="00F86CC6" w:rsidRPr="00610A7C" w:rsidP="00F86CC6" w14:paraId="44BDC988"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1</w:t>
            </w:r>
            <w:r w:rsidR="00764C74">
              <w:rPr>
                <w:rFonts w:ascii="Calibri" w:eastAsia="Times New Roman" w:hAnsi="Calibri" w:cstheme="minorHAnsi"/>
              </w:rPr>
              <w:t>20</w:t>
            </w:r>
          </w:p>
        </w:tc>
      </w:tr>
      <w:tr w14:paraId="00713813" w14:textId="77777777" w:rsidTr="00D75FF7">
        <w:tblPrEx>
          <w:tblW w:w="11155" w:type="dxa"/>
          <w:jc w:val="center"/>
          <w:tblLayout w:type="fixed"/>
          <w:tblLook w:val="04A0"/>
        </w:tblPrEx>
        <w:trPr>
          <w:jc w:val="center"/>
        </w:trPr>
        <w:tc>
          <w:tcPr>
            <w:tcW w:w="1530" w:type="dxa"/>
            <w:tcBorders>
              <w:top w:val="single" w:sz="4" w:space="0" w:color="auto"/>
              <w:left w:val="single" w:sz="4" w:space="0" w:color="auto"/>
              <w:bottom w:val="single" w:sz="4" w:space="0" w:color="auto"/>
              <w:right w:val="single" w:sz="4" w:space="0" w:color="auto"/>
            </w:tcBorders>
          </w:tcPr>
          <w:p w:rsidR="008666BF" w:rsidP="00F86CC6" w14:paraId="7124B023"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Follow-up</w:t>
            </w:r>
            <w:r w:rsidR="0060219A">
              <w:rPr>
                <w:rFonts w:ascii="Calibri" w:eastAsia="Times New Roman" w:hAnsi="Calibri" w:cstheme="minorHAnsi"/>
                <w:b/>
              </w:rPr>
              <w:t xml:space="preserve"> </w:t>
            </w:r>
          </w:p>
          <w:p w:rsidR="00F86CC6" w:rsidRPr="00610A7C" w:rsidP="00F86CC6" w14:paraId="278612D2" w14:textId="77777777">
            <w:pPr>
              <w:widowControl w:val="0"/>
              <w:autoSpaceDE w:val="0"/>
              <w:autoSpaceDN w:val="0"/>
              <w:adjustRightInd w:val="0"/>
              <w:spacing w:after="0" w:line="276" w:lineRule="auto"/>
              <w:jc w:val="center"/>
              <w:rPr>
                <w:rFonts w:ascii="Calibri" w:eastAsia="Times New Roman" w:hAnsi="Calibri" w:cstheme="minorHAnsi"/>
                <w:b/>
              </w:rPr>
            </w:pPr>
            <w:r>
              <w:rPr>
                <w:rFonts w:ascii="Calibri" w:eastAsia="Times New Roman" w:hAnsi="Calibri" w:cstheme="minorHAnsi"/>
                <w:b/>
              </w:rPr>
              <w:t>SHP Assessments</w:t>
            </w:r>
          </w:p>
        </w:tc>
        <w:tc>
          <w:tcPr>
            <w:tcW w:w="1530" w:type="dxa"/>
            <w:tcBorders>
              <w:top w:val="single" w:sz="4" w:space="0" w:color="auto"/>
              <w:left w:val="single" w:sz="4" w:space="0" w:color="auto"/>
              <w:bottom w:val="single" w:sz="4" w:space="0" w:color="auto"/>
              <w:right w:val="single" w:sz="4" w:space="0" w:color="auto"/>
            </w:tcBorders>
          </w:tcPr>
          <w:p w:rsidR="00F86CC6" w:rsidRPr="00610A7C" w:rsidP="0060219A" w14:paraId="5D8CCF8A"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Consultants</w:t>
            </w: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7E02C562"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30</w:t>
            </w:r>
          </w:p>
        </w:tc>
        <w:tc>
          <w:tcPr>
            <w:tcW w:w="1525" w:type="dxa"/>
            <w:tcBorders>
              <w:top w:val="single" w:sz="4" w:space="0" w:color="auto"/>
              <w:left w:val="single" w:sz="4" w:space="0" w:color="auto"/>
              <w:bottom w:val="single" w:sz="4" w:space="0" w:color="auto"/>
              <w:right w:val="single" w:sz="4" w:space="0" w:color="auto"/>
            </w:tcBorders>
          </w:tcPr>
          <w:p w:rsidR="00F86CC6" w:rsidRPr="00610A7C" w:rsidP="00F86CC6" w14:paraId="4B5B4227"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20</w:t>
            </w:r>
          </w:p>
          <w:p w:rsidR="00F86CC6" w:rsidRPr="00610A7C" w:rsidP="00F86CC6" w14:paraId="0705AE42" w14:textId="77777777">
            <w:pPr>
              <w:widowControl w:val="0"/>
              <w:autoSpaceDE w:val="0"/>
              <w:autoSpaceDN w:val="0"/>
              <w:adjustRightInd w:val="0"/>
              <w:spacing w:after="0" w:line="276" w:lineRule="auto"/>
              <w:jc w:val="center"/>
              <w:rPr>
                <w:rFonts w:ascii="Calibri" w:eastAsia="Times New Roman" w:hAnsi="Calibri" w:cstheme="minorHAnsi"/>
              </w:rPr>
            </w:pPr>
          </w:p>
        </w:tc>
        <w:tc>
          <w:tcPr>
            <w:tcW w:w="1440" w:type="dxa"/>
            <w:tcBorders>
              <w:top w:val="single" w:sz="4" w:space="0" w:color="auto"/>
              <w:left w:val="single" w:sz="4" w:space="0" w:color="auto"/>
              <w:bottom w:val="single" w:sz="4" w:space="0" w:color="auto"/>
              <w:right w:val="single" w:sz="4" w:space="0" w:color="auto"/>
            </w:tcBorders>
          </w:tcPr>
          <w:p w:rsidR="00F86CC6" w:rsidRPr="00610A7C" w:rsidP="00F86CC6" w14:paraId="7FFAD684"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1.5</w:t>
            </w:r>
          </w:p>
          <w:p w:rsidR="00F86CC6" w:rsidRPr="00610A7C" w:rsidP="00F86CC6" w14:paraId="55047D2A" w14:textId="77777777">
            <w:pPr>
              <w:widowControl w:val="0"/>
              <w:autoSpaceDE w:val="0"/>
              <w:autoSpaceDN w:val="0"/>
              <w:adjustRightInd w:val="0"/>
              <w:spacing w:after="0" w:line="276" w:lineRule="auto"/>
              <w:jc w:val="center"/>
              <w:rPr>
                <w:rFonts w:ascii="Calibri" w:eastAsia="Times New Roman" w:hAnsi="Calibri" w:cstheme="minorHAnsi"/>
              </w:rPr>
            </w:pPr>
          </w:p>
        </w:tc>
        <w:tc>
          <w:tcPr>
            <w:tcW w:w="1260" w:type="dxa"/>
            <w:tcBorders>
              <w:top w:val="single" w:sz="4" w:space="0" w:color="auto"/>
              <w:left w:val="single" w:sz="4" w:space="0" w:color="auto"/>
              <w:bottom w:val="single" w:sz="4" w:space="0" w:color="auto"/>
              <w:right w:val="single" w:sz="4" w:space="0" w:color="auto"/>
            </w:tcBorders>
          </w:tcPr>
          <w:p w:rsidR="00F86CC6" w:rsidRPr="00610A7C" w:rsidP="00F86CC6" w14:paraId="28428DCD"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30</w:t>
            </w:r>
          </w:p>
          <w:p w:rsidR="00F86CC6" w:rsidRPr="00610A7C" w:rsidP="00F86CC6" w14:paraId="1C46A746" w14:textId="77777777">
            <w:pPr>
              <w:widowControl w:val="0"/>
              <w:autoSpaceDE w:val="0"/>
              <w:autoSpaceDN w:val="0"/>
              <w:adjustRightInd w:val="0"/>
              <w:spacing w:after="0" w:line="276" w:lineRule="auto"/>
              <w:jc w:val="center"/>
              <w:rPr>
                <w:rFonts w:ascii="Calibri" w:eastAsia="Times New Roman" w:hAnsi="Calibri" w:cstheme="minorHAnsi"/>
              </w:rPr>
            </w:pP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5D8BEBF0"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5</w:t>
            </w:r>
          </w:p>
          <w:p w:rsidR="00F86CC6" w:rsidRPr="00610A7C" w:rsidP="00F86CC6" w14:paraId="5BE74947" w14:textId="77777777">
            <w:pPr>
              <w:widowControl w:val="0"/>
              <w:autoSpaceDE w:val="0"/>
              <w:autoSpaceDN w:val="0"/>
              <w:adjustRightInd w:val="0"/>
              <w:spacing w:after="0" w:line="276" w:lineRule="auto"/>
              <w:jc w:val="center"/>
              <w:rPr>
                <w:rFonts w:ascii="Calibri" w:eastAsia="Times New Roman" w:hAnsi="Calibri" w:cstheme="minorHAnsi"/>
              </w:rPr>
            </w:pPr>
          </w:p>
        </w:tc>
        <w:tc>
          <w:tcPr>
            <w:tcW w:w="1170" w:type="dxa"/>
            <w:tcBorders>
              <w:top w:val="single" w:sz="4" w:space="0" w:color="auto"/>
              <w:left w:val="single" w:sz="4" w:space="0" w:color="auto"/>
              <w:bottom w:val="single" w:sz="4" w:space="0" w:color="auto"/>
              <w:right w:val="single" w:sz="4" w:space="0" w:color="auto"/>
            </w:tcBorders>
          </w:tcPr>
          <w:p w:rsidR="00F86CC6" w:rsidRPr="00610A7C" w:rsidP="00F86CC6" w14:paraId="52F302A2"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150</w:t>
            </w:r>
          </w:p>
          <w:p w:rsidR="00F86CC6" w:rsidRPr="00610A7C" w:rsidP="00F86CC6" w14:paraId="4FB8D286" w14:textId="77777777">
            <w:pPr>
              <w:widowControl w:val="0"/>
              <w:autoSpaceDE w:val="0"/>
              <w:autoSpaceDN w:val="0"/>
              <w:adjustRightInd w:val="0"/>
              <w:spacing w:after="0" w:line="276" w:lineRule="auto"/>
              <w:jc w:val="center"/>
              <w:rPr>
                <w:rFonts w:ascii="Calibri" w:eastAsia="Times New Roman" w:hAnsi="Calibri" w:cstheme="minorHAnsi"/>
              </w:rPr>
            </w:pPr>
          </w:p>
        </w:tc>
      </w:tr>
      <w:tr w14:paraId="276A73EE" w14:textId="77777777" w:rsidTr="00D75FF7">
        <w:tblPrEx>
          <w:tblW w:w="11155" w:type="dxa"/>
          <w:jc w:val="center"/>
          <w:tblLayout w:type="fixed"/>
          <w:tblLook w:val="04A0"/>
        </w:tblPrEx>
        <w:trPr>
          <w:trHeight w:val="179"/>
          <w:jc w:val="center"/>
        </w:trPr>
        <w:tc>
          <w:tcPr>
            <w:tcW w:w="1530" w:type="dxa"/>
            <w:tcBorders>
              <w:top w:val="single" w:sz="4" w:space="0" w:color="auto"/>
              <w:left w:val="single" w:sz="4" w:space="0" w:color="auto"/>
              <w:bottom w:val="single" w:sz="4" w:space="0" w:color="auto"/>
              <w:right w:val="single" w:sz="4" w:space="0" w:color="auto"/>
            </w:tcBorders>
          </w:tcPr>
          <w:p w:rsidR="00F86CC6" w:rsidRPr="00610A7C" w:rsidP="00F86CC6" w14:paraId="1280D8C4"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Total</w:t>
            </w:r>
          </w:p>
        </w:tc>
        <w:tc>
          <w:tcPr>
            <w:tcW w:w="1530" w:type="dxa"/>
            <w:tcBorders>
              <w:top w:val="single" w:sz="4" w:space="0" w:color="auto"/>
              <w:left w:val="single" w:sz="4" w:space="0" w:color="auto"/>
              <w:bottom w:val="single" w:sz="4" w:space="0" w:color="auto"/>
              <w:right w:val="single" w:sz="4" w:space="0" w:color="auto"/>
            </w:tcBorders>
          </w:tcPr>
          <w:p w:rsidR="00F86CC6" w:rsidRPr="00610A7C" w:rsidP="00F86CC6" w14:paraId="7408A2F4" w14:textId="77777777">
            <w:pPr>
              <w:widowControl w:val="0"/>
              <w:autoSpaceDE w:val="0"/>
              <w:autoSpaceDN w:val="0"/>
              <w:adjustRightInd w:val="0"/>
              <w:spacing w:after="0" w:line="276" w:lineRule="auto"/>
              <w:jc w:val="center"/>
              <w:rPr>
                <w:rFonts w:ascii="Calibri" w:eastAsia="Times New Roman" w:hAnsi="Calibri" w:cstheme="minorHAnsi"/>
                <w:b/>
              </w:rPr>
            </w:pP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0A60687C" w14:textId="77777777">
            <w:pPr>
              <w:widowControl w:val="0"/>
              <w:autoSpaceDE w:val="0"/>
              <w:autoSpaceDN w:val="0"/>
              <w:adjustRightInd w:val="0"/>
              <w:spacing w:after="0" w:line="276" w:lineRule="auto"/>
              <w:jc w:val="center"/>
              <w:rPr>
                <w:rFonts w:ascii="Calibri" w:eastAsia="Times New Roman" w:hAnsi="Calibri" w:cstheme="minorHAnsi"/>
                <w:b/>
              </w:rPr>
            </w:pPr>
            <w:r>
              <w:rPr>
                <w:rFonts w:ascii="Calibri" w:eastAsia="Times New Roman" w:hAnsi="Calibri" w:cstheme="minorHAnsi"/>
                <w:b/>
              </w:rPr>
              <w:t xml:space="preserve"> 50</w:t>
            </w:r>
          </w:p>
        </w:tc>
        <w:tc>
          <w:tcPr>
            <w:tcW w:w="1525" w:type="dxa"/>
            <w:tcBorders>
              <w:top w:val="single" w:sz="4" w:space="0" w:color="auto"/>
              <w:left w:val="single" w:sz="4" w:space="0" w:color="auto"/>
              <w:bottom w:val="single" w:sz="4" w:space="0" w:color="auto"/>
              <w:right w:val="single" w:sz="4" w:space="0" w:color="auto"/>
            </w:tcBorders>
          </w:tcPr>
          <w:p w:rsidR="00F86CC6" w:rsidRPr="00610A7C" w:rsidP="00F86CC6" w14:paraId="2F952641" w14:textId="77777777">
            <w:pPr>
              <w:widowControl w:val="0"/>
              <w:autoSpaceDE w:val="0"/>
              <w:autoSpaceDN w:val="0"/>
              <w:adjustRightInd w:val="0"/>
              <w:spacing w:after="0" w:line="276" w:lineRule="auto"/>
              <w:jc w:val="center"/>
              <w:rPr>
                <w:rFonts w:ascii="Calibri" w:eastAsia="Times New Roman" w:hAnsi="Calibri" w:cstheme="minorHAnsi"/>
                <w:b/>
              </w:rPr>
            </w:pPr>
          </w:p>
        </w:tc>
        <w:tc>
          <w:tcPr>
            <w:tcW w:w="1440" w:type="dxa"/>
            <w:tcBorders>
              <w:top w:val="single" w:sz="4" w:space="0" w:color="auto"/>
              <w:left w:val="single" w:sz="4" w:space="0" w:color="auto"/>
              <w:bottom w:val="single" w:sz="4" w:space="0" w:color="auto"/>
              <w:right w:val="single" w:sz="4" w:space="0" w:color="auto"/>
            </w:tcBorders>
          </w:tcPr>
          <w:p w:rsidR="00F86CC6" w:rsidRPr="00610A7C" w:rsidP="00F86CC6" w14:paraId="07E950DA" w14:textId="77777777">
            <w:pPr>
              <w:widowControl w:val="0"/>
              <w:autoSpaceDE w:val="0"/>
              <w:autoSpaceDN w:val="0"/>
              <w:adjustRightInd w:val="0"/>
              <w:spacing w:after="0" w:line="276" w:lineRule="auto"/>
              <w:jc w:val="center"/>
              <w:rPr>
                <w:rFonts w:ascii="Calibri" w:eastAsia="Times New Roman" w:hAnsi="Calibri" w:cstheme="minorHAnsi"/>
                <w:b/>
                <w:strike/>
              </w:rPr>
            </w:pPr>
          </w:p>
        </w:tc>
        <w:tc>
          <w:tcPr>
            <w:tcW w:w="1260" w:type="dxa"/>
            <w:tcBorders>
              <w:top w:val="single" w:sz="4" w:space="0" w:color="auto"/>
              <w:left w:val="single" w:sz="4" w:space="0" w:color="auto"/>
              <w:bottom w:val="single" w:sz="4" w:space="0" w:color="auto"/>
              <w:right w:val="single" w:sz="4" w:space="0" w:color="auto"/>
            </w:tcBorders>
          </w:tcPr>
          <w:p w:rsidR="00F86CC6" w:rsidRPr="00610A7C" w:rsidP="00F86CC6" w14:paraId="1CCF6861" w14:textId="77777777">
            <w:pPr>
              <w:widowControl w:val="0"/>
              <w:autoSpaceDE w:val="0"/>
              <w:autoSpaceDN w:val="0"/>
              <w:adjustRightInd w:val="0"/>
              <w:spacing w:after="0" w:line="276" w:lineRule="auto"/>
              <w:jc w:val="center"/>
              <w:rPr>
                <w:rFonts w:ascii="Calibri" w:eastAsia="Times New Roman" w:hAnsi="Calibri" w:cstheme="minorHAnsi"/>
                <w:b/>
              </w:rPr>
            </w:pPr>
            <w:r>
              <w:rPr>
                <w:rFonts w:ascii="Calibri" w:eastAsia="Times New Roman" w:hAnsi="Calibri" w:cstheme="minorHAnsi"/>
                <w:b/>
              </w:rPr>
              <w:t xml:space="preserve"> 54</w:t>
            </w:r>
          </w:p>
        </w:tc>
        <w:tc>
          <w:tcPr>
            <w:tcW w:w="1350" w:type="dxa"/>
            <w:tcBorders>
              <w:top w:val="single" w:sz="4" w:space="0" w:color="auto"/>
              <w:left w:val="single" w:sz="4" w:space="0" w:color="auto"/>
              <w:bottom w:val="single" w:sz="4" w:space="0" w:color="auto"/>
              <w:right w:val="single" w:sz="4" w:space="0" w:color="auto"/>
            </w:tcBorders>
          </w:tcPr>
          <w:p w:rsidR="00F86CC6" w:rsidRPr="00610A7C" w:rsidP="00F86CC6" w14:paraId="5BE41905"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5</w:t>
            </w:r>
          </w:p>
        </w:tc>
        <w:tc>
          <w:tcPr>
            <w:tcW w:w="1170" w:type="dxa"/>
            <w:tcBorders>
              <w:top w:val="single" w:sz="4" w:space="0" w:color="auto"/>
              <w:left w:val="single" w:sz="4" w:space="0" w:color="auto"/>
              <w:bottom w:val="single" w:sz="4" w:space="0" w:color="auto"/>
              <w:right w:val="single" w:sz="4" w:space="0" w:color="auto"/>
            </w:tcBorders>
          </w:tcPr>
          <w:p w:rsidR="00F86CC6" w:rsidRPr="00610A7C" w:rsidP="00F86CC6" w14:paraId="58A0AF1B"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2</w:t>
            </w:r>
            <w:r w:rsidR="00CF3032">
              <w:rPr>
                <w:rFonts w:ascii="Calibri" w:eastAsia="Times New Roman" w:hAnsi="Calibri" w:cstheme="minorHAnsi"/>
                <w:b/>
              </w:rPr>
              <w:t>70</w:t>
            </w:r>
          </w:p>
        </w:tc>
      </w:tr>
      <w:tr w14:paraId="0205C61A" w14:textId="77777777" w:rsidTr="00D75FF7">
        <w:tblPrEx>
          <w:tblW w:w="11155" w:type="dxa"/>
          <w:jc w:val="center"/>
          <w:tblLayout w:type="fixed"/>
          <w:tblLook w:val="04A0"/>
        </w:tblPrEx>
        <w:trPr>
          <w:trHeight w:val="179"/>
          <w:jc w:val="center"/>
        </w:trPr>
        <w:tc>
          <w:tcPr>
            <w:tcW w:w="11155" w:type="dxa"/>
            <w:gridSpan w:val="8"/>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D847A9" w:rsidRPr="00610A7C" w:rsidP="00F86CC6" w14:paraId="39EE3220" w14:textId="77777777">
            <w:pPr>
              <w:widowControl w:val="0"/>
              <w:autoSpaceDE w:val="0"/>
              <w:autoSpaceDN w:val="0"/>
              <w:adjustRightInd w:val="0"/>
              <w:spacing w:after="0" w:line="276" w:lineRule="auto"/>
              <w:jc w:val="center"/>
              <w:rPr>
                <w:rFonts w:ascii="Calibri" w:eastAsia="Times New Roman" w:hAnsi="Calibri" w:cstheme="minorHAnsi"/>
                <w:b/>
              </w:rPr>
            </w:pPr>
          </w:p>
        </w:tc>
      </w:tr>
      <w:tr w14:paraId="48DC67A9" w14:textId="77777777" w:rsidTr="00D75FF7">
        <w:tblPrEx>
          <w:tblW w:w="11155" w:type="dxa"/>
          <w:jc w:val="center"/>
          <w:tblLayout w:type="fixed"/>
          <w:tblLook w:val="04A0"/>
        </w:tblPrEx>
        <w:trPr>
          <w:trHeight w:val="179"/>
          <w:jc w:val="center"/>
        </w:trPr>
        <w:tc>
          <w:tcPr>
            <w:tcW w:w="1530" w:type="dxa"/>
            <w:tcBorders>
              <w:top w:val="single" w:sz="4" w:space="0" w:color="auto"/>
              <w:left w:val="single" w:sz="4" w:space="0" w:color="auto"/>
              <w:bottom w:val="single" w:sz="4" w:space="0" w:color="auto"/>
              <w:right w:val="single" w:sz="4" w:space="0" w:color="auto"/>
            </w:tcBorders>
          </w:tcPr>
          <w:p w:rsidR="00D847A9" w:rsidRPr="00610A7C" w:rsidP="00F86CC6" w14:paraId="328D8A12"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 xml:space="preserve">Prospective </w:t>
            </w:r>
            <w:r w:rsidR="00DC1482">
              <w:rPr>
                <w:rFonts w:ascii="Calibri" w:eastAsia="Times New Roman" w:hAnsi="Calibri" w:cstheme="minorHAnsi"/>
                <w:b/>
              </w:rPr>
              <w:t xml:space="preserve"> </w:t>
            </w:r>
            <w:r w:rsidR="00DC1482">
              <w:rPr>
                <w:rFonts w:ascii="Calibri" w:eastAsia="Times New Roman" w:hAnsi="Calibri" w:cstheme="minorHAnsi"/>
                <w:b/>
              </w:rPr>
              <w:br/>
            </w:r>
            <w:r w:rsidRPr="00610A7C">
              <w:rPr>
                <w:rFonts w:ascii="Calibri" w:eastAsia="Times New Roman" w:hAnsi="Calibri" w:cstheme="minorHAnsi"/>
                <w:b/>
              </w:rPr>
              <w:t>Analys</w:t>
            </w:r>
            <w:r w:rsidR="00255C1C">
              <w:rPr>
                <w:rFonts w:ascii="Calibri" w:eastAsia="Times New Roman" w:hAnsi="Calibri" w:cstheme="minorHAnsi"/>
                <w:b/>
              </w:rPr>
              <w:t>i</w:t>
            </w:r>
            <w:r w:rsidRPr="00610A7C">
              <w:rPr>
                <w:rFonts w:ascii="Calibri" w:eastAsia="Times New Roman" w:hAnsi="Calibri" w:cstheme="minorHAnsi"/>
                <w:b/>
              </w:rPr>
              <w:t>s</w:t>
            </w:r>
            <w:r>
              <w:rPr>
                <w:rStyle w:val="FootnoteReference"/>
                <w:rFonts w:ascii="Calibri" w:eastAsia="Times New Roman" w:hAnsi="Calibri" w:cstheme="minorHAnsi"/>
                <w:b/>
              </w:rPr>
              <w:footnoteReference w:id="10"/>
            </w:r>
          </w:p>
        </w:tc>
        <w:tc>
          <w:tcPr>
            <w:tcW w:w="1530" w:type="dxa"/>
            <w:tcBorders>
              <w:top w:val="single" w:sz="4" w:space="0" w:color="auto"/>
              <w:left w:val="single" w:sz="4" w:space="0" w:color="auto"/>
              <w:bottom w:val="single" w:sz="4" w:space="0" w:color="auto"/>
              <w:right w:val="single" w:sz="4" w:space="0" w:color="auto"/>
            </w:tcBorders>
          </w:tcPr>
          <w:p w:rsidR="00D847A9" w:rsidRPr="00610A7C" w:rsidP="00F86CC6" w14:paraId="7AF697F9"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Consultants</w:t>
            </w:r>
          </w:p>
        </w:tc>
        <w:tc>
          <w:tcPr>
            <w:tcW w:w="1350" w:type="dxa"/>
            <w:tcBorders>
              <w:top w:val="single" w:sz="4" w:space="0" w:color="auto"/>
              <w:left w:val="single" w:sz="4" w:space="0" w:color="auto"/>
              <w:bottom w:val="single" w:sz="4" w:space="0" w:color="auto"/>
              <w:right w:val="single" w:sz="4" w:space="0" w:color="auto"/>
            </w:tcBorders>
          </w:tcPr>
          <w:p w:rsidR="00D847A9" w:rsidRPr="00610A7C" w:rsidP="00F86CC6" w14:paraId="61312E94"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0</w:t>
            </w:r>
          </w:p>
        </w:tc>
        <w:tc>
          <w:tcPr>
            <w:tcW w:w="1525" w:type="dxa"/>
            <w:tcBorders>
              <w:top w:val="single" w:sz="4" w:space="0" w:color="auto"/>
              <w:left w:val="single" w:sz="4" w:space="0" w:color="auto"/>
              <w:bottom w:val="single" w:sz="4" w:space="0" w:color="auto"/>
              <w:right w:val="single" w:sz="4" w:space="0" w:color="auto"/>
            </w:tcBorders>
          </w:tcPr>
          <w:p w:rsidR="00D847A9" w:rsidRPr="00610A7C" w:rsidP="00F86CC6" w14:paraId="36D4DF2C"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200</w:t>
            </w:r>
          </w:p>
        </w:tc>
        <w:tc>
          <w:tcPr>
            <w:tcW w:w="1440" w:type="dxa"/>
            <w:tcBorders>
              <w:top w:val="single" w:sz="4" w:space="0" w:color="auto"/>
              <w:left w:val="single" w:sz="4" w:space="0" w:color="auto"/>
              <w:bottom w:val="single" w:sz="4" w:space="0" w:color="auto"/>
              <w:right w:val="single" w:sz="4" w:space="0" w:color="auto"/>
            </w:tcBorders>
          </w:tcPr>
          <w:p w:rsidR="00D847A9" w:rsidRPr="00610A7C" w:rsidP="00F86CC6" w14:paraId="1F827B0B"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1.5</w:t>
            </w:r>
          </w:p>
        </w:tc>
        <w:tc>
          <w:tcPr>
            <w:tcW w:w="1260" w:type="dxa"/>
            <w:tcBorders>
              <w:top w:val="single" w:sz="4" w:space="0" w:color="auto"/>
              <w:left w:val="single" w:sz="4" w:space="0" w:color="auto"/>
              <w:bottom w:val="single" w:sz="4" w:space="0" w:color="auto"/>
              <w:right w:val="single" w:sz="4" w:space="0" w:color="auto"/>
            </w:tcBorders>
          </w:tcPr>
          <w:p w:rsidR="00D847A9" w:rsidRPr="00610A7C" w:rsidP="00F86CC6" w14:paraId="6BB72996"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300</w:t>
            </w:r>
          </w:p>
        </w:tc>
        <w:tc>
          <w:tcPr>
            <w:tcW w:w="1350" w:type="dxa"/>
            <w:tcBorders>
              <w:top w:val="single" w:sz="4" w:space="0" w:color="auto"/>
              <w:left w:val="single" w:sz="4" w:space="0" w:color="auto"/>
              <w:bottom w:val="single" w:sz="4" w:space="0" w:color="auto"/>
              <w:right w:val="single" w:sz="4" w:space="0" w:color="auto"/>
            </w:tcBorders>
          </w:tcPr>
          <w:p w:rsidR="00D847A9" w:rsidRPr="00610A7C" w:rsidP="00F86CC6" w14:paraId="6CC36277" w14:textId="77777777">
            <w:pPr>
              <w:widowControl w:val="0"/>
              <w:autoSpaceDE w:val="0"/>
              <w:autoSpaceDN w:val="0"/>
              <w:adjustRightInd w:val="0"/>
              <w:spacing w:after="0" w:line="276" w:lineRule="auto"/>
              <w:jc w:val="center"/>
              <w:rPr>
                <w:rFonts w:ascii="Calibri" w:eastAsia="Times New Roman" w:hAnsi="Calibri" w:cstheme="minorHAnsi"/>
              </w:rPr>
            </w:pPr>
            <w:r w:rsidRPr="00610A7C">
              <w:rPr>
                <w:rFonts w:ascii="Calibri" w:eastAsia="Times New Roman" w:hAnsi="Calibri" w:cstheme="minorHAnsi"/>
              </w:rPr>
              <w:t>0.5</w:t>
            </w:r>
          </w:p>
        </w:tc>
        <w:tc>
          <w:tcPr>
            <w:tcW w:w="1170" w:type="dxa"/>
            <w:tcBorders>
              <w:top w:val="single" w:sz="4" w:space="0" w:color="auto"/>
              <w:left w:val="single" w:sz="4" w:space="0" w:color="auto"/>
              <w:bottom w:val="single" w:sz="4" w:space="0" w:color="auto"/>
              <w:right w:val="single" w:sz="4" w:space="0" w:color="auto"/>
            </w:tcBorders>
          </w:tcPr>
          <w:p w:rsidR="00D847A9" w:rsidRPr="00610A7C" w:rsidP="00F86CC6" w14:paraId="1EA55C8E" w14:textId="77777777">
            <w:pPr>
              <w:widowControl w:val="0"/>
              <w:autoSpaceDE w:val="0"/>
              <w:autoSpaceDN w:val="0"/>
              <w:adjustRightInd w:val="0"/>
              <w:spacing w:after="0" w:line="276" w:lineRule="auto"/>
              <w:jc w:val="center"/>
              <w:rPr>
                <w:rFonts w:ascii="Calibri" w:eastAsia="Times New Roman" w:hAnsi="Calibri" w:cstheme="minorHAnsi"/>
                <w:b/>
              </w:rPr>
            </w:pPr>
            <w:r w:rsidRPr="00610A7C">
              <w:rPr>
                <w:rFonts w:ascii="Calibri" w:eastAsia="Times New Roman" w:hAnsi="Calibri" w:cstheme="minorHAnsi"/>
                <w:b/>
              </w:rPr>
              <w:t>150</w:t>
            </w:r>
          </w:p>
        </w:tc>
      </w:tr>
    </w:tbl>
    <w:p w:rsidR="00D9743B" w:rsidRPr="00610A7C" w:rsidP="00841B0E" w14:paraId="4A81A1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heme="minorHAnsi"/>
          <w:bCs/>
        </w:rPr>
      </w:pPr>
      <w:r w:rsidRPr="00610A7C">
        <w:rPr>
          <w:rFonts w:ascii="Calibri" w:eastAsia="Times New Roman" w:hAnsi="Calibri" w:cstheme="minorHAnsi"/>
          <w:bCs/>
        </w:rPr>
        <w:tab/>
      </w:r>
    </w:p>
    <w:p w:rsidR="0005194C" w:rsidRPr="00610A7C" w:rsidP="00B25EDA" w14:paraId="6A1B978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0" w:line="240" w:lineRule="auto"/>
        <w:rPr>
          <w:rFonts w:ascii="Calibri" w:eastAsia="Times New Roman" w:hAnsi="Calibri" w:cstheme="minorHAnsi"/>
          <w:bCs/>
        </w:rPr>
      </w:pPr>
    </w:p>
    <w:p w:rsidR="00C6214C" w:rsidRPr="00610A7C" w:rsidP="00C6214C" w14:paraId="3F924089" w14:textId="77777777">
      <w:pPr>
        <w:rPr>
          <w:rFonts w:ascii="Calibri" w:hAnsi="Calibri" w:cstheme="minorHAnsi"/>
          <w:b/>
        </w:rPr>
      </w:pPr>
      <w:r w:rsidRPr="00610A7C">
        <w:rPr>
          <w:rFonts w:ascii="Calibri" w:hAnsi="Calibri" w:cstheme="minorHAnsi"/>
          <w:b/>
        </w:rPr>
        <w:t>2. Describe the procedures for the collection of information including:</w:t>
      </w:r>
    </w:p>
    <w:p w:rsidR="00C6214C" w:rsidRPr="00610A7C" w:rsidP="000706B4" w14:paraId="68C29DB6" w14:textId="77777777">
      <w:pPr>
        <w:ind w:firstLine="720"/>
        <w:rPr>
          <w:rFonts w:ascii="Calibri" w:hAnsi="Calibri" w:cstheme="minorHAnsi"/>
        </w:rPr>
      </w:pPr>
      <w:r w:rsidRPr="00610A7C">
        <w:rPr>
          <w:rFonts w:ascii="Calibri" w:hAnsi="Calibri" w:cstheme="minorHAnsi"/>
          <w:b/>
        </w:rPr>
        <w:t>*  Statistical methodology for stratification and sample selection</w:t>
      </w:r>
      <w:r w:rsidRPr="00610A7C">
        <w:rPr>
          <w:rFonts w:ascii="Calibri" w:hAnsi="Calibri" w:cstheme="minorHAnsi"/>
        </w:rPr>
        <w:t>,</w:t>
      </w:r>
    </w:p>
    <w:p w:rsidR="00C6214C" w:rsidRPr="00610A7C" w:rsidP="000706B4" w14:paraId="0D293612" w14:textId="77777777">
      <w:pPr>
        <w:ind w:firstLine="720"/>
        <w:rPr>
          <w:rFonts w:ascii="Calibri" w:hAnsi="Calibri" w:cstheme="minorHAnsi"/>
          <w:b/>
        </w:rPr>
      </w:pPr>
      <w:r w:rsidRPr="00610A7C">
        <w:rPr>
          <w:rFonts w:ascii="Calibri" w:hAnsi="Calibri" w:cstheme="minorHAnsi"/>
          <w:b/>
        </w:rPr>
        <w:t>*  Estimation procedure,</w:t>
      </w:r>
    </w:p>
    <w:p w:rsidR="00C6214C" w:rsidRPr="00610A7C" w:rsidP="000706B4" w14:paraId="010C1A0C" w14:textId="77777777">
      <w:pPr>
        <w:ind w:firstLine="720"/>
        <w:rPr>
          <w:rFonts w:ascii="Calibri" w:hAnsi="Calibri" w:cstheme="minorHAnsi"/>
          <w:b/>
        </w:rPr>
      </w:pPr>
      <w:r w:rsidRPr="00610A7C">
        <w:rPr>
          <w:rFonts w:ascii="Calibri" w:hAnsi="Calibri" w:cstheme="minorHAnsi"/>
          <w:b/>
        </w:rPr>
        <w:t>* Degree of accuracy needed for the purpose described in the justification,</w:t>
      </w:r>
    </w:p>
    <w:p w:rsidR="00C6214C" w:rsidRPr="00610A7C" w:rsidP="000706B4" w14:paraId="484FF91A" w14:textId="77777777">
      <w:pPr>
        <w:ind w:firstLine="720"/>
        <w:rPr>
          <w:rFonts w:ascii="Calibri" w:hAnsi="Calibri" w:cstheme="minorHAnsi"/>
          <w:b/>
        </w:rPr>
      </w:pPr>
      <w:r w:rsidRPr="00610A7C">
        <w:rPr>
          <w:rFonts w:ascii="Calibri" w:hAnsi="Calibri" w:cstheme="minorHAnsi"/>
          <w:b/>
        </w:rPr>
        <w:t>* Unusual problems requiring specialized sampling procedures, and</w:t>
      </w:r>
    </w:p>
    <w:p w:rsidR="00C6214C" w:rsidRPr="00610A7C" w:rsidP="000706B4" w14:paraId="3F1443DF" w14:textId="77777777">
      <w:pPr>
        <w:ind w:firstLine="720"/>
        <w:rPr>
          <w:rFonts w:ascii="Calibri" w:hAnsi="Calibri" w:cstheme="minorHAnsi"/>
          <w:b/>
        </w:rPr>
      </w:pPr>
      <w:r w:rsidRPr="00610A7C">
        <w:rPr>
          <w:rFonts w:ascii="Calibri" w:hAnsi="Calibri" w:cstheme="minorHAnsi"/>
          <w:b/>
        </w:rPr>
        <w:t>* Any use of periodic (less frequent than annual) data collection cycles to reduce burden.</w:t>
      </w:r>
    </w:p>
    <w:p w:rsidR="00E7010A" w:rsidRPr="00610A7C" w:rsidP="00C4032E" w14:paraId="077C96C2" w14:textId="77777777">
      <w:pPr>
        <w:ind w:left="720"/>
        <w:rPr>
          <w:rFonts w:ascii="Calibri" w:hAnsi="Calibri" w:cstheme="minorHAnsi"/>
          <w:b/>
          <w:u w:val="single"/>
        </w:rPr>
      </w:pPr>
      <w:r w:rsidRPr="00610A7C">
        <w:rPr>
          <w:rFonts w:ascii="Calibri" w:hAnsi="Calibri" w:cstheme="minorHAnsi"/>
          <w:b/>
        </w:rPr>
        <w:t xml:space="preserve">* </w:t>
      </w:r>
      <w:r w:rsidRPr="00610A7C" w:rsidR="00C6214C">
        <w:rPr>
          <w:rFonts w:ascii="Calibri" w:hAnsi="Calibri" w:cstheme="minorHAnsi"/>
          <w:b/>
        </w:rPr>
        <w:t>If you are selecting a uniform respondent universe, you may be using simply a random numbers table to select a sample.</w:t>
      </w:r>
    </w:p>
    <w:p w:rsidR="000E2B8B" w:rsidRPr="00610A7C" w:rsidP="006906FF" w14:paraId="51B054A9" w14:textId="77777777">
      <w:pPr>
        <w:rPr>
          <w:rFonts w:ascii="Calibri" w:hAnsi="Calibri" w:cstheme="minorHAnsi"/>
          <w:b/>
          <w:color w:val="000000"/>
          <w:u w:val="single"/>
        </w:rPr>
      </w:pPr>
      <w:r>
        <w:rPr>
          <w:rFonts w:ascii="Calibri" w:hAnsi="Calibri" w:cstheme="minorHAnsi"/>
          <w:b/>
          <w:color w:val="000000"/>
          <w:u w:val="single"/>
        </w:rPr>
        <w:t>SHP Assessment Data Analyses</w:t>
      </w:r>
      <w:r w:rsidRPr="00610A7C" w:rsidR="0033464B">
        <w:rPr>
          <w:rFonts w:ascii="Calibri" w:hAnsi="Calibri" w:cstheme="minorHAnsi"/>
          <w:b/>
          <w:color w:val="000000"/>
          <w:u w:val="single"/>
        </w:rPr>
        <w:t xml:space="preserve"> and Prospective Analys</w:t>
      </w:r>
      <w:r w:rsidR="00E01DC4">
        <w:rPr>
          <w:rFonts w:ascii="Calibri" w:hAnsi="Calibri" w:cstheme="minorHAnsi"/>
          <w:b/>
          <w:color w:val="000000"/>
          <w:u w:val="single"/>
        </w:rPr>
        <w:t>i</w:t>
      </w:r>
      <w:r w:rsidRPr="00610A7C" w:rsidR="0033464B">
        <w:rPr>
          <w:rFonts w:ascii="Calibri" w:hAnsi="Calibri" w:cstheme="minorHAnsi"/>
          <w:b/>
          <w:color w:val="000000"/>
          <w:u w:val="single"/>
        </w:rPr>
        <w:t>s</w:t>
      </w:r>
    </w:p>
    <w:p w:rsidR="007A6CE5" w:rsidRPr="00610A7C" w:rsidP="007A6CE5" w14:paraId="74ACBC78" w14:textId="77777777">
      <w:pPr>
        <w:rPr>
          <w:rFonts w:ascii="Calibri" w:hAnsi="Calibri" w:cstheme="minorHAnsi"/>
          <w:color w:val="000000"/>
        </w:rPr>
      </w:pPr>
      <w:r w:rsidRPr="00610A7C">
        <w:rPr>
          <w:rFonts w:ascii="Calibri" w:hAnsi="Calibri" w:cstheme="minorHAnsi"/>
          <w:color w:val="000000"/>
        </w:rPr>
        <w:t xml:space="preserve">Consultants use the </w:t>
      </w:r>
      <w:r w:rsidR="003B6870">
        <w:rPr>
          <w:rFonts w:ascii="Calibri" w:hAnsi="Calibri" w:cstheme="minorHAnsi"/>
          <w:color w:val="000000"/>
        </w:rPr>
        <w:t>web-based DRF33 to collect information on comprehensive SHP assessments of workplaces that they conduct when employers request such services. DRF33 is transcribed into a web-</w:t>
      </w:r>
      <w:r w:rsidR="003B6870">
        <w:rPr>
          <w:rFonts w:ascii="Calibri" w:hAnsi="Calibri" w:cstheme="minorHAnsi"/>
          <w:color w:val="000000"/>
        </w:rPr>
        <w:t>based data entry tool (e.g., Qualtrics) into which consultants enter their evaluations (e.g.</w:t>
      </w:r>
      <w:r w:rsidRPr="00610A7C" w:rsidR="0010538A">
        <w:rPr>
          <w:rFonts w:ascii="Calibri" w:hAnsi="Calibri" w:cstheme="minorHAnsi"/>
          <w:color w:val="000000"/>
        </w:rPr>
        <w:t xml:space="preserve">, </w:t>
      </w:r>
      <w:r w:rsidRPr="00610A7C" w:rsidR="00B10AA5">
        <w:rPr>
          <w:rFonts w:ascii="Calibri" w:hAnsi="Calibri" w:cstheme="minorHAnsi"/>
          <w:color w:val="000000"/>
        </w:rPr>
        <w:t xml:space="preserve">summary of </w:t>
      </w:r>
      <w:r w:rsidRPr="00610A7C">
        <w:rPr>
          <w:rFonts w:ascii="Calibri" w:hAnsi="Calibri" w:cstheme="minorHAnsi"/>
          <w:color w:val="000000"/>
        </w:rPr>
        <w:t xml:space="preserve">findings based upon workplace SHP assessments, ratings for each of the </w:t>
      </w:r>
      <w:r w:rsidR="00D97095">
        <w:rPr>
          <w:rFonts w:ascii="Calibri" w:hAnsi="Calibri" w:cstheme="minorHAnsi"/>
          <w:color w:val="000000"/>
        </w:rPr>
        <w:t xml:space="preserve">48 or </w:t>
      </w:r>
      <w:r w:rsidRPr="00610A7C" w:rsidR="0098142F">
        <w:rPr>
          <w:rFonts w:ascii="Calibri" w:hAnsi="Calibri" w:cstheme="minorHAnsi"/>
          <w:color w:val="000000"/>
        </w:rPr>
        <w:t>52</w:t>
      </w:r>
      <w:r w:rsidRPr="00610A7C">
        <w:rPr>
          <w:rFonts w:ascii="Calibri" w:hAnsi="Calibri" w:cstheme="minorHAnsi"/>
          <w:color w:val="000000"/>
        </w:rPr>
        <w:t xml:space="preserve"> attributes</w:t>
      </w:r>
      <w:r w:rsidR="00D97095">
        <w:rPr>
          <w:rFonts w:ascii="Calibri" w:hAnsi="Calibri" w:cstheme="minorHAnsi"/>
          <w:color w:val="000000"/>
        </w:rPr>
        <w:t xml:space="preserve"> (as applicable)</w:t>
      </w:r>
      <w:r w:rsidR="00FB0E83">
        <w:rPr>
          <w:rFonts w:ascii="Calibri" w:hAnsi="Calibri" w:cstheme="minorHAnsi"/>
          <w:color w:val="000000"/>
        </w:rPr>
        <w:t>,</w:t>
      </w:r>
      <w:r w:rsidRPr="00610A7C">
        <w:rPr>
          <w:rFonts w:ascii="Calibri" w:hAnsi="Calibri" w:cstheme="minorHAnsi"/>
          <w:color w:val="000000"/>
        </w:rPr>
        <w:t xml:space="preserve"> and recommendations to the employer</w:t>
      </w:r>
      <w:r w:rsidRPr="00610A7C" w:rsidR="0010538A">
        <w:rPr>
          <w:rFonts w:ascii="Calibri" w:hAnsi="Calibri" w:cstheme="minorHAnsi"/>
          <w:color w:val="000000"/>
        </w:rPr>
        <w:t>)</w:t>
      </w:r>
      <w:r w:rsidRPr="00610A7C">
        <w:rPr>
          <w:rFonts w:ascii="Calibri" w:hAnsi="Calibri" w:cstheme="minorHAnsi"/>
          <w:color w:val="000000"/>
        </w:rPr>
        <w:t xml:space="preserve">.  </w:t>
      </w:r>
    </w:p>
    <w:p w:rsidR="0010538A" w:rsidRPr="00610A7C" w:rsidP="006906FF" w14:paraId="21C74912" w14:textId="77777777">
      <w:pPr>
        <w:rPr>
          <w:rFonts w:ascii="Calibri" w:hAnsi="Calibri" w:cstheme="minorHAnsi"/>
          <w:color w:val="000000"/>
        </w:rPr>
      </w:pPr>
      <w:r w:rsidRPr="00610A7C">
        <w:rPr>
          <w:rFonts w:ascii="Calibri" w:hAnsi="Calibri" w:cstheme="minorHAnsi"/>
          <w:color w:val="000000"/>
        </w:rPr>
        <w:t xml:space="preserve">The DRF33 </w:t>
      </w:r>
      <w:r w:rsidR="00D97095">
        <w:rPr>
          <w:rFonts w:ascii="Calibri" w:hAnsi="Calibri" w:cstheme="minorHAnsi"/>
          <w:color w:val="000000"/>
        </w:rPr>
        <w:t>is</w:t>
      </w:r>
      <w:r w:rsidRPr="00610A7C">
        <w:rPr>
          <w:rFonts w:ascii="Calibri" w:hAnsi="Calibri" w:cstheme="minorHAnsi"/>
          <w:color w:val="000000"/>
        </w:rPr>
        <w:t xml:space="preserve"> administered and scored by core element</w:t>
      </w:r>
      <w:r w:rsidRPr="00610A7C" w:rsidR="007A6CE5">
        <w:rPr>
          <w:rFonts w:ascii="Calibri" w:hAnsi="Calibri" w:cstheme="minorHAnsi"/>
          <w:color w:val="000000"/>
        </w:rPr>
        <w:t xml:space="preserve"> (i.e., a score is the</w:t>
      </w:r>
      <w:r w:rsidRPr="00610A7C" w:rsidR="00AB1563">
        <w:rPr>
          <w:rFonts w:ascii="Calibri" w:hAnsi="Calibri" w:cstheme="minorHAnsi"/>
          <w:color w:val="000000"/>
        </w:rPr>
        <w:t xml:space="preserve"> </w:t>
      </w:r>
      <w:r w:rsidRPr="00610A7C" w:rsidR="007A6CE5">
        <w:rPr>
          <w:rFonts w:ascii="Calibri" w:hAnsi="Calibri" w:cstheme="minorHAnsi"/>
          <w:color w:val="000000"/>
        </w:rPr>
        <w:t>summation of all ratings for all attributes within an element, or all elements combined)</w:t>
      </w:r>
      <w:r w:rsidRPr="00610A7C" w:rsidR="00E219B8">
        <w:rPr>
          <w:rFonts w:ascii="Calibri" w:hAnsi="Calibri" w:cstheme="minorHAnsi"/>
          <w:color w:val="000000"/>
        </w:rPr>
        <w:t xml:space="preserve">.  </w:t>
      </w:r>
      <w:r w:rsidRPr="00610A7C">
        <w:rPr>
          <w:rFonts w:ascii="Calibri" w:hAnsi="Calibri" w:cstheme="minorHAnsi"/>
          <w:color w:val="000000"/>
        </w:rPr>
        <w:t>There are seven (7) core elements of the DRF</w:t>
      </w:r>
      <w:r w:rsidRPr="00610A7C" w:rsidR="0005194C">
        <w:rPr>
          <w:rFonts w:ascii="Calibri" w:hAnsi="Calibri" w:cstheme="minorHAnsi"/>
          <w:color w:val="000000"/>
        </w:rPr>
        <w:t>33</w:t>
      </w:r>
      <w:r w:rsidRPr="00610A7C" w:rsidR="00077345">
        <w:rPr>
          <w:rFonts w:ascii="Calibri" w:hAnsi="Calibri" w:cstheme="minorHAnsi"/>
          <w:color w:val="000000"/>
        </w:rPr>
        <w:t xml:space="preserve">: </w:t>
      </w:r>
      <w:r w:rsidRPr="00610A7C" w:rsidR="0005194C">
        <w:rPr>
          <w:rFonts w:ascii="Calibri" w:hAnsi="Calibri" w:cstheme="minorHAnsi"/>
          <w:color w:val="000000"/>
        </w:rPr>
        <w:t xml:space="preserve"> Management Leadership; Worker Participation;</w:t>
      </w:r>
      <w:r w:rsidRPr="00610A7C">
        <w:rPr>
          <w:rFonts w:ascii="Calibri" w:hAnsi="Calibri" w:cstheme="minorHAnsi"/>
          <w:color w:val="000000"/>
        </w:rPr>
        <w:t xml:space="preserve"> Hazar</w:t>
      </w:r>
      <w:r w:rsidRPr="00610A7C" w:rsidR="0005194C">
        <w:rPr>
          <w:rFonts w:ascii="Calibri" w:hAnsi="Calibri" w:cstheme="minorHAnsi"/>
          <w:color w:val="000000"/>
        </w:rPr>
        <w:t>d Identification and Assessment; Hazard Prevention and Control; Education and Training;</w:t>
      </w:r>
      <w:r w:rsidRPr="00610A7C">
        <w:rPr>
          <w:rFonts w:ascii="Calibri" w:hAnsi="Calibri" w:cstheme="minorHAnsi"/>
          <w:color w:val="000000"/>
        </w:rPr>
        <w:t xml:space="preserve"> Pro</w:t>
      </w:r>
      <w:r w:rsidRPr="00610A7C" w:rsidR="0005194C">
        <w:rPr>
          <w:rFonts w:ascii="Calibri" w:hAnsi="Calibri" w:cstheme="minorHAnsi"/>
          <w:color w:val="000000"/>
        </w:rPr>
        <w:t>gram Evaluation and Improvement;</w:t>
      </w:r>
      <w:r w:rsidRPr="00610A7C">
        <w:rPr>
          <w:rFonts w:ascii="Calibri" w:hAnsi="Calibri" w:cstheme="minorHAnsi"/>
          <w:color w:val="000000"/>
        </w:rPr>
        <w:t xml:space="preserve"> </w:t>
      </w:r>
      <w:r w:rsidRPr="00610A7C" w:rsidR="00077345">
        <w:rPr>
          <w:rFonts w:ascii="Calibri" w:hAnsi="Calibri" w:cstheme="minorHAnsi"/>
          <w:color w:val="000000"/>
        </w:rPr>
        <w:t xml:space="preserve">and </w:t>
      </w:r>
      <w:r w:rsidRPr="00610A7C">
        <w:rPr>
          <w:rFonts w:ascii="Calibri" w:hAnsi="Calibri" w:cstheme="minorHAnsi"/>
          <w:color w:val="000000"/>
        </w:rPr>
        <w:t>Communication and Coordination for Host Employers, Contractors and Staffing Agencies</w:t>
      </w:r>
      <w:r w:rsidRPr="00610A7C" w:rsidR="0005194C">
        <w:rPr>
          <w:rFonts w:ascii="Calibri" w:hAnsi="Calibri" w:cstheme="minorHAnsi"/>
          <w:color w:val="000000"/>
        </w:rPr>
        <w:t xml:space="preserve"> (i.e., the multi-employer element</w:t>
      </w:r>
      <w:r w:rsidRPr="00610A7C">
        <w:rPr>
          <w:rFonts w:ascii="Calibri" w:hAnsi="Calibri" w:cstheme="minorHAnsi"/>
          <w:color w:val="000000"/>
        </w:rPr>
        <w:t xml:space="preserve">). </w:t>
      </w:r>
      <w:r w:rsidRPr="00610A7C" w:rsidR="00F2277C">
        <w:rPr>
          <w:rFonts w:ascii="Calibri" w:hAnsi="Calibri" w:cstheme="minorHAnsi"/>
          <w:color w:val="000000"/>
        </w:rPr>
        <w:t xml:space="preserve"> </w:t>
      </w:r>
    </w:p>
    <w:p w:rsidR="001F3CBD" w:rsidRPr="00610A7C" w:rsidP="006906FF" w14:paraId="754B0C94" w14:textId="77777777">
      <w:pPr>
        <w:rPr>
          <w:rFonts w:ascii="Calibri" w:hAnsi="Calibri" w:cstheme="minorHAnsi"/>
          <w:color w:val="000000"/>
        </w:rPr>
      </w:pPr>
      <w:r w:rsidRPr="00610A7C">
        <w:rPr>
          <w:rFonts w:ascii="Calibri" w:hAnsi="Calibri" w:cstheme="minorHAnsi"/>
          <w:color w:val="000000"/>
        </w:rPr>
        <w:t xml:space="preserve">Attribute ratings (which range from 0 to 3) on each core element </w:t>
      </w:r>
      <w:r w:rsidR="00C34254">
        <w:rPr>
          <w:rFonts w:ascii="Calibri" w:hAnsi="Calibri" w:cstheme="minorHAnsi"/>
          <w:color w:val="000000"/>
        </w:rPr>
        <w:t>are</w:t>
      </w:r>
      <w:r w:rsidRPr="00610A7C" w:rsidR="00C34254">
        <w:rPr>
          <w:rFonts w:ascii="Calibri" w:hAnsi="Calibri" w:cstheme="minorHAnsi"/>
          <w:color w:val="000000"/>
        </w:rPr>
        <w:t xml:space="preserve"> </w:t>
      </w:r>
      <w:r w:rsidRPr="00610A7C">
        <w:rPr>
          <w:rFonts w:ascii="Calibri" w:hAnsi="Calibri" w:cstheme="minorHAnsi"/>
          <w:color w:val="000000"/>
        </w:rPr>
        <w:t xml:space="preserve">summed and each summed score </w:t>
      </w:r>
      <w:r w:rsidR="00D97095">
        <w:rPr>
          <w:rFonts w:ascii="Calibri" w:hAnsi="Calibri" w:cstheme="minorHAnsi"/>
          <w:color w:val="000000"/>
        </w:rPr>
        <w:t>is</w:t>
      </w:r>
      <w:r w:rsidRPr="00610A7C">
        <w:rPr>
          <w:rFonts w:ascii="Calibri" w:hAnsi="Calibri" w:cstheme="minorHAnsi"/>
          <w:color w:val="000000"/>
        </w:rPr>
        <w:t xml:space="preserve"> transformed into a new score metric ranging from 0 to 100 as follows:</w:t>
      </w:r>
    </w:p>
    <w:p w:rsidR="001F3CBD" w:rsidP="006906FF" w14:paraId="5B2E9030" w14:textId="77777777">
      <w:pPr>
        <w:rPr>
          <w:rFonts w:ascii="Calibri" w:hAnsi="Calibri" w:cstheme="minorHAnsi"/>
          <w:color w:val="000000"/>
        </w:rPr>
      </w:pPr>
      <w:r w:rsidRPr="00610A7C">
        <w:rPr>
          <w:rFonts w:ascii="Calibri" w:hAnsi="Calibri" w:cstheme="minorHAnsi"/>
          <w:color w:val="000000"/>
        </w:rPr>
        <w:t>New Core Element Score = 100*Sum Score / (3*ICE)</w:t>
      </w:r>
    </w:p>
    <w:p w:rsidR="00C34254" w:rsidRPr="00826B69" w:rsidP="006906FF" w14:paraId="245E562F" w14:textId="77777777">
      <w:pPr>
        <w:rPr>
          <w:rFonts w:ascii="Calibri" w:hAnsi="Calibri" w:cstheme="minorHAnsi"/>
          <w:iCs/>
          <w:color w:val="000000"/>
        </w:rPr>
      </w:pPr>
      <m:oMathPara>
        <m:oMath>
          <m:r>
            <m:rPr>
              <m:sty m:val="p"/>
            </m:rPr>
            <w:rPr>
              <w:rFonts w:ascii="Cambria Math" w:hAnsi="Cambria Math" w:cstheme="minorHAnsi"/>
              <w:color w:val="000000"/>
            </w:rPr>
            <m:t>New Core Element Score=</m:t>
          </m:r>
          <m:f>
            <m:fPr>
              <m:ctrlPr>
                <w:rPr>
                  <w:rFonts w:ascii="Cambria Math" w:hAnsi="Cambria Math" w:cstheme="minorHAnsi"/>
                  <w:iCs/>
                  <w:color w:val="000000"/>
                </w:rPr>
              </m:ctrlPr>
            </m:fPr>
            <m:num>
              <m:r>
                <m:rPr>
                  <m:sty m:val="p"/>
                </m:rPr>
                <w:rPr>
                  <w:rFonts w:ascii="Cambria Math" w:hAnsi="Cambria Math" w:cstheme="minorHAnsi"/>
                  <w:color w:val="000000"/>
                </w:rPr>
                <m:t>100*Sum Score</m:t>
              </m:r>
            </m:num>
            <m:den>
              <m:r>
                <m:rPr>
                  <m:sty m:val="p"/>
                </m:rPr>
                <w:rPr>
                  <w:rFonts w:ascii="Cambria Math" w:hAnsi="Cambria Math" w:cstheme="minorHAnsi"/>
                  <w:color w:val="000000"/>
                </w:rPr>
                <m:t>(3*ICE)</m:t>
              </m:r>
              <m:r>
                <m:rPr>
                  <m:sty m:val="p"/>
                </m:rPr>
                <w:rPr>
                  <w:rStyle w:val="FootnoteReference"/>
                  <w:rFonts w:ascii="Cambria Math" w:hAnsi="Cambria Math" w:cstheme="minorHAnsi"/>
                  <w:iCs/>
                  <w:color w:val="000000"/>
                </w:rPr>
                <w:footnoteReference w:id="11"/>
              </m:r>
            </m:den>
          </m:f>
        </m:oMath>
      </m:oMathPara>
    </w:p>
    <w:p w:rsidR="001F3CBD" w:rsidRPr="00610A7C" w:rsidP="006906FF" w14:paraId="521D0D42" w14:textId="77777777">
      <w:pPr>
        <w:rPr>
          <w:rFonts w:ascii="Calibri" w:hAnsi="Calibri" w:cstheme="minorHAnsi"/>
          <w:color w:val="000000"/>
        </w:rPr>
      </w:pPr>
      <w:r w:rsidRPr="00610A7C">
        <w:rPr>
          <w:rFonts w:ascii="Calibri" w:hAnsi="Calibri" w:cstheme="minorHAnsi"/>
          <w:color w:val="000000"/>
        </w:rPr>
        <w:t xml:space="preserve">where ICE denotes the number of DRF33 items associated with a particular core element.  Thus, the new core element score (i.e., subscale) would range from 0 to 100 regardless of the number of items which represent that core element.  This type of rescaling facilitates the comparison of core element profiles across workplaces.  In addition to calculating scores for the core elements, two total DRF33 scores </w:t>
      </w:r>
      <w:r w:rsidR="00F94AD0">
        <w:rPr>
          <w:rFonts w:ascii="Calibri" w:hAnsi="Calibri" w:cstheme="minorHAnsi"/>
          <w:color w:val="000000"/>
        </w:rPr>
        <w:t xml:space="preserve">are </w:t>
      </w:r>
      <w:r w:rsidRPr="00610A7C">
        <w:rPr>
          <w:rFonts w:ascii="Calibri" w:hAnsi="Calibri" w:cstheme="minorHAnsi"/>
          <w:color w:val="000000"/>
        </w:rPr>
        <w:t xml:space="preserve">also produced.  First, an unweighted total score </w:t>
      </w:r>
      <w:r w:rsidR="00F94AD0">
        <w:rPr>
          <w:rFonts w:ascii="Calibri" w:hAnsi="Calibri" w:cstheme="minorHAnsi"/>
          <w:color w:val="000000"/>
        </w:rPr>
        <w:t>is</w:t>
      </w:r>
      <w:r w:rsidRPr="00610A7C">
        <w:rPr>
          <w:rFonts w:ascii="Calibri" w:hAnsi="Calibri" w:cstheme="minorHAnsi"/>
          <w:color w:val="000000"/>
        </w:rPr>
        <w:t xml:space="preserve"> derived from the average of the core element scores</w:t>
      </w:r>
      <w:r w:rsidR="003B6870">
        <w:rPr>
          <w:rFonts w:ascii="Calibri" w:hAnsi="Calibri" w:cstheme="minorHAnsi"/>
          <w:color w:val="000000"/>
        </w:rPr>
        <w:t>,</w:t>
      </w:r>
      <w:r w:rsidR="00DC064E">
        <w:rPr>
          <w:rFonts w:ascii="Calibri" w:hAnsi="Calibri" w:cstheme="minorHAnsi"/>
          <w:color w:val="000000"/>
        </w:rPr>
        <w:t xml:space="preserve"> excluding the multi-employer element due to its systematic missing values</w:t>
      </w:r>
      <w:r w:rsidRPr="00610A7C">
        <w:rPr>
          <w:rFonts w:ascii="Calibri" w:hAnsi="Calibri" w:cstheme="minorHAnsi"/>
          <w:color w:val="000000"/>
        </w:rPr>
        <w:t xml:space="preserve">.  Because each of these subscales </w:t>
      </w:r>
      <w:r w:rsidR="003E3002">
        <w:rPr>
          <w:rFonts w:ascii="Calibri" w:hAnsi="Calibri" w:cstheme="minorHAnsi"/>
          <w:color w:val="000000"/>
        </w:rPr>
        <w:t>has</w:t>
      </w:r>
      <w:r w:rsidRPr="00610A7C" w:rsidR="003E3002">
        <w:rPr>
          <w:rFonts w:ascii="Calibri" w:hAnsi="Calibri" w:cstheme="minorHAnsi"/>
          <w:color w:val="000000"/>
        </w:rPr>
        <w:t xml:space="preserve"> </w:t>
      </w:r>
      <w:r w:rsidRPr="00610A7C">
        <w:rPr>
          <w:rFonts w:ascii="Calibri" w:hAnsi="Calibri" w:cstheme="minorHAnsi"/>
          <w:color w:val="000000"/>
        </w:rPr>
        <w:t xml:space="preserve">a possible range of 0-100, regardless of the number of attributes associated with any core element, the average of these subscale scores is an unweighted mean across the core elements and has an identical range.  A second total score </w:t>
      </w:r>
      <w:r w:rsidR="00F94AD0">
        <w:rPr>
          <w:rFonts w:ascii="Calibri" w:hAnsi="Calibri" w:cstheme="minorHAnsi"/>
          <w:color w:val="000000"/>
        </w:rPr>
        <w:t>is</w:t>
      </w:r>
      <w:r w:rsidRPr="00610A7C">
        <w:rPr>
          <w:rFonts w:ascii="Calibri" w:hAnsi="Calibri" w:cstheme="minorHAnsi"/>
          <w:color w:val="000000"/>
        </w:rPr>
        <w:t xml:space="preserve"> produced</w:t>
      </w:r>
      <w:r w:rsidR="00C8455B">
        <w:rPr>
          <w:rFonts w:ascii="Calibri" w:hAnsi="Calibri" w:cstheme="minorHAnsi"/>
          <w:color w:val="000000"/>
        </w:rPr>
        <w:t>. The</w:t>
      </w:r>
      <w:r w:rsidRPr="00610A7C">
        <w:rPr>
          <w:rFonts w:ascii="Calibri" w:hAnsi="Calibri" w:cstheme="minorHAnsi"/>
          <w:color w:val="000000"/>
        </w:rPr>
        <w:t xml:space="preserve"> average rating across each of the </w:t>
      </w:r>
      <w:r w:rsidR="00DC064E">
        <w:rPr>
          <w:rFonts w:ascii="Calibri" w:hAnsi="Calibri" w:cstheme="minorHAnsi"/>
          <w:color w:val="000000"/>
        </w:rPr>
        <w:t xml:space="preserve">48 attributes associated with core elements other than the multi-employer element </w:t>
      </w:r>
      <w:r w:rsidR="00F94AD0">
        <w:rPr>
          <w:rFonts w:ascii="Calibri" w:hAnsi="Calibri" w:cstheme="minorHAnsi"/>
          <w:color w:val="000000"/>
        </w:rPr>
        <w:t>is</w:t>
      </w:r>
      <w:r w:rsidR="00DC064E">
        <w:rPr>
          <w:rFonts w:ascii="Calibri" w:hAnsi="Calibri" w:cstheme="minorHAnsi"/>
          <w:color w:val="000000"/>
        </w:rPr>
        <w:t xml:space="preserve"> rescaled to range from 0-100</w:t>
      </w:r>
      <w:r w:rsidRPr="00610A7C">
        <w:rPr>
          <w:rFonts w:ascii="Calibri" w:hAnsi="Calibri" w:cstheme="minorHAnsi"/>
          <w:color w:val="000000"/>
        </w:rPr>
        <w:t xml:space="preserve">.  This </w:t>
      </w:r>
      <w:r w:rsidR="00F94AD0">
        <w:rPr>
          <w:rFonts w:ascii="Calibri" w:hAnsi="Calibri" w:cstheme="minorHAnsi"/>
          <w:color w:val="000000"/>
        </w:rPr>
        <w:t>is</w:t>
      </w:r>
      <w:r w:rsidRPr="00610A7C">
        <w:rPr>
          <w:rFonts w:ascii="Calibri" w:hAnsi="Calibri" w:cstheme="minorHAnsi"/>
          <w:color w:val="000000"/>
        </w:rPr>
        <w:t xml:space="preserve"> accomplished using the following equation:</w:t>
      </w:r>
    </w:p>
    <w:p w:rsidR="00DC064E" w:rsidRPr="00610A7C" w:rsidP="00DC064E" w14:paraId="3F92820E" w14:textId="77777777">
      <w:pPr>
        <w:rPr>
          <w:rFonts w:ascii="Calibri" w:hAnsi="Calibri" w:cstheme="minorHAnsi"/>
          <w:color w:val="000000"/>
        </w:rPr>
      </w:pPr>
      <m:oMathPara>
        <m:oMathParaPr>
          <m:jc m:val="left"/>
        </m:oMathParaPr>
        <m:oMath>
          <m:r>
            <m:rPr>
              <m:sty m:val="p"/>
            </m:rPr>
            <w:rPr>
              <w:rFonts w:ascii="Cambria Math" w:hAnsi="Cambria Math" w:cstheme="minorHAnsi"/>
              <w:color w:val="000000"/>
            </w:rPr>
            <m:t>Rescaled Weighted Average= 100*</m:t>
          </m:r>
          <m:d>
            <m:dPr>
              <m:ctrlPr>
                <w:rPr>
                  <w:rFonts w:ascii="Cambria Math" w:hAnsi="Cambria Math" w:cstheme="minorHAnsi"/>
                  <w:color w:val="000000"/>
                </w:rPr>
              </m:ctrlPr>
            </m:dPr>
            <m:e>
              <m:f>
                <m:fPr>
                  <m:ctrlPr>
                    <w:rPr>
                      <w:rFonts w:ascii="Cambria Math" w:hAnsi="Cambria Math" w:cstheme="minorHAnsi"/>
                      <w:color w:val="000000"/>
                    </w:rPr>
                  </m:ctrlPr>
                </m:fPr>
                <m:num>
                  <m:nary>
                    <m:naryPr>
                      <m:chr m:val="∑"/>
                      <m:limLoc m:val="undOvr"/>
                      <m:ctrlPr>
                        <w:rPr>
                          <w:rFonts w:ascii="Cambria Math" w:hAnsi="Cambria Math" w:cstheme="minorHAnsi"/>
                          <w:color w:val="000000"/>
                        </w:rPr>
                      </m:ctrlPr>
                    </m:naryPr>
                    <m:sub>
                      <m:r>
                        <w:rPr>
                          <w:rFonts w:ascii="Cambria Math" w:hAnsi="Cambria Math" w:cstheme="minorHAnsi"/>
                          <w:color w:val="000000"/>
                        </w:rPr>
                        <m:t>k</m:t>
                      </m:r>
                      <m:r>
                        <m:rPr>
                          <m:sty m:val="p"/>
                        </m:rPr>
                        <w:rPr>
                          <w:rFonts w:ascii="Cambria Math" w:hAnsi="Cambria Math" w:cstheme="minorHAnsi"/>
                          <w:color w:val="000000"/>
                        </w:rPr>
                        <m:t>=1</m:t>
                      </m:r>
                    </m:sub>
                    <m:sup>
                      <m:r>
                        <m:rPr>
                          <m:sty m:val="p"/>
                        </m:rPr>
                        <w:rPr>
                          <w:rFonts w:ascii="Cambria Math" w:hAnsi="Cambria Math" w:cstheme="minorHAnsi"/>
                          <w:color w:val="000000"/>
                        </w:rPr>
                        <m:t>48</m:t>
                      </m:r>
                    </m:sup>
                    <m:e>
                      <m:r>
                        <m:rPr>
                          <m:sty m:val="p"/>
                        </m:rPr>
                        <w:rPr>
                          <w:rFonts w:ascii="Cambria Math" w:hAnsi="Cambria Math" w:cstheme="minorHAnsi"/>
                          <w:color w:val="000000"/>
                        </w:rPr>
                        <m:t xml:space="preserve"> </m:t>
                      </m:r>
                      <m:sSub>
                        <m:sSubPr>
                          <m:ctrlPr>
                            <w:rPr>
                              <w:rFonts w:ascii="Cambria Math" w:hAnsi="Cambria Math" w:cstheme="minorHAnsi"/>
                              <w:color w:val="000000"/>
                            </w:rPr>
                          </m:ctrlPr>
                        </m:sSubPr>
                        <m:e>
                          <m:r>
                            <w:rPr>
                              <w:rFonts w:ascii="Cambria Math" w:hAnsi="Cambria Math" w:cstheme="minorHAnsi"/>
                              <w:color w:val="000000"/>
                            </w:rPr>
                            <m:t>r</m:t>
                          </m:r>
                        </m:e>
                        <m:sub>
                          <m:r>
                            <w:rPr>
                              <w:rFonts w:ascii="Cambria Math" w:hAnsi="Cambria Math" w:cstheme="minorHAnsi"/>
                              <w:color w:val="000000"/>
                            </w:rPr>
                            <m:t>k</m:t>
                          </m:r>
                        </m:sub>
                      </m:sSub>
                    </m:e>
                  </m:nary>
                </m:num>
                <m:den>
                  <m:r>
                    <m:rPr>
                      <m:sty m:val="p"/>
                    </m:rPr>
                    <w:rPr>
                      <w:rFonts w:ascii="Cambria Math" w:hAnsi="Cambria Math" w:cstheme="minorHAnsi"/>
                      <w:color w:val="000000"/>
                    </w:rPr>
                    <m:t>144</m:t>
                  </m:r>
                </m:den>
              </m:f>
            </m:e>
          </m:d>
        </m:oMath>
      </m:oMathPara>
    </w:p>
    <w:p w:rsidR="001F3CBD" w:rsidRPr="00262089" w:rsidP="006906FF" w14:paraId="72942E32" w14:textId="77777777">
      <w:pPr>
        <w:rPr>
          <w:rFonts w:cstheme="minorHAnsi"/>
          <w:color w:val="000000"/>
        </w:rPr>
      </w:pPr>
      <w:r w:rsidRPr="00262089">
        <w:rPr>
          <w:rFonts w:cstheme="minorHAnsi"/>
          <w:color w:val="000000"/>
        </w:rPr>
        <w:t xml:space="preserve">Where </w:t>
      </w:r>
      <m:oMath>
        <m:sSub>
          <m:sSubPr>
            <m:ctrlPr>
              <w:rPr>
                <w:rFonts w:ascii="Cambria Math" w:hAnsi="Cambria Math" w:cstheme="minorHAnsi"/>
                <w:color w:val="000000"/>
              </w:rPr>
            </m:ctrlPr>
          </m:sSubPr>
          <m:e>
            <m:r>
              <w:rPr>
                <w:rFonts w:ascii="Cambria Math" w:hAnsi="Cambria Math" w:cstheme="minorHAnsi"/>
                <w:color w:val="000000"/>
              </w:rPr>
              <m:t>r</m:t>
            </m:r>
          </m:e>
          <m:sub>
            <m:r>
              <w:rPr>
                <w:rFonts w:ascii="Cambria Math" w:hAnsi="Cambria Math" w:cstheme="minorHAnsi"/>
                <w:color w:val="000000"/>
              </w:rPr>
              <m:t>k</m:t>
            </m:r>
          </m:sub>
        </m:sSub>
      </m:oMath>
      <w:r w:rsidRPr="00262089">
        <w:rPr>
          <w:rFonts w:cstheme="minorHAnsi"/>
          <w:color w:val="000000"/>
        </w:rPr>
        <w:t>is the consultant rating (i.e., 0 to 3) for the kth attribute on the DRF33.  Because the maximum summated score on the</w:t>
      </w:r>
      <w:r w:rsidRPr="00262089" w:rsidR="00DC064E">
        <w:rPr>
          <w:rFonts w:cstheme="minorHAnsi"/>
          <w:color w:val="000000"/>
        </w:rPr>
        <w:t>se</w:t>
      </w:r>
      <w:r w:rsidRPr="00262089">
        <w:rPr>
          <w:rFonts w:cstheme="minorHAnsi"/>
          <w:color w:val="000000"/>
        </w:rPr>
        <w:t xml:space="preserve"> </w:t>
      </w:r>
      <w:r w:rsidRPr="00262089" w:rsidR="00DC064E">
        <w:rPr>
          <w:rFonts w:cstheme="minorHAnsi"/>
          <w:color w:val="000000"/>
        </w:rPr>
        <w:t>attributes is</w:t>
      </w:r>
      <w:r w:rsidRPr="00262089">
        <w:rPr>
          <w:rFonts w:cstheme="minorHAnsi"/>
          <w:color w:val="000000"/>
        </w:rPr>
        <w:t xml:space="preserve"> 3*</w:t>
      </w:r>
      <w:r w:rsidRPr="00262089" w:rsidR="00DC064E">
        <w:rPr>
          <w:rFonts w:cstheme="minorHAnsi"/>
          <w:color w:val="000000"/>
        </w:rPr>
        <w:t>48</w:t>
      </w:r>
      <w:r w:rsidRPr="00262089">
        <w:rPr>
          <w:rFonts w:cstheme="minorHAnsi"/>
          <w:color w:val="000000"/>
        </w:rPr>
        <w:t xml:space="preserve"> = 1</w:t>
      </w:r>
      <w:r w:rsidRPr="00262089" w:rsidR="00DC064E">
        <w:rPr>
          <w:rFonts w:cstheme="minorHAnsi"/>
          <w:color w:val="000000"/>
        </w:rPr>
        <w:t>44</w:t>
      </w:r>
      <w:r w:rsidRPr="00262089">
        <w:rPr>
          <w:rFonts w:cstheme="minorHAnsi"/>
          <w:color w:val="000000"/>
        </w:rPr>
        <w:t>, this formula converts the total summated score into a proportion and then rescales this result to produce a 0-100 range.  In this sense, the weighted total score will have the same range as any other DRF33 measure</w:t>
      </w:r>
      <w:r w:rsidR="00C8455B">
        <w:rPr>
          <w:rFonts w:cstheme="minorHAnsi"/>
          <w:color w:val="000000"/>
        </w:rPr>
        <w:t xml:space="preserve"> but will be weighted more by core elements with the largest number of attributes</w:t>
      </w:r>
      <w:r w:rsidRPr="00262089">
        <w:rPr>
          <w:rFonts w:cstheme="minorHAnsi"/>
          <w:color w:val="000000"/>
        </w:rPr>
        <w:t xml:space="preserve"> and weighted less by those with the fewest number.  </w:t>
      </w:r>
    </w:p>
    <w:p w:rsidR="00E219B8" w:rsidRPr="00262089" w:rsidP="00E219B8" w14:paraId="39BD2F92" w14:textId="77777777">
      <w:pPr>
        <w:rPr>
          <w:rFonts w:cstheme="minorHAnsi"/>
          <w:color w:val="000000"/>
          <w:u w:val="single"/>
        </w:rPr>
      </w:pPr>
      <w:r w:rsidRPr="00262089">
        <w:rPr>
          <w:rFonts w:cstheme="minorHAnsi"/>
          <w:color w:val="000000"/>
        </w:rPr>
        <w:t xml:space="preserve"> </w:t>
      </w:r>
      <w:r w:rsidRPr="00262089">
        <w:rPr>
          <w:rFonts w:cstheme="minorHAnsi"/>
          <w:color w:val="000000"/>
          <w:u w:val="single"/>
        </w:rPr>
        <w:t xml:space="preserve">It is important to emphasize that consultants must evaluate every workplace assessed in these studies with regard to all of the </w:t>
      </w:r>
      <w:r w:rsidRPr="00262089" w:rsidR="00DC064E">
        <w:rPr>
          <w:rFonts w:cstheme="minorHAnsi"/>
          <w:color w:val="000000"/>
          <w:u w:val="single"/>
        </w:rPr>
        <w:t>48</w:t>
      </w:r>
      <w:r w:rsidRPr="00262089">
        <w:rPr>
          <w:rFonts w:cstheme="minorHAnsi"/>
          <w:color w:val="000000"/>
          <w:u w:val="single"/>
        </w:rPr>
        <w:t xml:space="preserve"> DRF33 attributes</w:t>
      </w:r>
      <w:r w:rsidRPr="00262089" w:rsidR="00DC064E">
        <w:rPr>
          <w:rFonts w:cstheme="minorHAnsi"/>
          <w:color w:val="000000"/>
          <w:u w:val="single"/>
        </w:rPr>
        <w:t>, which do not explicitly pertain to the multi-employer core element</w:t>
      </w:r>
      <w:r w:rsidRPr="00262089">
        <w:rPr>
          <w:rFonts w:cstheme="minorHAnsi"/>
          <w:color w:val="000000"/>
          <w:u w:val="single"/>
        </w:rPr>
        <w:t>.</w:t>
      </w:r>
      <w:r w:rsidRPr="00262089" w:rsidR="00DC064E">
        <w:rPr>
          <w:rFonts w:cstheme="minorHAnsi"/>
          <w:color w:val="000000"/>
          <w:u w:val="single"/>
        </w:rPr>
        <w:t xml:space="preserve">  A</w:t>
      </w:r>
      <w:r w:rsidRPr="00262089" w:rsidR="0081186B">
        <w:rPr>
          <w:rFonts w:cstheme="minorHAnsi"/>
          <w:color w:val="000000"/>
          <w:u w:val="single"/>
        </w:rPr>
        <w:t>lso</w:t>
      </w:r>
      <w:r w:rsidRPr="00262089" w:rsidR="00DC064E">
        <w:rPr>
          <w:rFonts w:cstheme="minorHAnsi"/>
          <w:color w:val="000000"/>
          <w:u w:val="single"/>
        </w:rPr>
        <w:t>, the four multi-employer attributes must be rated at every</w:t>
      </w:r>
      <w:r w:rsidRPr="00262089" w:rsidR="00954BD1">
        <w:rPr>
          <w:rFonts w:cstheme="minorHAnsi"/>
          <w:color w:val="000000"/>
          <w:u w:val="single"/>
        </w:rPr>
        <w:t xml:space="preserve"> </w:t>
      </w:r>
      <w:r w:rsidRPr="00262089" w:rsidR="00DC064E">
        <w:rPr>
          <w:rFonts w:cstheme="minorHAnsi"/>
          <w:color w:val="000000"/>
          <w:u w:val="single"/>
        </w:rPr>
        <w:t xml:space="preserve">workplace </w:t>
      </w:r>
      <w:r w:rsidRPr="00262089" w:rsidR="00954BD1">
        <w:rPr>
          <w:rFonts w:cstheme="minorHAnsi"/>
          <w:color w:val="000000"/>
          <w:u w:val="single"/>
        </w:rPr>
        <w:t>with</w:t>
      </w:r>
      <w:r w:rsidRPr="00262089" w:rsidR="00DC064E">
        <w:rPr>
          <w:rFonts w:cstheme="minorHAnsi"/>
          <w:color w:val="000000"/>
          <w:u w:val="single"/>
        </w:rPr>
        <w:t xml:space="preserve"> </w:t>
      </w:r>
      <w:r w:rsidRPr="00262089" w:rsidR="002C240A">
        <w:rPr>
          <w:rFonts w:cstheme="minorHAnsi"/>
          <w:color w:val="000000"/>
          <w:u w:val="single"/>
        </w:rPr>
        <w:t xml:space="preserve">other </w:t>
      </w:r>
      <w:r w:rsidRPr="00262089" w:rsidR="00DC064E">
        <w:rPr>
          <w:rFonts w:cstheme="minorHAnsi"/>
          <w:color w:val="000000"/>
          <w:u w:val="single"/>
        </w:rPr>
        <w:t xml:space="preserve">workers </w:t>
      </w:r>
      <w:r w:rsidRPr="00262089" w:rsidR="00954BD1">
        <w:rPr>
          <w:rFonts w:cstheme="minorHAnsi"/>
          <w:color w:val="000000"/>
          <w:u w:val="single"/>
        </w:rPr>
        <w:t xml:space="preserve">(e.g., temporary, seasonal, </w:t>
      </w:r>
      <w:r w:rsidRPr="00262089" w:rsidR="00A35E64">
        <w:rPr>
          <w:rFonts w:cstheme="minorHAnsi"/>
          <w:color w:val="000000"/>
          <w:u w:val="single"/>
        </w:rPr>
        <w:t xml:space="preserve">and </w:t>
      </w:r>
      <w:r w:rsidRPr="00262089" w:rsidR="00954BD1">
        <w:rPr>
          <w:rFonts w:cstheme="minorHAnsi"/>
          <w:color w:val="000000"/>
          <w:u w:val="single"/>
        </w:rPr>
        <w:t xml:space="preserve">contractual workers) </w:t>
      </w:r>
      <w:r w:rsidRPr="00262089" w:rsidR="002C240A">
        <w:rPr>
          <w:rFonts w:cstheme="minorHAnsi"/>
          <w:color w:val="000000"/>
          <w:u w:val="single"/>
        </w:rPr>
        <w:t>in addition to</w:t>
      </w:r>
      <w:r w:rsidRPr="00262089" w:rsidR="00DC064E">
        <w:rPr>
          <w:rFonts w:cstheme="minorHAnsi"/>
          <w:color w:val="000000"/>
          <w:u w:val="single"/>
        </w:rPr>
        <w:t xml:space="preserve"> the host employer’s workers.</w:t>
      </w:r>
      <w:r w:rsidRPr="00262089" w:rsidR="000033B5">
        <w:rPr>
          <w:rFonts w:cstheme="minorHAnsi"/>
          <w:color w:val="000000"/>
        </w:rPr>
        <w:t xml:space="preserve">  </w:t>
      </w:r>
      <w:r w:rsidRPr="00262089">
        <w:rPr>
          <w:rFonts w:cstheme="minorHAnsi"/>
          <w:color w:val="000000"/>
        </w:rPr>
        <w:t>Previous research has illustrated that missing attribute data can severely alter the correlations among scores on the (current) Form 33 (OMB # 1218-0110) core elements with external criteria</w:t>
      </w:r>
      <w:r w:rsidRPr="00262089" w:rsidR="00EE659E">
        <w:rPr>
          <w:rFonts w:cstheme="minorHAnsi"/>
          <w:color w:val="000000"/>
        </w:rPr>
        <w:t xml:space="preserve"> (</w:t>
      </w:r>
      <w:r w:rsidRPr="00262089" w:rsidR="00EE659E">
        <w:rPr>
          <w:rFonts w:cstheme="minorHAnsi"/>
        </w:rPr>
        <w:t>Autenrieth et al., 2015)</w:t>
      </w:r>
      <w:r w:rsidRPr="00262089">
        <w:rPr>
          <w:rFonts w:cstheme="minorHAnsi"/>
          <w:color w:val="000000"/>
        </w:rPr>
        <w:t>.  This should be avoided.  Similarly, a larger sample would be required if the psychometric analyses outlined later in this proposal were based on DRF33 responses containing systematically missing data</w:t>
      </w:r>
      <w:r w:rsidRPr="00262089" w:rsidR="00EE659E">
        <w:rPr>
          <w:rFonts w:cstheme="minorHAnsi"/>
          <w:color w:val="000000"/>
        </w:rPr>
        <w:t xml:space="preserve"> in which consultants rated only a subset of attributes on the DRF33</w:t>
      </w:r>
      <w:r w:rsidRPr="00262089">
        <w:rPr>
          <w:rFonts w:cstheme="minorHAnsi"/>
          <w:color w:val="000000"/>
        </w:rPr>
        <w:t>.</w:t>
      </w:r>
      <w:r w:rsidRPr="00262089" w:rsidR="00EE659E">
        <w:rPr>
          <w:rFonts w:cstheme="minorHAnsi"/>
          <w:color w:val="000000"/>
        </w:rPr>
        <w:t xml:space="preserve">  In this case, the proposed analyses would be conducted on only complete cases</w:t>
      </w:r>
      <w:r w:rsidRPr="00262089" w:rsidR="00911453">
        <w:rPr>
          <w:rFonts w:cstheme="minorHAnsi"/>
          <w:color w:val="000000"/>
        </w:rPr>
        <w:t xml:space="preserve"> (for all but the multi-employer core element)</w:t>
      </w:r>
      <w:r w:rsidRPr="00262089" w:rsidR="00EE659E">
        <w:rPr>
          <w:rFonts w:cstheme="minorHAnsi"/>
          <w:color w:val="000000"/>
        </w:rPr>
        <w:t xml:space="preserve">, and number of workplace </w:t>
      </w:r>
      <w:r w:rsidRPr="00262089" w:rsidR="00CB4042">
        <w:rPr>
          <w:rFonts w:cstheme="minorHAnsi"/>
          <w:color w:val="000000"/>
        </w:rPr>
        <w:t xml:space="preserve">consultation </w:t>
      </w:r>
      <w:r w:rsidRPr="00262089" w:rsidR="00EE659E">
        <w:rPr>
          <w:rFonts w:cstheme="minorHAnsi"/>
          <w:color w:val="000000"/>
        </w:rPr>
        <w:t xml:space="preserve">visits would need to increase to achieve a desired sample size of 300 completed assessments. </w:t>
      </w:r>
      <w:r w:rsidRPr="00262089">
        <w:rPr>
          <w:rFonts w:cstheme="minorHAnsi"/>
          <w:color w:val="000000"/>
        </w:rPr>
        <w:t xml:space="preserve"> </w:t>
      </w:r>
    </w:p>
    <w:p w:rsidR="001F3CBD" w:rsidRPr="00262089" w:rsidP="007608A2" w14:paraId="29D6D42C" w14:textId="77777777">
      <w:pPr>
        <w:rPr>
          <w:rFonts w:cstheme="minorHAnsi"/>
          <w:color w:val="000000"/>
        </w:rPr>
      </w:pPr>
      <w:r w:rsidRPr="00262089">
        <w:rPr>
          <w:rFonts w:cstheme="minorHAnsi"/>
          <w:color w:val="000000"/>
        </w:rPr>
        <w:t>Although the total and subscale</w:t>
      </w:r>
      <w:r w:rsidRPr="00262089" w:rsidR="003A6328">
        <w:rPr>
          <w:rFonts w:cstheme="minorHAnsi"/>
          <w:color w:val="000000"/>
        </w:rPr>
        <w:t xml:space="preserve"> (i.e., core element)</w:t>
      </w:r>
      <w:r w:rsidRPr="00262089">
        <w:rPr>
          <w:rFonts w:cstheme="minorHAnsi"/>
          <w:color w:val="000000"/>
        </w:rPr>
        <w:t xml:space="preserve"> DRF33 scores serve as the primary measures in this investigation, measures regarding other </w:t>
      </w:r>
      <w:r w:rsidR="00D3489E">
        <w:rPr>
          <w:rFonts w:cstheme="minorHAnsi"/>
          <w:color w:val="000000"/>
        </w:rPr>
        <w:t>workplace-level</w:t>
      </w:r>
      <w:r w:rsidRPr="00262089">
        <w:rPr>
          <w:rFonts w:cstheme="minorHAnsi"/>
          <w:color w:val="000000"/>
        </w:rPr>
        <w:t xml:space="preserve"> covariates will also be obtained.  In particular, measures of</w:t>
      </w:r>
      <w:r w:rsidRPr="00262089" w:rsidR="0033464B">
        <w:rPr>
          <w:rFonts w:cstheme="minorHAnsi"/>
          <w:color w:val="000000"/>
        </w:rPr>
        <w:t xml:space="preserve"> the total recordable case rate </w:t>
      </w:r>
      <w:r w:rsidRPr="00262089">
        <w:rPr>
          <w:rFonts w:cstheme="minorHAnsi"/>
          <w:color w:val="000000"/>
        </w:rPr>
        <w:t>(TRC)</w:t>
      </w:r>
      <w:r w:rsidRPr="00262089" w:rsidR="00B5159B">
        <w:rPr>
          <w:rFonts w:cstheme="minorHAnsi"/>
          <w:color w:val="000000"/>
        </w:rPr>
        <w:t xml:space="preserve"> and </w:t>
      </w:r>
      <w:r w:rsidRPr="00262089">
        <w:rPr>
          <w:rFonts w:cstheme="minorHAnsi"/>
          <w:color w:val="000000"/>
        </w:rPr>
        <w:t>days away, restr</w:t>
      </w:r>
      <w:r w:rsidRPr="00262089" w:rsidR="0033464B">
        <w:rPr>
          <w:rFonts w:cstheme="minorHAnsi"/>
          <w:color w:val="000000"/>
        </w:rPr>
        <w:t xml:space="preserve">icted or transferred rate </w:t>
      </w:r>
      <w:r w:rsidRPr="00262089">
        <w:rPr>
          <w:rFonts w:cstheme="minorHAnsi"/>
          <w:color w:val="000000"/>
        </w:rPr>
        <w:t>(DART</w:t>
      </w:r>
      <w:r w:rsidR="00BC37B9">
        <w:rPr>
          <w:rFonts w:cstheme="minorHAnsi"/>
          <w:color w:val="000000"/>
        </w:rPr>
        <w:t>)</w:t>
      </w:r>
      <w:r w:rsidRPr="00262089" w:rsidR="0033464B">
        <w:rPr>
          <w:rFonts w:cstheme="minorHAnsi"/>
          <w:color w:val="000000"/>
        </w:rPr>
        <w:t xml:space="preserve"> will be used.  </w:t>
      </w:r>
      <w:r w:rsidRPr="00262089">
        <w:rPr>
          <w:rFonts w:cstheme="minorHAnsi"/>
          <w:color w:val="000000"/>
        </w:rPr>
        <w:t xml:space="preserve">Retrospective estimates and prospective estimates of these covariates will be obtained.  Retrospective estimates of TRC and DART will be based on the 12-months prior to the </w:t>
      </w:r>
      <w:r w:rsidRPr="00262089" w:rsidR="00077345">
        <w:rPr>
          <w:rFonts w:cstheme="minorHAnsi"/>
          <w:color w:val="000000"/>
        </w:rPr>
        <w:t xml:space="preserve">Pilot Study </w:t>
      </w:r>
      <w:r w:rsidRPr="00262089">
        <w:rPr>
          <w:rFonts w:cstheme="minorHAnsi"/>
          <w:color w:val="000000"/>
        </w:rPr>
        <w:t>consultation visit</w:t>
      </w:r>
      <w:r w:rsidRPr="00262089" w:rsidR="00CB4042">
        <w:rPr>
          <w:rFonts w:cstheme="minorHAnsi"/>
          <w:color w:val="000000"/>
        </w:rPr>
        <w:t>,</w:t>
      </w:r>
      <w:r w:rsidRPr="00262089" w:rsidR="00911453">
        <w:rPr>
          <w:rFonts w:cstheme="minorHAnsi"/>
          <w:color w:val="000000"/>
        </w:rPr>
        <w:t xml:space="preserve"> whereas</w:t>
      </w:r>
      <w:r w:rsidRPr="00262089" w:rsidR="00CB4042">
        <w:rPr>
          <w:rFonts w:cstheme="minorHAnsi"/>
          <w:color w:val="000000"/>
        </w:rPr>
        <w:t>,</w:t>
      </w:r>
      <w:r w:rsidRPr="00262089" w:rsidR="00911453">
        <w:rPr>
          <w:rFonts w:cstheme="minorHAnsi"/>
          <w:color w:val="000000"/>
        </w:rPr>
        <w:t xml:space="preserve"> prospective estimates will be acquired 12-months after the visit</w:t>
      </w:r>
      <w:r w:rsidRPr="00262089">
        <w:rPr>
          <w:rFonts w:cstheme="minorHAnsi"/>
          <w:color w:val="000000"/>
        </w:rPr>
        <w:t xml:space="preserve">.  </w:t>
      </w:r>
      <w:r w:rsidRPr="00262089" w:rsidR="00F2277C">
        <w:rPr>
          <w:rFonts w:cstheme="minorHAnsi"/>
          <w:color w:val="000000"/>
        </w:rPr>
        <w:t xml:space="preserve">The </w:t>
      </w:r>
      <w:r w:rsidRPr="00262089" w:rsidR="000E2B8B">
        <w:rPr>
          <w:rFonts w:cstheme="minorHAnsi"/>
          <w:color w:val="000000"/>
        </w:rPr>
        <w:t xml:space="preserve">statistical </w:t>
      </w:r>
      <w:r w:rsidRPr="00262089" w:rsidR="00F2277C">
        <w:rPr>
          <w:rFonts w:cstheme="minorHAnsi"/>
          <w:color w:val="000000"/>
        </w:rPr>
        <w:t xml:space="preserve">analyses described </w:t>
      </w:r>
      <w:r w:rsidRPr="00262089" w:rsidR="000E2B8B">
        <w:rPr>
          <w:rFonts w:cstheme="minorHAnsi"/>
          <w:color w:val="000000"/>
        </w:rPr>
        <w:t xml:space="preserve">in this document </w:t>
      </w:r>
      <w:r w:rsidRPr="00262089" w:rsidR="00F2277C">
        <w:rPr>
          <w:rFonts w:cstheme="minorHAnsi"/>
          <w:color w:val="000000"/>
        </w:rPr>
        <w:t xml:space="preserve">will be performed after the </w:t>
      </w:r>
      <w:r w:rsidRPr="00262089" w:rsidR="00CB4042">
        <w:rPr>
          <w:rFonts w:cstheme="minorHAnsi"/>
          <w:color w:val="000000"/>
        </w:rPr>
        <w:t xml:space="preserve">Pilot Study </w:t>
      </w:r>
      <w:r w:rsidRPr="00262089" w:rsidR="00F2277C">
        <w:rPr>
          <w:rFonts w:cstheme="minorHAnsi"/>
          <w:color w:val="000000"/>
        </w:rPr>
        <w:t>workplace consultation visits are complete</w:t>
      </w:r>
      <w:r w:rsidRPr="00262089" w:rsidR="00CB4042">
        <w:rPr>
          <w:rFonts w:cstheme="minorHAnsi"/>
          <w:color w:val="000000"/>
        </w:rPr>
        <w:t>d</w:t>
      </w:r>
      <w:r w:rsidRPr="00262089" w:rsidR="00F2277C">
        <w:rPr>
          <w:rFonts w:cstheme="minorHAnsi"/>
          <w:color w:val="000000"/>
        </w:rPr>
        <w:t xml:space="preserve"> </w:t>
      </w:r>
      <w:r w:rsidRPr="00262089" w:rsidR="003A6328">
        <w:rPr>
          <w:rFonts w:cstheme="minorHAnsi"/>
          <w:color w:val="000000"/>
        </w:rPr>
        <w:t xml:space="preserve">and the </w:t>
      </w:r>
      <w:r w:rsidRPr="00262089" w:rsidR="00F2277C">
        <w:rPr>
          <w:rFonts w:cstheme="minorHAnsi"/>
          <w:color w:val="000000"/>
        </w:rPr>
        <w:t>DRF33 and retrospective covariate measures</w:t>
      </w:r>
      <w:r w:rsidRPr="00262089" w:rsidR="003A6328">
        <w:rPr>
          <w:rFonts w:cstheme="minorHAnsi"/>
          <w:color w:val="000000"/>
        </w:rPr>
        <w:t xml:space="preserve"> have been uploaded into the Qualtrics database</w:t>
      </w:r>
      <w:r w:rsidRPr="00262089" w:rsidR="00F2277C">
        <w:rPr>
          <w:rFonts w:cstheme="minorHAnsi"/>
          <w:color w:val="000000"/>
        </w:rPr>
        <w:t>.</w:t>
      </w:r>
      <w:r w:rsidRPr="00262089" w:rsidR="00911453">
        <w:rPr>
          <w:rFonts w:cstheme="minorHAnsi"/>
          <w:color w:val="000000"/>
        </w:rPr>
        <w:t xml:space="preserve">  They will be</w:t>
      </w:r>
      <w:r w:rsidRPr="00262089">
        <w:rPr>
          <w:rFonts w:cstheme="minorHAnsi"/>
          <w:color w:val="000000"/>
        </w:rPr>
        <w:t xml:space="preserve"> repeated one year </w:t>
      </w:r>
      <w:r w:rsidRPr="00262089" w:rsidR="00CB4042">
        <w:rPr>
          <w:rFonts w:cstheme="minorHAnsi"/>
          <w:color w:val="000000"/>
        </w:rPr>
        <w:t xml:space="preserve">after the Pilot Study consultation visits, </w:t>
      </w:r>
      <w:r w:rsidRPr="00262089">
        <w:rPr>
          <w:rFonts w:cstheme="minorHAnsi"/>
          <w:color w:val="000000"/>
        </w:rPr>
        <w:t>once prospective covariates are available</w:t>
      </w:r>
      <w:r w:rsidRPr="00262089" w:rsidR="00F2277C">
        <w:rPr>
          <w:rFonts w:cstheme="minorHAnsi"/>
          <w:color w:val="000000"/>
        </w:rPr>
        <w:t xml:space="preserve"> </w:t>
      </w:r>
      <w:r w:rsidRPr="00262089" w:rsidR="00A22C54">
        <w:rPr>
          <w:rFonts w:cstheme="minorHAnsi"/>
          <w:color w:val="000000"/>
        </w:rPr>
        <w:t xml:space="preserve">from </w:t>
      </w:r>
      <w:r w:rsidRPr="00262089" w:rsidR="00F2277C">
        <w:rPr>
          <w:rFonts w:cstheme="minorHAnsi"/>
          <w:color w:val="000000"/>
        </w:rPr>
        <w:t>the 300 workplaces that were previously assessed.</w:t>
      </w:r>
      <w:r w:rsidRPr="00262089">
        <w:rPr>
          <w:rFonts w:cstheme="minorHAnsi"/>
          <w:color w:val="000000"/>
        </w:rPr>
        <w:t xml:space="preserve"> </w:t>
      </w:r>
    </w:p>
    <w:p w:rsidR="00784A71" w:rsidRPr="00262089" w:rsidP="006906FF" w14:paraId="3196778C" w14:textId="77777777">
      <w:pPr>
        <w:rPr>
          <w:rFonts w:cstheme="minorHAnsi"/>
          <w:color w:val="000000"/>
          <w:u w:val="single"/>
        </w:rPr>
      </w:pPr>
      <w:r w:rsidRPr="00262089">
        <w:rPr>
          <w:rFonts w:cstheme="minorHAnsi"/>
          <w:color w:val="000000"/>
        </w:rPr>
        <w:t>All consultants’ ratings and covariate data gathered at the workplace consultation visit will be entered into a data entry</w:t>
      </w:r>
      <w:r w:rsidRPr="00262089" w:rsidR="00CB4042">
        <w:rPr>
          <w:rFonts w:cstheme="minorHAnsi"/>
          <w:color w:val="000000"/>
        </w:rPr>
        <w:t xml:space="preserve"> tool</w:t>
      </w:r>
      <w:r w:rsidRPr="00262089">
        <w:rPr>
          <w:rFonts w:cstheme="minorHAnsi"/>
          <w:color w:val="000000"/>
        </w:rPr>
        <w:t xml:space="preserve"> </w:t>
      </w:r>
      <w:r w:rsidRPr="00262089" w:rsidR="00666181">
        <w:rPr>
          <w:rFonts w:cstheme="minorHAnsi"/>
          <w:color w:val="000000"/>
        </w:rPr>
        <w:t xml:space="preserve">built from the </w:t>
      </w:r>
      <w:r w:rsidRPr="00262089">
        <w:rPr>
          <w:rFonts w:cstheme="minorHAnsi"/>
          <w:color w:val="000000"/>
        </w:rPr>
        <w:t xml:space="preserve">Qualtrics </w:t>
      </w:r>
      <w:r w:rsidRPr="00262089" w:rsidR="00666181">
        <w:rPr>
          <w:rFonts w:cstheme="minorHAnsi"/>
          <w:color w:val="000000"/>
        </w:rPr>
        <w:t>platform</w:t>
      </w:r>
      <w:r w:rsidRPr="00262089">
        <w:rPr>
          <w:rFonts w:cstheme="minorHAnsi"/>
          <w:color w:val="000000"/>
        </w:rPr>
        <w:t xml:space="preserve">.  The data entry tool will prompt the respondent (consultant) to enter the data associated </w:t>
      </w:r>
      <w:r w:rsidR="00D3489E">
        <w:rPr>
          <w:rFonts w:cstheme="minorHAnsi"/>
          <w:color w:val="000000"/>
        </w:rPr>
        <w:t>with</w:t>
      </w:r>
      <w:r w:rsidRPr="00262089" w:rsidR="00D3489E">
        <w:rPr>
          <w:rFonts w:cstheme="minorHAnsi"/>
          <w:color w:val="000000"/>
        </w:rPr>
        <w:t xml:space="preserve"> </w:t>
      </w:r>
      <w:r w:rsidRPr="00262089">
        <w:rPr>
          <w:rFonts w:cstheme="minorHAnsi"/>
          <w:color w:val="000000"/>
        </w:rPr>
        <w:t xml:space="preserve">each </w:t>
      </w:r>
      <w:r w:rsidRPr="00262089" w:rsidR="002D3C85">
        <w:rPr>
          <w:rFonts w:cstheme="minorHAnsi"/>
          <w:color w:val="000000"/>
        </w:rPr>
        <w:t>attribute</w:t>
      </w:r>
      <w:r w:rsidRPr="00262089">
        <w:rPr>
          <w:rFonts w:cstheme="minorHAnsi"/>
          <w:color w:val="000000"/>
        </w:rPr>
        <w:t xml:space="preserve">.  The tool will offer </w:t>
      </w:r>
      <w:r w:rsidR="00D3489E">
        <w:rPr>
          <w:rFonts w:cstheme="minorHAnsi"/>
          <w:color w:val="000000"/>
        </w:rPr>
        <w:t>real-time</w:t>
      </w:r>
      <w:r w:rsidRPr="00262089">
        <w:rPr>
          <w:rFonts w:cstheme="minorHAnsi"/>
          <w:color w:val="000000"/>
        </w:rPr>
        <w:t xml:space="preserve"> accuracy checks and </w:t>
      </w:r>
      <w:r w:rsidRPr="00262089" w:rsidR="000B7D8D">
        <w:rPr>
          <w:rFonts w:cstheme="minorHAnsi"/>
          <w:color w:val="000000"/>
        </w:rPr>
        <w:t xml:space="preserve">secure </w:t>
      </w:r>
      <w:r w:rsidRPr="00262089">
        <w:rPr>
          <w:rFonts w:cstheme="minorHAnsi"/>
          <w:color w:val="000000"/>
        </w:rPr>
        <w:t xml:space="preserve">cloud-based data storage that can be retrieved from multiple sites immediately after input.  Similarly, it can be programmed to ensure that all </w:t>
      </w:r>
      <w:r w:rsidRPr="00262089" w:rsidR="003A6328">
        <w:rPr>
          <w:rFonts w:cstheme="minorHAnsi"/>
          <w:color w:val="000000"/>
        </w:rPr>
        <w:t xml:space="preserve">applicable attributes </w:t>
      </w:r>
      <w:r w:rsidRPr="00262089">
        <w:rPr>
          <w:rFonts w:cstheme="minorHAnsi"/>
          <w:color w:val="000000"/>
        </w:rPr>
        <w:t>are answered by the respondent.  It will operate with common digital device</w:t>
      </w:r>
      <w:r w:rsidRPr="00262089" w:rsidR="00415056">
        <w:rPr>
          <w:rFonts w:cstheme="minorHAnsi"/>
          <w:color w:val="000000"/>
        </w:rPr>
        <w:t>s</w:t>
      </w:r>
      <w:r w:rsidRPr="00262089">
        <w:rPr>
          <w:rFonts w:cstheme="minorHAnsi"/>
          <w:color w:val="000000"/>
        </w:rPr>
        <w:t xml:space="preserve"> (</w:t>
      </w:r>
      <w:r w:rsidRPr="00262089" w:rsidR="00415056">
        <w:rPr>
          <w:rFonts w:cstheme="minorHAnsi"/>
          <w:color w:val="000000"/>
        </w:rPr>
        <w:t xml:space="preserve">e.g., </w:t>
      </w:r>
      <w:r w:rsidRPr="00262089">
        <w:rPr>
          <w:rFonts w:cstheme="minorHAnsi"/>
          <w:color w:val="000000"/>
        </w:rPr>
        <w:t>tablet, PC) that has internet capability.</w:t>
      </w:r>
    </w:p>
    <w:p w:rsidR="00784A71" w:rsidRPr="00262089" w:rsidP="006906FF" w14:paraId="74750E59" w14:textId="77777777">
      <w:pPr>
        <w:rPr>
          <w:rFonts w:cstheme="minorHAnsi"/>
          <w:b/>
          <w:color w:val="000000"/>
          <w:u w:val="single"/>
        </w:rPr>
      </w:pPr>
      <w:r w:rsidRPr="00262089">
        <w:rPr>
          <w:rFonts w:cstheme="minorHAnsi"/>
          <w:b/>
          <w:color w:val="000000"/>
          <w:u w:val="single"/>
        </w:rPr>
        <w:t>Research Questions for the Pilot Study</w:t>
      </w:r>
    </w:p>
    <w:p w:rsidR="00784A71" w:rsidRPr="00262089" w:rsidP="006906FF" w14:paraId="49B45A07" w14:textId="77777777">
      <w:pPr>
        <w:rPr>
          <w:rFonts w:cstheme="minorHAnsi"/>
          <w:color w:val="000000"/>
        </w:rPr>
      </w:pPr>
      <w:r w:rsidRPr="00262089">
        <w:rPr>
          <w:rFonts w:cstheme="minorHAnsi"/>
          <w:color w:val="000000"/>
        </w:rPr>
        <w:t xml:space="preserve">1. </w:t>
      </w:r>
      <w:r w:rsidRPr="00262089">
        <w:rPr>
          <w:rFonts w:cstheme="minorHAnsi"/>
          <w:b/>
          <w:color w:val="000000"/>
        </w:rPr>
        <w:t>Reliability of DRF33 Scores from the On-</w:t>
      </w:r>
      <w:r w:rsidRPr="00262089" w:rsidR="00CB4042">
        <w:rPr>
          <w:rFonts w:cstheme="minorHAnsi"/>
          <w:b/>
          <w:color w:val="000000"/>
        </w:rPr>
        <w:t>S</w:t>
      </w:r>
      <w:r w:rsidRPr="00262089">
        <w:rPr>
          <w:rFonts w:cstheme="minorHAnsi"/>
          <w:b/>
          <w:color w:val="000000"/>
        </w:rPr>
        <w:t xml:space="preserve">ite Consultation </w:t>
      </w:r>
      <w:r w:rsidR="00B84413">
        <w:rPr>
          <w:rFonts w:cstheme="minorHAnsi"/>
          <w:b/>
          <w:color w:val="000000"/>
        </w:rPr>
        <w:t>p</w:t>
      </w:r>
      <w:r w:rsidRPr="00262089">
        <w:rPr>
          <w:rFonts w:cstheme="minorHAnsi"/>
          <w:b/>
          <w:color w:val="000000"/>
        </w:rPr>
        <w:t>rogram</w:t>
      </w:r>
      <w:r w:rsidR="00B84413">
        <w:rPr>
          <w:rFonts w:cstheme="minorHAnsi"/>
          <w:b/>
          <w:color w:val="000000"/>
        </w:rPr>
        <w:t>s</w:t>
      </w:r>
      <w:r w:rsidRPr="00262089">
        <w:rPr>
          <w:rFonts w:cstheme="minorHAnsi"/>
          <w:color w:val="000000"/>
        </w:rPr>
        <w:t xml:space="preserve">  </w:t>
      </w:r>
    </w:p>
    <w:p w:rsidR="00784A71" w:rsidRPr="00262089" w:rsidP="006906FF" w14:paraId="26EE9563" w14:textId="77777777">
      <w:pPr>
        <w:rPr>
          <w:rFonts w:cstheme="minorHAnsi"/>
          <w:color w:val="000000"/>
        </w:rPr>
      </w:pPr>
      <w:r w:rsidRPr="00262089">
        <w:rPr>
          <w:rFonts w:cstheme="minorHAnsi"/>
          <w:color w:val="000000"/>
        </w:rPr>
        <w:t xml:space="preserve">Reliability is an important feature of any measurement tool used in an evaluation situation.  Moreover, </w:t>
      </w:r>
      <w:r w:rsidR="00C42274">
        <w:rPr>
          <w:rFonts w:cstheme="minorHAnsi"/>
          <w:color w:val="000000"/>
        </w:rPr>
        <w:t xml:space="preserve">one might examine several types of reliability </w:t>
      </w:r>
      <w:r w:rsidRPr="00262089" w:rsidR="00653E6F">
        <w:rPr>
          <w:rFonts w:cstheme="minorHAnsi"/>
          <w:color w:val="000000"/>
        </w:rPr>
        <w:t>(</w:t>
      </w:r>
      <w:r w:rsidRPr="00262089" w:rsidR="007608A2">
        <w:rPr>
          <w:rFonts w:eastAsia="MS Mincho" w:cstheme="minorHAnsi"/>
          <w:noProof/>
        </w:rPr>
        <w:t>Crocker &amp; Algina, 1986; Nunnally &amp; Berstein, 1994</w:t>
      </w:r>
      <w:r w:rsidRPr="00262089" w:rsidR="00653E6F">
        <w:rPr>
          <w:rFonts w:cstheme="minorHAnsi"/>
          <w:color w:val="000000"/>
        </w:rPr>
        <w:t>)</w:t>
      </w:r>
      <w:r w:rsidRPr="00262089">
        <w:rPr>
          <w:rFonts w:cstheme="minorHAnsi"/>
          <w:color w:val="000000"/>
        </w:rPr>
        <w:t xml:space="preserve">.  This study proposes to address two widely recognized types of reliability estimation.  The first is internal consistency estimation which gets at the cohesiveness of item responses underlying a given score.  </w:t>
      </w:r>
      <w:r w:rsidRPr="00262089" w:rsidR="004025F2">
        <w:rPr>
          <w:rFonts w:cstheme="minorHAnsi"/>
          <w:color w:val="000000"/>
        </w:rPr>
        <w:t xml:space="preserve">Ideally, the item responses should covary a substantial amount.   The second type of reliability examined in this study is interrater reliability.  When </w:t>
      </w:r>
      <w:r w:rsidR="00C42274">
        <w:rPr>
          <w:rFonts w:cstheme="minorHAnsi"/>
          <w:color w:val="000000"/>
        </w:rPr>
        <w:t>raters evaluate workplaces</w:t>
      </w:r>
      <w:r w:rsidRPr="00262089" w:rsidR="004025F2">
        <w:rPr>
          <w:rFonts w:cstheme="minorHAnsi"/>
          <w:color w:val="000000"/>
        </w:rPr>
        <w:t xml:space="preserve">, an important assumption is that rater scores covary to a substantial degree.  </w:t>
      </w:r>
      <w:r w:rsidRPr="00262089" w:rsidR="007608A2">
        <w:rPr>
          <w:rFonts w:cstheme="minorHAnsi"/>
          <w:color w:val="000000"/>
        </w:rPr>
        <w:t xml:space="preserve">Interrater reliability estimation indexes the extent to which this occurs.  </w:t>
      </w:r>
      <w:r w:rsidRPr="00262089" w:rsidR="004025F2">
        <w:rPr>
          <w:rFonts w:cstheme="minorHAnsi"/>
          <w:color w:val="000000"/>
        </w:rPr>
        <w:t>These two types of reliability estimation underl</w:t>
      </w:r>
      <w:r w:rsidRPr="00262089" w:rsidR="007A4FCB">
        <w:rPr>
          <w:rFonts w:cstheme="minorHAnsi"/>
          <w:color w:val="000000"/>
        </w:rPr>
        <w:t>ie</w:t>
      </w:r>
      <w:r w:rsidRPr="00262089" w:rsidR="004025F2">
        <w:rPr>
          <w:rFonts w:cstheme="minorHAnsi"/>
          <w:color w:val="000000"/>
        </w:rPr>
        <w:t xml:space="preserve"> the following research questions:</w:t>
      </w:r>
    </w:p>
    <w:p w:rsidR="00784A71" w:rsidRPr="00262089" w:rsidP="006906FF" w14:paraId="29E5BE73" w14:textId="77777777">
      <w:pPr>
        <w:rPr>
          <w:rFonts w:cstheme="minorHAnsi"/>
          <w:color w:val="000000"/>
        </w:rPr>
      </w:pPr>
      <w:r w:rsidRPr="00262089">
        <w:rPr>
          <w:rFonts w:cstheme="minorHAnsi"/>
          <w:color w:val="000000"/>
        </w:rPr>
        <w:t xml:space="preserve">a) What is the internal consistency estimate of reliability </w:t>
      </w:r>
      <w:r w:rsidRPr="00262089" w:rsidR="004025F2">
        <w:rPr>
          <w:rFonts w:cstheme="minorHAnsi"/>
          <w:color w:val="000000"/>
        </w:rPr>
        <w:t xml:space="preserve">for </w:t>
      </w:r>
      <w:r w:rsidRPr="00262089">
        <w:rPr>
          <w:rFonts w:cstheme="minorHAnsi"/>
          <w:color w:val="000000"/>
        </w:rPr>
        <w:t xml:space="preserve">total scores </w:t>
      </w:r>
      <w:r w:rsidRPr="00262089" w:rsidR="004025F2">
        <w:rPr>
          <w:rFonts w:cstheme="minorHAnsi"/>
          <w:color w:val="000000"/>
        </w:rPr>
        <w:t xml:space="preserve">based on the </w:t>
      </w:r>
      <w:r w:rsidRPr="00262089" w:rsidR="003A6328">
        <w:rPr>
          <w:rFonts w:cstheme="minorHAnsi"/>
          <w:color w:val="000000"/>
        </w:rPr>
        <w:t xml:space="preserve">48 </w:t>
      </w:r>
      <w:r w:rsidRPr="00262089" w:rsidR="00C00FBF">
        <w:rPr>
          <w:rFonts w:cstheme="minorHAnsi"/>
          <w:color w:val="000000"/>
        </w:rPr>
        <w:t xml:space="preserve">attributes from </w:t>
      </w:r>
      <w:r w:rsidRPr="00262089" w:rsidR="004025F2">
        <w:rPr>
          <w:rFonts w:cstheme="minorHAnsi"/>
          <w:color w:val="000000"/>
        </w:rPr>
        <w:t xml:space="preserve">the </w:t>
      </w:r>
      <w:r w:rsidRPr="00262089">
        <w:rPr>
          <w:rFonts w:cstheme="minorHAnsi"/>
          <w:color w:val="000000"/>
        </w:rPr>
        <w:t>DRF33?</w:t>
      </w:r>
    </w:p>
    <w:p w:rsidR="004025F2" w:rsidRPr="00262089" w:rsidP="006906FF" w14:paraId="6DC80031" w14:textId="77777777">
      <w:pPr>
        <w:rPr>
          <w:rFonts w:cstheme="minorHAnsi"/>
          <w:color w:val="000000"/>
        </w:rPr>
      </w:pPr>
      <w:r w:rsidRPr="00262089">
        <w:rPr>
          <w:rFonts w:cstheme="minorHAnsi"/>
          <w:color w:val="000000"/>
        </w:rPr>
        <w:t>b) What is the internal consistency estimate of reliability for core element (i.e., subscale) scores for each of the seven core elements?</w:t>
      </w:r>
    </w:p>
    <w:p w:rsidR="00C00FBF" w:rsidRPr="00262089" w:rsidP="006906FF" w14:paraId="2CBC3D68" w14:textId="77777777">
      <w:pPr>
        <w:rPr>
          <w:rFonts w:cstheme="minorHAnsi"/>
          <w:color w:val="000000"/>
        </w:rPr>
      </w:pPr>
      <w:r w:rsidRPr="00262089">
        <w:rPr>
          <w:rFonts w:cstheme="minorHAnsi"/>
          <w:color w:val="000000"/>
        </w:rPr>
        <w:t xml:space="preserve">c) What is the interrater reliability estimate for total scores based on the </w:t>
      </w:r>
      <w:r w:rsidRPr="00262089" w:rsidR="003A6328">
        <w:rPr>
          <w:rFonts w:cstheme="minorHAnsi"/>
          <w:color w:val="000000"/>
        </w:rPr>
        <w:t xml:space="preserve">48 </w:t>
      </w:r>
      <w:r w:rsidRPr="00262089">
        <w:rPr>
          <w:rFonts w:cstheme="minorHAnsi"/>
          <w:color w:val="000000"/>
        </w:rPr>
        <w:t>attributes from the DRF33?</w:t>
      </w:r>
    </w:p>
    <w:p w:rsidR="00C00FBF" w:rsidRPr="00262089" w:rsidP="006906FF" w14:paraId="4C8C7DF2" w14:textId="77777777">
      <w:pPr>
        <w:rPr>
          <w:rFonts w:cstheme="minorHAnsi"/>
          <w:color w:val="000000"/>
        </w:rPr>
      </w:pPr>
      <w:r w:rsidRPr="00262089">
        <w:rPr>
          <w:rFonts w:cstheme="minorHAnsi"/>
          <w:color w:val="000000"/>
        </w:rPr>
        <w:t xml:space="preserve">d) What is the interrater reliability estimate for core element (i.e., subscale) scores </w:t>
      </w:r>
      <w:r w:rsidRPr="00262089" w:rsidR="008A3975">
        <w:rPr>
          <w:rFonts w:cstheme="minorHAnsi"/>
          <w:color w:val="000000"/>
        </w:rPr>
        <w:t>for each of the seven core elements</w:t>
      </w:r>
      <w:r w:rsidRPr="00262089">
        <w:rPr>
          <w:rFonts w:cstheme="minorHAnsi"/>
          <w:color w:val="000000"/>
        </w:rPr>
        <w:t xml:space="preserve">? </w:t>
      </w:r>
    </w:p>
    <w:p w:rsidR="004025F2" w:rsidRPr="00262089" w:rsidP="006906FF" w14:paraId="44C88B79" w14:textId="77777777">
      <w:pPr>
        <w:rPr>
          <w:rFonts w:cstheme="minorHAnsi"/>
          <w:b/>
          <w:color w:val="000000"/>
        </w:rPr>
      </w:pPr>
      <w:r w:rsidRPr="00262089">
        <w:rPr>
          <w:rFonts w:cstheme="minorHAnsi"/>
          <w:color w:val="000000"/>
        </w:rPr>
        <w:t xml:space="preserve">2.  </w:t>
      </w:r>
      <w:r w:rsidRPr="00262089">
        <w:rPr>
          <w:rFonts w:cstheme="minorHAnsi"/>
          <w:b/>
          <w:color w:val="000000"/>
        </w:rPr>
        <w:t>Validity of the DRF33 Scores from the On-</w:t>
      </w:r>
      <w:r w:rsidR="00B84413">
        <w:rPr>
          <w:rFonts w:cstheme="minorHAnsi"/>
          <w:b/>
          <w:color w:val="000000"/>
        </w:rPr>
        <w:t>S</w:t>
      </w:r>
      <w:r w:rsidRPr="00262089">
        <w:rPr>
          <w:rFonts w:cstheme="minorHAnsi"/>
          <w:b/>
          <w:color w:val="000000"/>
        </w:rPr>
        <w:t xml:space="preserve">ite Consultation </w:t>
      </w:r>
      <w:r w:rsidR="00B84413">
        <w:rPr>
          <w:rFonts w:cstheme="minorHAnsi"/>
          <w:b/>
          <w:color w:val="000000"/>
        </w:rPr>
        <w:t>p</w:t>
      </w:r>
      <w:r w:rsidRPr="00262089">
        <w:rPr>
          <w:rFonts w:cstheme="minorHAnsi"/>
          <w:b/>
          <w:color w:val="000000"/>
        </w:rPr>
        <w:t>rogram</w:t>
      </w:r>
      <w:r w:rsidR="00B84413">
        <w:rPr>
          <w:rFonts w:cstheme="minorHAnsi"/>
          <w:b/>
          <w:color w:val="000000"/>
        </w:rPr>
        <w:t>s</w:t>
      </w:r>
    </w:p>
    <w:p w:rsidR="00077345" w:rsidRPr="00262089" w:rsidP="006906FF" w14:paraId="5C9B83A3" w14:textId="77777777">
      <w:pPr>
        <w:rPr>
          <w:rFonts w:cstheme="minorHAnsi"/>
          <w:color w:val="000000"/>
        </w:rPr>
      </w:pPr>
      <w:r w:rsidRPr="00262089">
        <w:rPr>
          <w:rFonts w:cstheme="minorHAnsi"/>
          <w:color w:val="000000"/>
        </w:rPr>
        <w:t>The validity of scores from a measurement instrument is another primary feature that should be demonstrated prior to using those scores in an evaluation context</w:t>
      </w:r>
      <w:r w:rsidRPr="00262089" w:rsidR="00653E6F">
        <w:rPr>
          <w:rFonts w:cstheme="minorHAnsi"/>
          <w:color w:val="000000"/>
        </w:rPr>
        <w:t xml:space="preserve"> </w:t>
      </w:r>
      <w:r w:rsidRPr="00262089" w:rsidR="007608A2">
        <w:rPr>
          <w:rFonts w:cstheme="minorHAnsi"/>
          <w:color w:val="000000"/>
        </w:rPr>
        <w:t>(</w:t>
      </w:r>
      <w:r w:rsidRPr="00262089" w:rsidR="007608A2">
        <w:rPr>
          <w:rFonts w:eastAsia="MS Mincho" w:cstheme="minorHAnsi"/>
          <w:noProof/>
        </w:rPr>
        <w:t>Crocker &amp; Algina, 1986; Nunnally &amp; Berstein, 1994</w:t>
      </w:r>
      <w:r w:rsidRPr="00262089" w:rsidR="007608A2">
        <w:rPr>
          <w:rFonts w:cstheme="minorHAnsi"/>
          <w:color w:val="000000"/>
        </w:rPr>
        <w:t xml:space="preserve">).  </w:t>
      </w:r>
      <w:r w:rsidR="00C42274">
        <w:rPr>
          <w:rFonts w:cstheme="minorHAnsi"/>
          <w:color w:val="000000"/>
        </w:rPr>
        <w:t>Several types of evidence can</w:t>
      </w:r>
      <w:r w:rsidRPr="00262089">
        <w:rPr>
          <w:rFonts w:cstheme="minorHAnsi"/>
          <w:color w:val="000000"/>
        </w:rPr>
        <w:t xml:space="preserve"> be assembled to demonstrate the validity of test scores.  This study will examine three</w:t>
      </w:r>
      <w:r w:rsidRPr="00262089" w:rsidR="00B8526A">
        <w:rPr>
          <w:rFonts w:cstheme="minorHAnsi"/>
          <w:color w:val="000000"/>
        </w:rPr>
        <w:t xml:space="preserve"> types</w:t>
      </w:r>
      <w:r w:rsidRPr="00262089">
        <w:rPr>
          <w:rFonts w:cstheme="minorHAnsi"/>
          <w:color w:val="000000"/>
        </w:rPr>
        <w:t xml:space="preserve">.  </w:t>
      </w:r>
    </w:p>
    <w:p w:rsidR="00077345" w:rsidRPr="00262089" w:rsidP="006906FF" w14:paraId="5515E685" w14:textId="77777777">
      <w:pPr>
        <w:rPr>
          <w:rFonts w:cstheme="minorHAnsi"/>
          <w:color w:val="000000"/>
        </w:rPr>
      </w:pPr>
      <w:r w:rsidRPr="00262089">
        <w:rPr>
          <w:rFonts w:cstheme="minorHAnsi"/>
          <w:color w:val="000000"/>
        </w:rPr>
        <w:t xml:space="preserve">First, </w:t>
      </w:r>
      <w:r w:rsidRPr="00262089" w:rsidR="00B929B5">
        <w:rPr>
          <w:rFonts w:cstheme="minorHAnsi"/>
          <w:color w:val="000000"/>
        </w:rPr>
        <w:t xml:space="preserve">we will acquire evidence on the </w:t>
      </w:r>
      <w:r w:rsidR="00C42274">
        <w:rPr>
          <w:rFonts w:cstheme="minorHAnsi"/>
          <w:color w:val="000000"/>
        </w:rPr>
        <w:t>DRF33's construct validity. Construct validity is a common form of validity evidence for test scores,</w:t>
      </w:r>
      <w:r w:rsidRPr="00262089" w:rsidR="00B929B5">
        <w:rPr>
          <w:rFonts w:cstheme="minorHAnsi"/>
          <w:color w:val="000000"/>
        </w:rPr>
        <w:t xml:space="preserve"> where hypothesized relationships between test scores and other external variables or constructs are examined.  </w:t>
      </w:r>
      <w:r w:rsidRPr="00262089">
        <w:rPr>
          <w:rFonts w:cstheme="minorHAnsi"/>
          <w:color w:val="000000"/>
        </w:rPr>
        <w:t xml:space="preserve"> </w:t>
      </w:r>
    </w:p>
    <w:p w:rsidR="00077345" w:rsidRPr="00262089" w:rsidP="006906FF" w14:paraId="44396225" w14:textId="77777777">
      <w:pPr>
        <w:rPr>
          <w:rFonts w:cstheme="minorHAnsi"/>
          <w:color w:val="000000"/>
        </w:rPr>
      </w:pPr>
      <w:r w:rsidRPr="00262089">
        <w:rPr>
          <w:rFonts w:cstheme="minorHAnsi"/>
          <w:color w:val="000000"/>
        </w:rPr>
        <w:t xml:space="preserve">Second, we intend to examine the correlational structure of </w:t>
      </w:r>
      <w:r w:rsidRPr="00262089" w:rsidR="003A6328">
        <w:rPr>
          <w:rFonts w:cstheme="minorHAnsi"/>
          <w:color w:val="000000"/>
        </w:rPr>
        <w:t>attribute ratings from the</w:t>
      </w:r>
      <w:r w:rsidRPr="00262089" w:rsidR="00B929B5">
        <w:rPr>
          <w:rFonts w:cstheme="minorHAnsi"/>
          <w:color w:val="000000"/>
        </w:rPr>
        <w:t xml:space="preserve"> DRF33 in order</w:t>
      </w:r>
      <w:r w:rsidRPr="00262089">
        <w:rPr>
          <w:rFonts w:cstheme="minorHAnsi"/>
          <w:color w:val="000000"/>
        </w:rPr>
        <w:t xml:space="preserve"> to determine how many latent dimensions are measured by the instrument and what those dimensions might be.  This is </w:t>
      </w:r>
      <w:r w:rsidRPr="00262089" w:rsidR="00B929B5">
        <w:rPr>
          <w:rFonts w:cstheme="minorHAnsi"/>
          <w:color w:val="000000"/>
        </w:rPr>
        <w:t>also a</w:t>
      </w:r>
      <w:r w:rsidRPr="00262089">
        <w:rPr>
          <w:rFonts w:cstheme="minorHAnsi"/>
          <w:color w:val="000000"/>
        </w:rPr>
        <w:t xml:space="preserve"> form of construct validity</w:t>
      </w:r>
      <w:r w:rsidRPr="00262089" w:rsidR="00B929B5">
        <w:rPr>
          <w:rFonts w:cstheme="minorHAnsi"/>
          <w:color w:val="000000"/>
        </w:rPr>
        <w:t>, although it is</w:t>
      </w:r>
      <w:r w:rsidRPr="00262089">
        <w:rPr>
          <w:rFonts w:cstheme="minorHAnsi"/>
          <w:color w:val="000000"/>
        </w:rPr>
        <w:t xml:space="preserve"> internal to the test scores themselves</w:t>
      </w:r>
      <w:r w:rsidRPr="00262089" w:rsidR="005C0B86">
        <w:rPr>
          <w:rFonts w:cstheme="minorHAnsi"/>
          <w:color w:val="000000"/>
        </w:rPr>
        <w:t xml:space="preserve">, and it will be </w:t>
      </w:r>
      <w:r w:rsidRPr="00262089">
        <w:rPr>
          <w:rFonts w:cstheme="minorHAnsi"/>
          <w:color w:val="000000"/>
        </w:rPr>
        <w:t xml:space="preserve">studied with exploratory factor analysis. </w:t>
      </w:r>
      <w:r w:rsidRPr="00262089" w:rsidR="0022691F">
        <w:rPr>
          <w:rFonts w:cstheme="minorHAnsi"/>
          <w:color w:val="000000"/>
        </w:rPr>
        <w:t xml:space="preserve"> </w:t>
      </w:r>
    </w:p>
    <w:p w:rsidR="00077345" w:rsidRPr="00262089" w:rsidP="006906FF" w14:paraId="6876F982" w14:textId="77777777">
      <w:pPr>
        <w:rPr>
          <w:rFonts w:cstheme="minorHAnsi"/>
          <w:color w:val="000000"/>
        </w:rPr>
      </w:pPr>
      <w:r w:rsidRPr="00262089">
        <w:rPr>
          <w:rFonts w:cstheme="minorHAnsi"/>
          <w:color w:val="000000"/>
        </w:rPr>
        <w:t xml:space="preserve">Third, we will </w:t>
      </w:r>
      <w:r w:rsidRPr="00262089" w:rsidR="00C00FBF">
        <w:rPr>
          <w:rFonts w:cstheme="minorHAnsi"/>
          <w:color w:val="000000"/>
        </w:rPr>
        <w:t xml:space="preserve">assess the criterion-related evidence for validity of DFR33 scores.  Criterion-related validity examines the relationships between test scores and external performance criteria which are of fundamental interest to the researcher.  These criteria may represent the </w:t>
      </w:r>
      <w:r w:rsidRPr="00262089" w:rsidR="00DB70BC">
        <w:rPr>
          <w:rFonts w:cstheme="minorHAnsi"/>
          <w:color w:val="000000"/>
        </w:rPr>
        <w:t xml:space="preserve">performance </w:t>
      </w:r>
      <w:r w:rsidRPr="00262089" w:rsidR="00C00FBF">
        <w:rPr>
          <w:rFonts w:cstheme="minorHAnsi"/>
          <w:color w:val="000000"/>
        </w:rPr>
        <w:t xml:space="preserve">status </w:t>
      </w:r>
      <w:r w:rsidR="00FD2201">
        <w:rPr>
          <w:rFonts w:cstheme="minorHAnsi"/>
          <w:color w:val="000000"/>
        </w:rPr>
        <w:t>when the test was administered (concurrent validity) or later</w:t>
      </w:r>
      <w:r w:rsidRPr="00262089" w:rsidR="00DB70BC">
        <w:rPr>
          <w:rFonts w:cstheme="minorHAnsi"/>
          <w:color w:val="000000"/>
        </w:rPr>
        <w:t xml:space="preserve"> (predictive validity)</w:t>
      </w:r>
      <w:r w:rsidRPr="00262089" w:rsidR="00B8526A">
        <w:rPr>
          <w:rFonts w:cstheme="minorHAnsi"/>
          <w:color w:val="000000"/>
        </w:rPr>
        <w:t xml:space="preserve">.  </w:t>
      </w:r>
    </w:p>
    <w:p w:rsidR="00C00FBF" w:rsidRPr="00262089" w:rsidP="006906FF" w14:paraId="374EE8C9" w14:textId="77777777">
      <w:pPr>
        <w:rPr>
          <w:rFonts w:cstheme="minorHAnsi"/>
          <w:color w:val="000000"/>
        </w:rPr>
      </w:pPr>
      <w:r w:rsidRPr="00262089">
        <w:rPr>
          <w:rFonts w:cstheme="minorHAnsi"/>
          <w:color w:val="000000"/>
        </w:rPr>
        <w:t>These different types of validity evidence for</w:t>
      </w:r>
      <w:r w:rsidRPr="00262089" w:rsidR="007608A2">
        <w:rPr>
          <w:rFonts w:cstheme="minorHAnsi"/>
          <w:color w:val="000000"/>
        </w:rPr>
        <w:t>m</w:t>
      </w:r>
      <w:r w:rsidRPr="00262089">
        <w:rPr>
          <w:rFonts w:cstheme="minorHAnsi"/>
          <w:color w:val="000000"/>
        </w:rPr>
        <w:t xml:space="preserve"> the basis of the following research questions</w:t>
      </w:r>
      <w:r w:rsidRPr="00262089" w:rsidR="00077345">
        <w:rPr>
          <w:rFonts w:cstheme="minorHAnsi"/>
          <w:color w:val="000000"/>
        </w:rPr>
        <w:t>:</w:t>
      </w:r>
    </w:p>
    <w:p w:rsidR="00B8526A" w:rsidRPr="00262089" w:rsidP="006906FF" w14:paraId="69454AD2" w14:textId="77777777">
      <w:pPr>
        <w:rPr>
          <w:rFonts w:cstheme="minorHAnsi"/>
          <w:color w:val="000000"/>
        </w:rPr>
      </w:pPr>
      <w:r w:rsidRPr="00262089">
        <w:rPr>
          <w:rFonts w:cstheme="minorHAnsi"/>
          <w:color w:val="000000"/>
        </w:rPr>
        <w:t xml:space="preserve">a) How do the DRF33 total and subscale scores differentiate among workplaces of various sizes and in alternative industries that are common across </w:t>
      </w:r>
      <w:r w:rsidR="00186788">
        <w:rPr>
          <w:rFonts w:cstheme="minorHAnsi"/>
          <w:color w:val="000000"/>
        </w:rPr>
        <w:t>the 10</w:t>
      </w:r>
      <w:r w:rsidRPr="00262089" w:rsidR="00186788">
        <w:rPr>
          <w:rFonts w:cstheme="minorHAnsi"/>
          <w:color w:val="000000"/>
        </w:rPr>
        <w:t xml:space="preserve"> </w:t>
      </w:r>
      <w:r w:rsidRPr="00262089">
        <w:rPr>
          <w:rFonts w:cstheme="minorHAnsi"/>
          <w:color w:val="000000"/>
        </w:rPr>
        <w:t>regions?</w:t>
      </w:r>
    </w:p>
    <w:p w:rsidR="00B8526A" w:rsidRPr="00262089" w:rsidP="006906FF" w14:paraId="22545865" w14:textId="77777777">
      <w:pPr>
        <w:rPr>
          <w:rFonts w:cstheme="minorHAnsi"/>
          <w:color w:val="000000"/>
        </w:rPr>
      </w:pPr>
      <w:r w:rsidRPr="00262089">
        <w:rPr>
          <w:rFonts w:cstheme="minorHAnsi"/>
          <w:color w:val="000000"/>
        </w:rPr>
        <w:t>b) How many latent factors underl</w:t>
      </w:r>
      <w:r w:rsidRPr="00262089" w:rsidR="007A4FCB">
        <w:rPr>
          <w:rFonts w:cstheme="minorHAnsi"/>
          <w:color w:val="000000"/>
        </w:rPr>
        <w:t>ie</w:t>
      </w:r>
      <w:r w:rsidRPr="00262089">
        <w:rPr>
          <w:rFonts w:cstheme="minorHAnsi"/>
          <w:color w:val="000000"/>
        </w:rPr>
        <w:t xml:space="preserve"> the DRF33 responses and what is a reasonable interpretation of these factors?</w:t>
      </w:r>
    </w:p>
    <w:p w:rsidR="00784A71" w:rsidRPr="00262089" w:rsidP="006906FF" w14:paraId="18CFE912" w14:textId="77777777">
      <w:pPr>
        <w:rPr>
          <w:rFonts w:cstheme="minorHAnsi"/>
          <w:color w:val="000000"/>
          <w:u w:val="single"/>
        </w:rPr>
      </w:pPr>
      <w:r w:rsidRPr="00262089">
        <w:rPr>
          <w:rFonts w:cstheme="minorHAnsi"/>
          <w:color w:val="000000"/>
        </w:rPr>
        <w:t xml:space="preserve">c) How do DRF33 total and subscale </w:t>
      </w:r>
      <w:r w:rsidRPr="00262089" w:rsidR="00BC05BE">
        <w:rPr>
          <w:rFonts w:cstheme="minorHAnsi"/>
          <w:color w:val="000000"/>
        </w:rPr>
        <w:t xml:space="preserve">(i.e., core element) </w:t>
      </w:r>
      <w:r w:rsidRPr="00262089">
        <w:rPr>
          <w:rFonts w:cstheme="minorHAnsi"/>
          <w:color w:val="000000"/>
        </w:rPr>
        <w:t xml:space="preserve">scores relate to fundamental safety and health </w:t>
      </w:r>
      <w:r w:rsidRPr="00262089" w:rsidR="0093381F">
        <w:rPr>
          <w:rFonts w:cstheme="minorHAnsi"/>
          <w:color w:val="000000"/>
        </w:rPr>
        <w:t>outcomes</w:t>
      </w:r>
      <w:r w:rsidRPr="00262089">
        <w:rPr>
          <w:rFonts w:cstheme="minorHAnsi"/>
          <w:color w:val="000000"/>
        </w:rPr>
        <w:t xml:space="preserve"> like total recordable case rate (TRC) and </w:t>
      </w:r>
      <w:r w:rsidRPr="00262089" w:rsidR="004522E2">
        <w:rPr>
          <w:rFonts w:cstheme="minorHAnsi"/>
          <w:color w:val="000000"/>
        </w:rPr>
        <w:t>days away, restricted or transferred rate (DART)?</w:t>
      </w:r>
    </w:p>
    <w:p w:rsidR="00F337C2" w:rsidRPr="00262089" w:rsidP="006906FF" w14:paraId="7B2D0ADD" w14:textId="77777777">
      <w:pPr>
        <w:rPr>
          <w:rFonts w:cstheme="minorHAnsi"/>
          <w:b/>
          <w:color w:val="000000"/>
          <w:u w:val="single"/>
        </w:rPr>
      </w:pPr>
      <w:r w:rsidRPr="00262089">
        <w:rPr>
          <w:rFonts w:cstheme="minorHAnsi"/>
          <w:b/>
          <w:color w:val="000000"/>
          <w:u w:val="single"/>
        </w:rPr>
        <w:t>Statistical Analyses</w:t>
      </w:r>
    </w:p>
    <w:p w:rsidR="001F3CBD" w:rsidRPr="00262089" w:rsidP="006906FF" w14:paraId="0A06AA63" w14:textId="77777777">
      <w:pPr>
        <w:rPr>
          <w:rFonts w:cstheme="minorHAnsi"/>
          <w:color w:val="000000"/>
        </w:rPr>
      </w:pPr>
      <w:r w:rsidRPr="00262089">
        <w:rPr>
          <w:rFonts w:cstheme="minorHAnsi"/>
          <w:color w:val="000000"/>
        </w:rPr>
        <w:t>A series of univariate analysis of variance (ANOVA) models will be examined in which DRF33 core element scores</w:t>
      </w:r>
      <w:r w:rsidRPr="00262089" w:rsidR="006072C3">
        <w:rPr>
          <w:rFonts w:cstheme="minorHAnsi"/>
          <w:color w:val="000000"/>
        </w:rPr>
        <w:t xml:space="preserve"> an</w:t>
      </w:r>
      <w:r w:rsidRPr="00262089" w:rsidR="006C633C">
        <w:rPr>
          <w:rFonts w:cstheme="minorHAnsi"/>
          <w:color w:val="000000"/>
        </w:rPr>
        <w:t>d</w:t>
      </w:r>
      <w:r w:rsidRPr="00262089">
        <w:rPr>
          <w:rFonts w:cstheme="minorHAnsi"/>
          <w:color w:val="000000"/>
        </w:rPr>
        <w:t xml:space="preserve"> both total scores serve as a </w:t>
      </w:r>
      <w:r w:rsidRPr="00262089" w:rsidR="006072C3">
        <w:rPr>
          <w:rFonts w:cstheme="minorHAnsi"/>
          <w:color w:val="000000"/>
        </w:rPr>
        <w:t xml:space="preserve">single </w:t>
      </w:r>
      <w:r w:rsidRPr="00262089">
        <w:rPr>
          <w:rFonts w:cstheme="minorHAnsi"/>
          <w:color w:val="000000"/>
        </w:rPr>
        <w:t xml:space="preserve">dependent measure in </w:t>
      </w:r>
      <w:r w:rsidRPr="00262089" w:rsidR="006C633C">
        <w:rPr>
          <w:rFonts w:cstheme="minorHAnsi"/>
          <w:color w:val="000000"/>
        </w:rPr>
        <w:t>nine</w:t>
      </w:r>
      <w:r w:rsidRPr="00262089" w:rsidR="006072C3">
        <w:rPr>
          <w:rFonts w:cstheme="minorHAnsi"/>
          <w:color w:val="000000"/>
        </w:rPr>
        <w:t xml:space="preserve"> </w:t>
      </w:r>
      <w:r w:rsidRPr="00262089">
        <w:rPr>
          <w:rFonts w:cstheme="minorHAnsi"/>
          <w:color w:val="000000"/>
        </w:rPr>
        <w:t xml:space="preserve">successive analyses.  The ANOVA will assess the statistical significance of mean differences on a given dependent measure when exploring the main effects of industry sector, workplace size, and region. This will answer </w:t>
      </w:r>
      <w:r w:rsidRPr="00262089">
        <w:rPr>
          <w:rFonts w:cstheme="minorHAnsi"/>
          <w:color w:val="000000"/>
        </w:rPr>
        <w:t xml:space="preserve">questions such as “Are the differences between means across </w:t>
      </w:r>
      <w:r w:rsidR="00186788">
        <w:rPr>
          <w:rFonts w:cstheme="minorHAnsi"/>
          <w:color w:val="000000"/>
        </w:rPr>
        <w:t>the</w:t>
      </w:r>
      <w:r w:rsidRPr="00262089" w:rsidR="00186788">
        <w:rPr>
          <w:rFonts w:cstheme="minorHAnsi"/>
          <w:color w:val="000000"/>
        </w:rPr>
        <w:t xml:space="preserve"> </w:t>
      </w:r>
      <w:r w:rsidRPr="00262089">
        <w:rPr>
          <w:rFonts w:cstheme="minorHAnsi"/>
          <w:color w:val="000000"/>
        </w:rPr>
        <w:t>regions so large in the context of sampling error that they suggest that nonzero mean differences actually exist in the population?”  Similar questions pertaining to sector and workplace size will be answered.  The two-way interactions for sector x workplace size, sector x region</w:t>
      </w:r>
      <w:r w:rsidR="00050249">
        <w:rPr>
          <w:rFonts w:cstheme="minorHAnsi"/>
          <w:color w:val="000000"/>
        </w:rPr>
        <w:t>,</w:t>
      </w:r>
      <w:r w:rsidRPr="00262089">
        <w:rPr>
          <w:rFonts w:cstheme="minorHAnsi"/>
          <w:color w:val="000000"/>
        </w:rPr>
        <w:t xml:space="preserve"> and workplace size x region will be examined in a similar fashion, as will the three-way interaction involving sector x workplace size x region.  The familywise Type I error rate associated with the test of each of these seven effects in the ANOVA model will be set to the traditional value of 0.05.  When the omnibus test of any effect suggests that population group mean differences exist, then appropriate post hoc tests (e.g., Tukey’s Honestly Significant Difference (1949), Scheffe F-test (1959)) will be conducted as a follow-up testing procedure.  The sample size for these ANOVA models will be limited to N=300.  In other words, the second DRF33 rating performed in 50 of the 300 sampled workplaces will not be used in these analyses (as they would violate the independence of scores assumption).  </w:t>
      </w:r>
    </w:p>
    <w:p w:rsidR="001F3CBD" w:rsidRPr="00262089" w:rsidP="006906FF" w14:paraId="3CC3533C" w14:textId="77777777">
      <w:pPr>
        <w:rPr>
          <w:rFonts w:cstheme="minorHAnsi"/>
          <w:color w:val="000000"/>
        </w:rPr>
      </w:pPr>
      <w:r w:rsidRPr="00262089">
        <w:rPr>
          <w:rFonts w:cstheme="minorHAnsi"/>
          <w:color w:val="000000"/>
        </w:rPr>
        <w:t xml:space="preserve">In addition to the univariate ANOVA models described above, a multivariate ANOVA (MANOVA) model will be performed using scores from each DRF33 core element </w:t>
      </w:r>
      <w:r w:rsidRPr="00262089" w:rsidR="006C633C">
        <w:rPr>
          <w:rFonts w:cstheme="minorHAnsi"/>
          <w:color w:val="000000"/>
        </w:rPr>
        <w:t xml:space="preserve">(other than the multi-employer element) </w:t>
      </w:r>
      <w:r w:rsidRPr="00262089">
        <w:rPr>
          <w:rFonts w:cstheme="minorHAnsi"/>
          <w:color w:val="000000"/>
        </w:rPr>
        <w:t xml:space="preserve">as multiple dependent variables.  </w:t>
      </w:r>
      <w:r w:rsidRPr="00262089" w:rsidR="006C633C">
        <w:rPr>
          <w:rFonts w:cstheme="minorHAnsi"/>
          <w:color w:val="000000"/>
        </w:rPr>
        <w:t>(Only complete cases are allowed in a MANOVA</w:t>
      </w:r>
      <w:r w:rsidR="00734A73">
        <w:rPr>
          <w:rFonts w:cstheme="minorHAnsi"/>
          <w:color w:val="000000"/>
        </w:rPr>
        <w:t>,</w:t>
      </w:r>
      <w:r w:rsidRPr="00262089" w:rsidR="006C633C">
        <w:rPr>
          <w:rFonts w:cstheme="minorHAnsi"/>
          <w:color w:val="000000"/>
        </w:rPr>
        <w:t xml:space="preserve"> and the multi-employer element cannot be evaluated for all workplaces.)  </w:t>
      </w:r>
      <w:r w:rsidRPr="00262089">
        <w:rPr>
          <w:rFonts w:cstheme="minorHAnsi"/>
          <w:color w:val="000000"/>
        </w:rPr>
        <w:t xml:space="preserve">This analysis will offer additional information about the group mean differences for each of the seven effects (i.e., main effects and interactions).  In particular, this analysis will explore which dimension(s) in the space of the dependent variables </w:t>
      </w:r>
      <w:r w:rsidRPr="00262089" w:rsidR="00BC05BE">
        <w:rPr>
          <w:rFonts w:cstheme="minorHAnsi"/>
          <w:color w:val="000000"/>
        </w:rPr>
        <w:t xml:space="preserve">will </w:t>
      </w:r>
      <w:r w:rsidRPr="00262089">
        <w:rPr>
          <w:rFonts w:cstheme="minorHAnsi"/>
          <w:color w:val="000000"/>
        </w:rPr>
        <w:t xml:space="preserve">differentiate groups the most.  For example, linear combinations involving particular core elements may differentiate industry sectors most, whereas linear combinations of other core elements might distinguish workplaces of various sizes most.  </w:t>
      </w:r>
      <w:r w:rsidRPr="00262089" w:rsidR="006072C3">
        <w:rPr>
          <w:rFonts w:cstheme="minorHAnsi"/>
          <w:color w:val="000000"/>
        </w:rPr>
        <w:t xml:space="preserve"> The univariate and multivariate ANOVA models described in this section correspond to Research Question 2a and will provide evidence to support the construct validity of the DRF33.</w:t>
      </w:r>
    </w:p>
    <w:p w:rsidR="001F3CBD" w:rsidRPr="00262089" w:rsidP="006906FF" w14:paraId="2C5CF246" w14:textId="77777777">
      <w:pPr>
        <w:rPr>
          <w:rFonts w:cstheme="minorHAnsi"/>
          <w:b/>
          <w:color w:val="000000"/>
          <w:u w:val="single"/>
        </w:rPr>
      </w:pPr>
      <w:r w:rsidRPr="00262089">
        <w:rPr>
          <w:rFonts w:cstheme="minorHAnsi"/>
          <w:b/>
          <w:color w:val="000000"/>
          <w:u w:val="single"/>
        </w:rPr>
        <w:t>Psychometric Analyses</w:t>
      </w:r>
    </w:p>
    <w:p w:rsidR="005A7D00" w:rsidRPr="00262089" w:rsidP="005A7D00" w14:paraId="04C73A3B" w14:textId="77777777">
      <w:pPr>
        <w:rPr>
          <w:rFonts w:cstheme="minorHAnsi"/>
        </w:rPr>
      </w:pPr>
      <w:r w:rsidRPr="00262089">
        <w:rPr>
          <w:rFonts w:cstheme="minorHAnsi"/>
          <w:color w:val="000000"/>
          <w:u w:val="single"/>
        </w:rPr>
        <w:t xml:space="preserve">Reliability Analyses.  </w:t>
      </w:r>
      <w:r w:rsidRPr="00262089">
        <w:rPr>
          <w:rFonts w:cstheme="minorHAnsi"/>
        </w:rPr>
        <w:t xml:space="preserve">Two types of reliability analysis will be performed.  The first is an analysis of the internal consistency of attribute ratings for a given core element.  This will be performed using Cronbach’s </w:t>
      </w:r>
      <w:r w:rsidRPr="00262089" w:rsidR="006C633C">
        <w:rPr>
          <w:rFonts w:cstheme="minorHAnsi"/>
        </w:rPr>
        <w:t xml:space="preserve">(1951) </w:t>
      </w:r>
      <w:r w:rsidRPr="00262089">
        <w:rPr>
          <w:rFonts w:cstheme="minorHAnsi"/>
        </w:rPr>
        <w:t>alpha coefficient.  Cronbach’s alpha will be calculated separately for the attributes of each core element</w:t>
      </w:r>
      <w:r w:rsidR="00734A73">
        <w:rPr>
          <w:rFonts w:cstheme="minorHAnsi"/>
        </w:rPr>
        <w:t xml:space="preserve"> and,</w:t>
      </w:r>
      <w:r w:rsidRPr="00262089">
        <w:rPr>
          <w:rFonts w:cstheme="minorHAnsi"/>
        </w:rPr>
        <w:t xml:space="preserve"> thus, will yield estimates of reliability for each set of core element scores (i.e., subscales).  If subsequent (factor) analysis suggest that some attributes are better aligned with other core elements, then those attributes will be reassigned accordingly, and the analysis of internal consistency will be repeated using the new attribute subsets.  For each of these two applications of Cronbach’s alpha, attributes that contribute little to the internal consistency of the scale</w:t>
      </w:r>
      <w:r w:rsidR="00734A73">
        <w:rPr>
          <w:rFonts w:cstheme="minorHAnsi"/>
        </w:rPr>
        <w:t xml:space="preserve"> or even decrease it</w:t>
      </w:r>
      <w:r w:rsidRPr="00262089">
        <w:rPr>
          <w:rFonts w:cstheme="minorHAnsi"/>
        </w:rPr>
        <w:t xml:space="preserve"> will be identified as possible candidates for elimination from the DRF33.  </w:t>
      </w:r>
      <w:r w:rsidRPr="00262089" w:rsidR="00C8785A">
        <w:rPr>
          <w:rFonts w:cstheme="minorHAnsi"/>
        </w:rPr>
        <w:t>These internal consistency analyses correspond to Research Questions 1a and 1b and will provide one source of evidence about the reliability of DRF33 scores.</w:t>
      </w:r>
    </w:p>
    <w:p w:rsidR="00D747EE" w:rsidRPr="00262089" w:rsidP="005A7D00" w14:paraId="6A1191E5" w14:textId="77777777">
      <w:pPr>
        <w:rPr>
          <w:rFonts w:cstheme="minorHAnsi"/>
          <w:color w:val="000000"/>
          <w:u w:val="single"/>
        </w:rPr>
      </w:pPr>
      <w:r w:rsidRPr="00262089">
        <w:rPr>
          <w:rFonts w:cstheme="minorHAnsi"/>
        </w:rPr>
        <w:t xml:space="preserve"> The second type of reliability information that will be evaluated is interrater reliability.  Fifty of the 300 workplaces sampled in this study will be visited by two consultants who both fill out the DRF33 independently based on the information available at the worksite.  These 50 pairs of DRF33 scores will be evaluated with respect to both the consistency and the agreement of scores from each pair of consultants.  This assessment will be done separately for each core element as well as the two total </w:t>
      </w:r>
      <w:r w:rsidRPr="00262089">
        <w:rPr>
          <w:rFonts w:cstheme="minorHAnsi"/>
        </w:rPr>
        <w:t>scores.  Investigation of interrater reliability between the 50 pairs of data points will be conducted using intraclass correlation coefficients (Fleiss, 1981; Shrout &amp; Fleiss, 1979), and will be supplemented with Pearson and Spearman correlation coefficients.</w:t>
      </w:r>
      <w:r w:rsidRPr="00262089" w:rsidR="001C24D1">
        <w:rPr>
          <w:rFonts w:cstheme="minorHAnsi"/>
        </w:rPr>
        <w:t xml:space="preserve">  These interrater reliability analyses address Research Questions </w:t>
      </w:r>
      <w:r w:rsidRPr="00262089" w:rsidR="00C06161">
        <w:rPr>
          <w:rFonts w:cstheme="minorHAnsi"/>
        </w:rPr>
        <w:t>1</w:t>
      </w:r>
      <w:r w:rsidRPr="00262089" w:rsidR="001C24D1">
        <w:rPr>
          <w:rFonts w:cstheme="minorHAnsi"/>
        </w:rPr>
        <w:t xml:space="preserve">c and </w:t>
      </w:r>
      <w:r w:rsidRPr="00262089" w:rsidR="00C06161">
        <w:rPr>
          <w:rFonts w:cstheme="minorHAnsi"/>
        </w:rPr>
        <w:t>1</w:t>
      </w:r>
      <w:r w:rsidRPr="00262089" w:rsidR="001C24D1">
        <w:rPr>
          <w:rFonts w:cstheme="minorHAnsi"/>
        </w:rPr>
        <w:t>d.</w:t>
      </w:r>
    </w:p>
    <w:p w:rsidR="0022691F" w:rsidRPr="00262089" w:rsidP="006906FF" w14:paraId="3F16DB54" w14:textId="77777777">
      <w:pPr>
        <w:rPr>
          <w:rFonts w:cstheme="minorHAnsi"/>
          <w:b/>
          <w:color w:val="000000"/>
        </w:rPr>
      </w:pPr>
      <w:r w:rsidRPr="00262089">
        <w:rPr>
          <w:rFonts w:cstheme="minorHAnsi"/>
          <w:b/>
          <w:color w:val="000000"/>
          <w:u w:val="single"/>
        </w:rPr>
        <w:t>Validity Analyses</w:t>
      </w:r>
      <w:r w:rsidRPr="00262089">
        <w:rPr>
          <w:rFonts w:cstheme="minorHAnsi"/>
          <w:b/>
          <w:color w:val="000000"/>
        </w:rPr>
        <w:t xml:space="preserve">  </w:t>
      </w:r>
    </w:p>
    <w:p w:rsidR="001F3CBD" w:rsidRPr="00262089" w:rsidP="006906FF" w14:paraId="6AE8F6E3" w14:textId="77777777">
      <w:pPr>
        <w:rPr>
          <w:rFonts w:cstheme="minorHAnsi"/>
          <w:color w:val="000000"/>
        </w:rPr>
      </w:pPr>
      <w:r w:rsidRPr="00262089">
        <w:rPr>
          <w:rFonts w:cstheme="minorHAnsi"/>
          <w:color w:val="000000"/>
        </w:rPr>
        <w:t xml:space="preserve">Additional evidence supporting the validity of the DRF33 will be obtained from two primary methodological strategies.  The first is through factor analysis techniques.  Factor analysis attempts to explain the common variance among a set of variables by postulating a set of underlying constructs (factors).  In the current context, these constructs are presumably responsible for the attribute ratings on the DRF33, and thus, they can theoretically account for correlations among pairs of attribute ratings.  Factor analysis will be used to identify the number and nature of the underlying constructs required to explain the correlation among those ratings.  Because standard Pearson correlations between discrete (rather than continuous) responses may underestimate true linear relationships and result in spurious factors, polychoric correlations among pairs of attribute ratings will be used in all factor analyses conducted in this study (Gorsuch, 1983; Lee, Poon &amp; Bentler, 1995).  Polychoric correlations, are in essence, estimates of Pearson correlations that would have emerged if the observed discrete responses resulted from categorizing the domain of a normal distribution into successive, discrete intervals (i.e, graded categories like 0, 1, 2, and 3).  </w:t>
      </w:r>
    </w:p>
    <w:p w:rsidR="001F3CBD" w:rsidRPr="00262089" w:rsidP="006906FF" w14:paraId="06544659" w14:textId="77777777">
      <w:pPr>
        <w:rPr>
          <w:rFonts w:cstheme="minorHAnsi"/>
          <w:color w:val="000000"/>
        </w:rPr>
      </w:pPr>
      <w:r w:rsidRPr="00262089">
        <w:rPr>
          <w:rFonts w:cstheme="minorHAnsi"/>
          <w:color w:val="000000"/>
        </w:rPr>
        <w:t>Three factor analysis models will be fit to the DRF33 responses.  The first will be a traditional exploratory factor analysis (EFA) model in which each of the attributes is allowed to correlate with each latent factor estimated in the model.  Specifically, if we presume that each latent factor represents a particular core element (e.g., management leadership, hazard identification</w:t>
      </w:r>
      <w:r w:rsidR="001359C8">
        <w:rPr>
          <w:rFonts w:cstheme="minorHAnsi"/>
          <w:color w:val="000000"/>
        </w:rPr>
        <w:t>, and assessment, etc.),</w:t>
      </w:r>
      <w:r w:rsidRPr="00262089">
        <w:rPr>
          <w:rFonts w:cstheme="minorHAnsi"/>
          <w:color w:val="000000"/>
        </w:rPr>
        <w:t xml:space="preserve"> then each attribute will be allowed to correlate with each underlying core element.  Ideally, a particular attribute would correlate only with the core element that it was designed to measure, but that is an empirical question </w:t>
      </w:r>
      <w:r w:rsidR="001359C8">
        <w:rPr>
          <w:rFonts w:cstheme="minorHAnsi"/>
          <w:color w:val="000000"/>
        </w:rPr>
        <w:t>that</w:t>
      </w:r>
      <w:r w:rsidRPr="00262089" w:rsidR="001359C8">
        <w:rPr>
          <w:rFonts w:cstheme="minorHAnsi"/>
          <w:color w:val="000000"/>
        </w:rPr>
        <w:t xml:space="preserve"> </w:t>
      </w:r>
      <w:r w:rsidRPr="00262089">
        <w:rPr>
          <w:rFonts w:cstheme="minorHAnsi"/>
          <w:color w:val="000000"/>
        </w:rPr>
        <w:t>the analysis will address.  EFA, by definition, produces orthogonal (i.e. linearly independent) factors</w:t>
      </w:r>
      <w:r w:rsidR="00C54194">
        <w:rPr>
          <w:rFonts w:cstheme="minorHAnsi"/>
          <w:color w:val="000000"/>
        </w:rPr>
        <w:t>)</w:t>
      </w:r>
      <w:r w:rsidRPr="00262089">
        <w:rPr>
          <w:rFonts w:cstheme="minorHAnsi"/>
          <w:color w:val="000000"/>
        </w:rPr>
        <w:t>.  However, there is no reason to believe that the constructs underlying each core element are uncorrelated.  For that reason, EFA results will be rotated to allow for correlations among core elements.  This will be accomplished using a Promax rotation (Hendrickson &amp; White, 1964).</w:t>
      </w:r>
    </w:p>
    <w:p w:rsidR="001F3CBD" w:rsidRPr="00262089" w:rsidP="006906FF" w14:paraId="6A1B7CC0" w14:textId="77777777">
      <w:pPr>
        <w:rPr>
          <w:rFonts w:cstheme="minorHAnsi"/>
          <w:color w:val="000000"/>
        </w:rPr>
      </w:pPr>
      <w:r w:rsidRPr="00262089">
        <w:rPr>
          <w:rFonts w:cstheme="minorHAnsi"/>
          <w:color w:val="000000"/>
        </w:rPr>
        <w:t xml:space="preserve">In addition to the EFA, two other confirmatory factor analysis models will be estimated.  The first of these will be a simple structure model (Joreskog, 1966) in which only those attributes designed to measure a given core element will be allowed to correlate with the underlying factor associated with that core element.  However, the underlying factors will be allowed to correlate with each other.  The final factor analysis model to be explored, referred to as a bifactor model (Gibbons &amp; Hedeker, 1992), will allow each DRF33 attribute to correlate with a general factor that could be interpreted a general safety and health program quality factor.  In addition to this correlation with the general factor, each attribute will be allowed to correlate with a second factor that represents that part of the underlying core element unique from the general factor.  Any correlations among attributes from different core elements are assumed to result from the general factor.   </w:t>
      </w:r>
    </w:p>
    <w:p w:rsidR="001F3CBD" w:rsidRPr="00262089" w:rsidP="006906FF" w14:paraId="3B8DC956" w14:textId="77777777">
      <w:pPr>
        <w:rPr>
          <w:rFonts w:cstheme="minorHAnsi"/>
          <w:color w:val="000000"/>
        </w:rPr>
      </w:pPr>
      <w:r w:rsidRPr="00262089">
        <w:rPr>
          <w:rFonts w:cstheme="minorHAnsi"/>
          <w:color w:val="000000"/>
        </w:rPr>
        <w:t xml:space="preserve">The fit of each of these aforementioned factor analysis models will be assessed using a variety of indices along with manual inspection of residuals.  The first fit index that will be calculated is the root mean </w:t>
      </w:r>
      <w:r w:rsidRPr="00262089">
        <w:rPr>
          <w:rFonts w:cstheme="minorHAnsi"/>
          <w:color w:val="000000"/>
        </w:rPr>
        <w:t xml:space="preserve">square error of approximation (RMSEA; Steiger &amp; Lind, 1980).  This index provides both a relative and absolute index of model fit.  Lower values of the RMSEA are preferred.  RMSEA values less than .08 are deemed reasonable whereas those less than .06 are interpreted as good (Hu &amp; Bentler, 1998).  Two information criteria will also be employed to explore relative model fit.  These are Akaike’s (1973) information criterion (AIC) and the Bayesian information criterion (BIC; Schwarz, 1978).  Both indices evaluate misfit of the model with larger values reflecting more misfit.  Additionally, both indices incorporate a penalty for more complicated models.  Models with greater numbers of estimated parameters are penalized more than those with fewer estimated parameters.  The difference in the two criteria is that this penalty for the number of estimated parameters is more severe for the BIC than the AIC.  In this sense, the BIC weights parsimony more than the AIC when used to evaluate alternative models.  </w:t>
      </w:r>
    </w:p>
    <w:p w:rsidR="00BC05BE" w:rsidRPr="00262089" w:rsidP="006906FF" w14:paraId="4971BE2F" w14:textId="77777777">
      <w:pPr>
        <w:rPr>
          <w:rFonts w:cstheme="minorHAnsi"/>
          <w:color w:val="000000"/>
        </w:rPr>
      </w:pPr>
      <w:r w:rsidRPr="00262089">
        <w:rPr>
          <w:rFonts w:cstheme="minorHAnsi"/>
          <w:color w:val="000000"/>
        </w:rPr>
        <w:t xml:space="preserve">The three aforementioned factor analysis models will be </w:t>
      </w:r>
      <w:r w:rsidR="00C54194">
        <w:rPr>
          <w:rFonts w:cstheme="minorHAnsi"/>
          <w:color w:val="000000"/>
        </w:rPr>
        <w:t>repeatedly estimated using alternative data sets</w:t>
      </w:r>
      <w:r w:rsidRPr="00262089">
        <w:rPr>
          <w:rFonts w:cstheme="minorHAnsi"/>
          <w:color w:val="000000"/>
        </w:rPr>
        <w:t>.  First, the data for the 48 attributes that represent core elements other than the multi-employer element will be examined.  These data will be available (without missing values) for all 300 workplaces</w:t>
      </w:r>
      <w:r w:rsidRPr="00262089" w:rsidR="00D06581">
        <w:rPr>
          <w:rFonts w:cstheme="minorHAnsi"/>
          <w:color w:val="000000"/>
        </w:rPr>
        <w:t xml:space="preserve"> </w:t>
      </w:r>
      <w:r w:rsidR="00040436">
        <w:rPr>
          <w:rFonts w:cstheme="minorHAnsi"/>
          <w:color w:val="000000"/>
        </w:rPr>
        <w:t>participating</w:t>
      </w:r>
      <w:r w:rsidRPr="00262089" w:rsidR="00D06581">
        <w:rPr>
          <w:rFonts w:cstheme="minorHAnsi"/>
          <w:color w:val="000000"/>
        </w:rPr>
        <w:t xml:space="preserve"> in the Pilot Study</w:t>
      </w:r>
      <w:r w:rsidRPr="00262089">
        <w:rPr>
          <w:rFonts w:cstheme="minorHAnsi"/>
          <w:color w:val="000000"/>
        </w:rPr>
        <w:t xml:space="preserve">.  Second, the factor analyses described above will be performed again using all 52 DRF33 attributes for only the workplaces </w:t>
      </w:r>
      <w:r w:rsidRPr="00262089" w:rsidR="00D06581">
        <w:rPr>
          <w:rFonts w:cstheme="minorHAnsi"/>
          <w:color w:val="000000"/>
        </w:rPr>
        <w:t>with other types of workers (e.g., temporary, contractual</w:t>
      </w:r>
      <w:r w:rsidR="00C54194">
        <w:rPr>
          <w:rFonts w:cstheme="minorHAnsi"/>
          <w:color w:val="000000"/>
        </w:rPr>
        <w:t>,</w:t>
      </w:r>
      <w:r w:rsidRPr="00262089" w:rsidR="00D06581">
        <w:rPr>
          <w:rFonts w:cstheme="minorHAnsi"/>
          <w:color w:val="000000"/>
        </w:rPr>
        <w:t xml:space="preserve"> and seasonal workers) in addition to the host employer’s workers.  </w:t>
      </w:r>
      <w:r w:rsidRPr="00262089">
        <w:rPr>
          <w:rFonts w:cstheme="minorHAnsi"/>
          <w:color w:val="000000"/>
        </w:rPr>
        <w:t xml:space="preserve">Third, the </w:t>
      </w:r>
      <w:r w:rsidR="00C54194">
        <w:rPr>
          <w:rFonts w:cstheme="minorHAnsi"/>
          <w:color w:val="000000"/>
        </w:rPr>
        <w:t>three-factor</w:t>
      </w:r>
      <w:r w:rsidRPr="00262089">
        <w:rPr>
          <w:rFonts w:cstheme="minorHAnsi"/>
          <w:color w:val="000000"/>
        </w:rPr>
        <w:t xml:space="preserve"> analyses will be repeated again, but this time using a full correlation matrix built from pairwise correlations that only require complete data for elements in the pair of attributes involved in the correlation (rather than all of the attributes).  This will enable us to examine all attributes and all workplaces simultaneously, albeit with a non-Gramian correlation matrix.</w:t>
      </w:r>
    </w:p>
    <w:p w:rsidR="00D747EE" w:rsidRPr="00262089" w:rsidP="006906FF" w14:paraId="2B99F807" w14:textId="77777777">
      <w:pPr>
        <w:rPr>
          <w:rFonts w:cstheme="minorHAnsi"/>
          <w:color w:val="000000"/>
        </w:rPr>
      </w:pPr>
      <w:r w:rsidRPr="00262089">
        <w:rPr>
          <w:rFonts w:cstheme="minorHAnsi"/>
          <w:color w:val="000000"/>
        </w:rPr>
        <w:t xml:space="preserve">Each </w:t>
      </w:r>
      <w:r w:rsidR="008A65B4">
        <w:rPr>
          <w:rFonts w:cstheme="minorHAnsi"/>
          <w:color w:val="000000"/>
        </w:rPr>
        <w:t>factor analysis model</w:t>
      </w:r>
      <w:r w:rsidRPr="00262089">
        <w:rPr>
          <w:rFonts w:cstheme="minorHAnsi"/>
          <w:color w:val="000000"/>
        </w:rPr>
        <w:t xml:space="preserve"> above will help better understand the correlational structure of attribute ratings on the DRF33.  Moreover, when taken together, they will provide substantial information about the internal (construct) validity of the DRF33 as specified in Research Question 2b.</w:t>
      </w:r>
    </w:p>
    <w:p w:rsidR="001F3CBD" w:rsidRPr="00262089" w:rsidP="006906FF" w14:paraId="4CCCEE0C" w14:textId="77777777">
      <w:pPr>
        <w:rPr>
          <w:rFonts w:cstheme="minorHAnsi"/>
          <w:color w:val="000000"/>
        </w:rPr>
      </w:pPr>
      <w:r w:rsidRPr="00262089">
        <w:rPr>
          <w:rFonts w:cstheme="minorHAnsi"/>
          <w:color w:val="000000"/>
        </w:rPr>
        <w:t xml:space="preserve">Evidence for the validity of DRF33 core element scores and total scores will also be developed from correlations between these scores and external </w:t>
      </w:r>
      <w:r w:rsidRPr="00262089" w:rsidR="002C35F4">
        <w:rPr>
          <w:rFonts w:cstheme="minorHAnsi"/>
          <w:color w:val="000000"/>
        </w:rPr>
        <w:t xml:space="preserve">outcome </w:t>
      </w:r>
      <w:r w:rsidRPr="00262089">
        <w:rPr>
          <w:rFonts w:cstheme="minorHAnsi"/>
          <w:color w:val="000000"/>
        </w:rPr>
        <w:t>covariates which should logically covary with the quality of a safety and health program.  Specifically, each DRF33 score will be correlated with both the retrospective and prospective measures of TRC</w:t>
      </w:r>
      <w:r w:rsidRPr="00262089" w:rsidR="000B087B">
        <w:rPr>
          <w:rFonts w:cstheme="minorHAnsi"/>
          <w:color w:val="000000"/>
        </w:rPr>
        <w:t xml:space="preserve"> and</w:t>
      </w:r>
      <w:r w:rsidRPr="00262089">
        <w:rPr>
          <w:rFonts w:cstheme="minorHAnsi"/>
          <w:color w:val="000000"/>
        </w:rPr>
        <w:t xml:space="preserve"> DART using both Pearson and Spearman (rank order) correlation indices.  Additionally, each </w:t>
      </w:r>
      <w:r w:rsidRPr="00262089" w:rsidR="00F768D9">
        <w:rPr>
          <w:rFonts w:cstheme="minorHAnsi"/>
          <w:color w:val="000000"/>
        </w:rPr>
        <w:t xml:space="preserve">of these </w:t>
      </w:r>
      <w:r w:rsidRPr="00262089">
        <w:rPr>
          <w:rFonts w:cstheme="minorHAnsi"/>
          <w:color w:val="000000"/>
        </w:rPr>
        <w:t>covariate</w:t>
      </w:r>
      <w:r w:rsidRPr="00262089" w:rsidR="00F768D9">
        <w:rPr>
          <w:rFonts w:cstheme="minorHAnsi"/>
          <w:color w:val="000000"/>
        </w:rPr>
        <w:t>s</w:t>
      </w:r>
      <w:r w:rsidRPr="00262089">
        <w:rPr>
          <w:rFonts w:cstheme="minorHAnsi"/>
          <w:color w:val="000000"/>
        </w:rPr>
        <w:t xml:space="preserve"> will serve as a dependent measure in a multiple regression model in which all DRF33 core element scores</w:t>
      </w:r>
      <w:r w:rsidRPr="00262089" w:rsidR="00BC05BE">
        <w:rPr>
          <w:rFonts w:cstheme="minorHAnsi"/>
          <w:color w:val="000000"/>
        </w:rPr>
        <w:t xml:space="preserve"> (other than the multi-employer element)</w:t>
      </w:r>
      <w:r w:rsidRPr="00262089">
        <w:rPr>
          <w:rFonts w:cstheme="minorHAnsi"/>
          <w:color w:val="000000"/>
        </w:rPr>
        <w:t xml:space="preserve"> serve as predictors. </w:t>
      </w:r>
      <w:r w:rsidRPr="00262089" w:rsidR="006E5FE0">
        <w:rPr>
          <w:rFonts w:cstheme="minorHAnsi"/>
          <w:color w:val="000000"/>
        </w:rPr>
        <w:t xml:space="preserve">This will reveal the unique contribution of each </w:t>
      </w:r>
      <w:r w:rsidRPr="00262089" w:rsidR="00F768D9">
        <w:rPr>
          <w:rFonts w:cstheme="minorHAnsi"/>
          <w:color w:val="000000"/>
        </w:rPr>
        <w:t xml:space="preserve">DRF33 core element score to the prediction of the respective covariates as opposed to simply the total contribution assessed using simple correlations. </w:t>
      </w:r>
      <w:r w:rsidRPr="00262089">
        <w:rPr>
          <w:rFonts w:cstheme="minorHAnsi"/>
          <w:color w:val="000000"/>
        </w:rPr>
        <w:t xml:space="preserve"> The statistically significant predictors in this model will be identified</w:t>
      </w:r>
      <w:r w:rsidR="00A858E8">
        <w:rPr>
          <w:rFonts w:cstheme="minorHAnsi"/>
          <w:color w:val="000000"/>
        </w:rPr>
        <w:t>,</w:t>
      </w:r>
      <w:r w:rsidRPr="00262089">
        <w:rPr>
          <w:rFonts w:cstheme="minorHAnsi"/>
          <w:color w:val="000000"/>
        </w:rPr>
        <w:t xml:space="preserve"> and the proportion of variance in the dependent varia</w:t>
      </w:r>
      <w:r w:rsidRPr="00262089" w:rsidR="00F768D9">
        <w:rPr>
          <w:rFonts w:cstheme="minorHAnsi"/>
          <w:color w:val="000000"/>
        </w:rPr>
        <w:t>ble</w:t>
      </w:r>
      <w:r w:rsidRPr="00262089">
        <w:rPr>
          <w:rFonts w:cstheme="minorHAnsi"/>
          <w:color w:val="000000"/>
        </w:rPr>
        <w:t xml:space="preserve"> will be quantified.  A multivariate multiple regression (Finn, 1974) will also be performed to determine if there is a dominant dimension underlying the </w:t>
      </w:r>
      <w:r w:rsidRPr="00262089" w:rsidR="00F768D9">
        <w:rPr>
          <w:rFonts w:cstheme="minorHAnsi"/>
          <w:color w:val="000000"/>
        </w:rPr>
        <w:t xml:space="preserve">two </w:t>
      </w:r>
      <w:r w:rsidRPr="00262089">
        <w:rPr>
          <w:rFonts w:cstheme="minorHAnsi"/>
          <w:color w:val="000000"/>
        </w:rPr>
        <w:t xml:space="preserve">covariates that can be explained in a statistically significant fashion by any of the core element scores.  </w:t>
      </w:r>
      <w:r w:rsidRPr="00262089" w:rsidR="002421EA">
        <w:rPr>
          <w:rFonts w:cstheme="minorHAnsi"/>
          <w:color w:val="000000"/>
        </w:rPr>
        <w:t xml:space="preserve">The analyses above will be repeated using only the subset of workplaces </w:t>
      </w:r>
      <w:r w:rsidR="00A858E8">
        <w:rPr>
          <w:rFonts w:cstheme="minorHAnsi"/>
          <w:color w:val="000000"/>
        </w:rPr>
        <w:t>with</w:t>
      </w:r>
      <w:r w:rsidRPr="00262089" w:rsidR="002421EA">
        <w:rPr>
          <w:rFonts w:cstheme="minorHAnsi"/>
          <w:color w:val="000000"/>
        </w:rPr>
        <w:t xml:space="preserve"> ratings for all DRF33 attributes</w:t>
      </w:r>
      <w:r w:rsidR="008A65B4">
        <w:rPr>
          <w:rFonts w:cstheme="minorHAnsi"/>
          <w:color w:val="000000"/>
        </w:rPr>
        <w:t>,</w:t>
      </w:r>
      <w:r w:rsidRPr="00262089" w:rsidR="002421EA">
        <w:rPr>
          <w:rFonts w:cstheme="minorHAnsi"/>
          <w:color w:val="000000"/>
        </w:rPr>
        <w:t xml:space="preserve"> including those for multi-employer workplaces.  </w:t>
      </w:r>
      <w:r w:rsidRPr="00262089" w:rsidR="00754F07">
        <w:rPr>
          <w:rFonts w:cstheme="minorHAnsi"/>
          <w:color w:val="000000"/>
        </w:rPr>
        <w:t>The univariate and multivariate multiple regressions correspond to Research Question 2c and provide evidence pertaining to criterion-related validity.</w:t>
      </w:r>
    </w:p>
    <w:p w:rsidR="001F3CBD" w:rsidRPr="00262089" w:rsidP="006906FF" w14:paraId="6CD52377" w14:textId="77777777">
      <w:pPr>
        <w:rPr>
          <w:rFonts w:cstheme="minorHAnsi"/>
          <w:b/>
          <w:color w:val="000000"/>
          <w:u w:val="single"/>
        </w:rPr>
      </w:pPr>
      <w:r w:rsidRPr="00262089">
        <w:rPr>
          <w:rFonts w:cstheme="minorHAnsi"/>
          <w:b/>
          <w:color w:val="000000"/>
          <w:u w:val="single"/>
        </w:rPr>
        <w:t>Data Analysis Software</w:t>
      </w:r>
    </w:p>
    <w:p w:rsidR="00C6214C" w:rsidRPr="00262089" w:rsidP="006906FF" w14:paraId="47BE75A8" w14:textId="77777777">
      <w:pPr>
        <w:rPr>
          <w:rFonts w:cstheme="minorHAnsi"/>
          <w:color w:val="000000"/>
        </w:rPr>
      </w:pPr>
      <w:r w:rsidRPr="00262089">
        <w:rPr>
          <w:rFonts w:cstheme="minorHAnsi"/>
          <w:color w:val="000000"/>
        </w:rPr>
        <w:t xml:space="preserve">The analyses described above will be accomplished primarily with two types of software.  The factor analysis models and model comparisons based on polychoric correlations of attribute ratings will be performed with the EQS 6.3 computer program.  </w:t>
      </w:r>
      <w:r w:rsidR="00754E22">
        <w:rPr>
          <w:rFonts w:cstheme="minorHAnsi"/>
          <w:color w:val="000000"/>
        </w:rPr>
        <w:t>The SAS system will perform other correlation analyses, regression analyses, and ANOVAs</w:t>
      </w:r>
      <w:r w:rsidRPr="00262089">
        <w:rPr>
          <w:rFonts w:cstheme="minorHAnsi"/>
          <w:color w:val="000000"/>
        </w:rPr>
        <w:t>.</w:t>
      </w:r>
    </w:p>
    <w:p w:rsidR="00795B58" w:rsidRPr="00262089" w:rsidP="0005194C" w14:paraId="70B47762" w14:textId="77777777">
      <w:pPr>
        <w:rPr>
          <w:rFonts w:cstheme="minorHAnsi"/>
          <w:b/>
          <w:color w:val="000000"/>
          <w:u w:val="single"/>
        </w:rPr>
      </w:pPr>
    </w:p>
    <w:p w:rsidR="00C6214C" w:rsidRPr="00262089" w:rsidP="00C6214C" w14:paraId="5654E422" w14:textId="77777777">
      <w:pPr>
        <w:rPr>
          <w:rFonts w:cstheme="minorHAnsi"/>
        </w:rPr>
      </w:pPr>
      <w:r w:rsidRPr="00262089">
        <w:rPr>
          <w:rFonts w:cstheme="minorHAnsi"/>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262089">
        <w:rPr>
          <w:rFonts w:cstheme="minorHAnsi"/>
        </w:rPr>
        <w:t>.</w:t>
      </w:r>
    </w:p>
    <w:p w:rsidR="00825623" w:rsidRPr="00262089" w:rsidP="00825623" w14:paraId="11C0DE2C" w14:textId="77777777">
      <w:pPr>
        <w:rPr>
          <w:rFonts w:cstheme="minorHAnsi"/>
        </w:rPr>
      </w:pPr>
      <w:r w:rsidRPr="00262089">
        <w:rPr>
          <w:rFonts w:cstheme="minorHAnsi"/>
        </w:rPr>
        <w:t xml:space="preserve">The Consultation Annual Program Plan (CAPP) included in the annual Cooperative Agreement between OSHA and </w:t>
      </w:r>
      <w:r w:rsidRPr="00262089" w:rsidR="0035269F">
        <w:rPr>
          <w:rFonts w:cstheme="minorHAnsi"/>
        </w:rPr>
        <w:t xml:space="preserve">each </w:t>
      </w:r>
      <w:r w:rsidRPr="00262089" w:rsidR="00DB6B6F">
        <w:rPr>
          <w:rFonts w:cstheme="minorHAnsi"/>
        </w:rPr>
        <w:t>s</w:t>
      </w:r>
      <w:r w:rsidRPr="00262089">
        <w:rPr>
          <w:rFonts w:cstheme="minorHAnsi"/>
        </w:rPr>
        <w:t>ta</w:t>
      </w:r>
      <w:r w:rsidRPr="00262089" w:rsidR="0035269F">
        <w:rPr>
          <w:rFonts w:cstheme="minorHAnsi"/>
        </w:rPr>
        <w:t>te On-Site Consultation program</w:t>
      </w:r>
      <w:r w:rsidRPr="00262089">
        <w:rPr>
          <w:rFonts w:cstheme="minorHAnsi"/>
        </w:rPr>
        <w:t>, must contain the projected number</w:t>
      </w:r>
      <w:r w:rsidRPr="00262089" w:rsidR="00DD0FD2">
        <w:rPr>
          <w:rFonts w:cstheme="minorHAnsi"/>
        </w:rPr>
        <w:t xml:space="preserve"> of consultation visits that a</w:t>
      </w:r>
      <w:r w:rsidRPr="00262089">
        <w:rPr>
          <w:rFonts w:cstheme="minorHAnsi"/>
        </w:rPr>
        <w:t xml:space="preserve"> Consultation program intends to conduct during</w:t>
      </w:r>
      <w:r w:rsidRPr="00262089" w:rsidR="00DD0FD2">
        <w:rPr>
          <w:rFonts w:cstheme="minorHAnsi"/>
        </w:rPr>
        <w:t xml:space="preserve"> the </w:t>
      </w:r>
      <w:r w:rsidRPr="00262089" w:rsidR="0035269F">
        <w:rPr>
          <w:rFonts w:cstheme="minorHAnsi"/>
        </w:rPr>
        <w:t>fiscal year (FY)</w:t>
      </w:r>
      <w:r w:rsidRPr="00262089">
        <w:rPr>
          <w:rFonts w:cstheme="minorHAnsi"/>
        </w:rPr>
        <w:t xml:space="preserve">. </w:t>
      </w:r>
    </w:p>
    <w:p w:rsidR="00825623" w:rsidRPr="00262089" w:rsidP="00825623" w14:paraId="2F17EE17" w14:textId="77777777">
      <w:pPr>
        <w:rPr>
          <w:rFonts w:cstheme="minorHAnsi"/>
        </w:rPr>
      </w:pPr>
      <w:r w:rsidRPr="00262089">
        <w:rPr>
          <w:rFonts w:cstheme="minorHAnsi"/>
        </w:rPr>
        <w:t>All consultation visits conducted for the Pilot Study will count towards meeting the number of consultation visits projected for the</w:t>
      </w:r>
      <w:r w:rsidRPr="00262089" w:rsidR="0035269F">
        <w:rPr>
          <w:rFonts w:cstheme="minorHAnsi"/>
        </w:rPr>
        <w:t xml:space="preserve"> FY</w:t>
      </w:r>
      <w:r w:rsidRPr="00262089">
        <w:rPr>
          <w:rFonts w:cstheme="minorHAnsi"/>
        </w:rPr>
        <w:t>, in a</w:t>
      </w:r>
      <w:r w:rsidRPr="00262089" w:rsidR="00DB6B6F">
        <w:rPr>
          <w:rFonts w:cstheme="minorHAnsi"/>
        </w:rPr>
        <w:t xml:space="preserve"> s</w:t>
      </w:r>
      <w:r w:rsidRPr="00262089">
        <w:rPr>
          <w:rFonts w:cstheme="minorHAnsi"/>
        </w:rPr>
        <w:t xml:space="preserve">tate On-Site Consultation program’s Cooperative Agreement with OSHA.  </w:t>
      </w:r>
    </w:p>
    <w:p w:rsidR="00793BAA" w:rsidRPr="00262089" w:rsidP="006906FF" w14:paraId="4415B35C" w14:textId="77777777">
      <w:pPr>
        <w:rPr>
          <w:rFonts w:cstheme="minorHAnsi"/>
        </w:rPr>
      </w:pPr>
      <w:r w:rsidRPr="00262089">
        <w:rPr>
          <w:rFonts w:cstheme="minorHAnsi"/>
        </w:rPr>
        <w:t>In FY 2018, Consultation programs conducted a tota</w:t>
      </w:r>
      <w:r w:rsidRPr="00262089" w:rsidR="0035269F">
        <w:rPr>
          <w:rFonts w:cstheme="minorHAnsi"/>
        </w:rPr>
        <w:t>l of 26,362 consultation visits;</w:t>
      </w:r>
      <w:r w:rsidRPr="00262089">
        <w:rPr>
          <w:rFonts w:cstheme="minorHAnsi"/>
        </w:rPr>
        <w:t xml:space="preserve"> in </w:t>
      </w:r>
      <w:r w:rsidRPr="00262089" w:rsidR="0035269F">
        <w:rPr>
          <w:rFonts w:cstheme="minorHAnsi"/>
        </w:rPr>
        <w:t xml:space="preserve">FY </w:t>
      </w:r>
      <w:r w:rsidRPr="00262089">
        <w:rPr>
          <w:rFonts w:cstheme="minorHAnsi"/>
        </w:rPr>
        <w:t>2019</w:t>
      </w:r>
      <w:r w:rsidRPr="00262089" w:rsidR="00EA0D16">
        <w:rPr>
          <w:rFonts w:cstheme="minorHAnsi"/>
        </w:rPr>
        <w:t>,</w:t>
      </w:r>
      <w:r w:rsidRPr="00262089">
        <w:rPr>
          <w:rFonts w:cstheme="minorHAnsi"/>
        </w:rPr>
        <w:t xml:space="preserve"> 26,213 con</w:t>
      </w:r>
      <w:r w:rsidRPr="00262089" w:rsidR="0035269F">
        <w:rPr>
          <w:rFonts w:cstheme="minorHAnsi"/>
        </w:rPr>
        <w:t>sultation visits were conducted;</w:t>
      </w:r>
      <w:r w:rsidRPr="00262089">
        <w:rPr>
          <w:rFonts w:cstheme="minorHAnsi"/>
        </w:rPr>
        <w:t xml:space="preserve"> and </w:t>
      </w:r>
      <w:r w:rsidRPr="00262089" w:rsidR="0035269F">
        <w:rPr>
          <w:rFonts w:cstheme="minorHAnsi"/>
        </w:rPr>
        <w:t xml:space="preserve">in FY 2020, </w:t>
      </w:r>
      <w:r w:rsidRPr="00262089">
        <w:rPr>
          <w:rFonts w:cstheme="minorHAnsi"/>
        </w:rPr>
        <w:t xml:space="preserve">17,663 consultation visits </w:t>
      </w:r>
      <w:r w:rsidRPr="00262089" w:rsidR="0035269F">
        <w:rPr>
          <w:rFonts w:cstheme="minorHAnsi"/>
        </w:rPr>
        <w:t>were conducted</w:t>
      </w:r>
      <w:r w:rsidRPr="00262089" w:rsidR="00894224">
        <w:rPr>
          <w:rFonts w:cstheme="minorHAnsi"/>
        </w:rPr>
        <w:t xml:space="preserve">.  </w:t>
      </w:r>
      <w:r w:rsidRPr="00262089">
        <w:rPr>
          <w:rFonts w:cstheme="minorHAnsi"/>
        </w:rPr>
        <w:t xml:space="preserve"> </w:t>
      </w:r>
      <w:r w:rsidRPr="00262089" w:rsidR="00894224">
        <w:rPr>
          <w:rFonts w:cstheme="minorHAnsi"/>
        </w:rPr>
        <w:t>Consequently</w:t>
      </w:r>
      <w:r w:rsidRPr="00262089">
        <w:rPr>
          <w:rFonts w:cstheme="minorHAnsi"/>
        </w:rPr>
        <w:t xml:space="preserve">, </w:t>
      </w:r>
      <w:r w:rsidRPr="00262089" w:rsidR="00EA0D16">
        <w:rPr>
          <w:rFonts w:cstheme="minorHAnsi"/>
        </w:rPr>
        <w:t xml:space="preserve">OSHA is confident about </w:t>
      </w:r>
      <w:r w:rsidRPr="00262089">
        <w:rPr>
          <w:rFonts w:cstheme="minorHAnsi"/>
        </w:rPr>
        <w:t xml:space="preserve">the feasibility of conducting </w:t>
      </w:r>
      <w:r w:rsidRPr="00262089" w:rsidR="00EA0D16">
        <w:rPr>
          <w:rFonts w:cstheme="minorHAnsi"/>
        </w:rPr>
        <w:t>a</w:t>
      </w:r>
      <w:r w:rsidRPr="00262089" w:rsidR="00DD015C">
        <w:rPr>
          <w:rFonts w:cstheme="minorHAnsi"/>
        </w:rPr>
        <w:t xml:space="preserve"> </w:t>
      </w:r>
      <w:r w:rsidRPr="00262089" w:rsidR="003670AB">
        <w:rPr>
          <w:rFonts w:cstheme="minorHAnsi"/>
        </w:rPr>
        <w:t xml:space="preserve">total of </w:t>
      </w:r>
      <w:r w:rsidRPr="00262089" w:rsidR="0022691F">
        <w:rPr>
          <w:rFonts w:cstheme="minorHAnsi"/>
        </w:rPr>
        <w:t xml:space="preserve">350 </w:t>
      </w:r>
      <w:r w:rsidRPr="00262089">
        <w:rPr>
          <w:rFonts w:cstheme="minorHAnsi"/>
        </w:rPr>
        <w:t>consultation visits</w:t>
      </w:r>
      <w:r w:rsidRPr="00262089" w:rsidR="00C06161">
        <w:rPr>
          <w:rFonts w:cstheme="minorHAnsi"/>
        </w:rPr>
        <w:t xml:space="preserve"> (i.e., 100% response rate is expected)</w:t>
      </w:r>
      <w:r w:rsidRPr="00262089" w:rsidR="00EA0D16">
        <w:rPr>
          <w:rFonts w:cstheme="minorHAnsi"/>
        </w:rPr>
        <w:t>,</w:t>
      </w:r>
      <w:r w:rsidRPr="00262089">
        <w:rPr>
          <w:rFonts w:cstheme="minorHAnsi"/>
        </w:rPr>
        <w:t xml:space="preserve"> </w:t>
      </w:r>
      <w:r w:rsidRPr="00262089" w:rsidR="003670AB">
        <w:rPr>
          <w:rFonts w:cstheme="minorHAnsi"/>
        </w:rPr>
        <w:t xml:space="preserve">projected </w:t>
      </w:r>
      <w:r w:rsidRPr="00262089">
        <w:rPr>
          <w:rFonts w:cstheme="minorHAnsi"/>
        </w:rPr>
        <w:t xml:space="preserve">for </w:t>
      </w:r>
      <w:r w:rsidRPr="00262089" w:rsidR="0022691F">
        <w:rPr>
          <w:rFonts w:cstheme="minorHAnsi"/>
        </w:rPr>
        <w:t>the pre-test, Pilot Study, and follow-up study</w:t>
      </w:r>
      <w:r w:rsidRPr="00262089">
        <w:rPr>
          <w:rFonts w:cstheme="minorHAnsi"/>
        </w:rPr>
        <w:t>;</w:t>
      </w:r>
      <w:r w:rsidRPr="00262089" w:rsidR="00894224">
        <w:rPr>
          <w:rFonts w:cstheme="minorHAnsi"/>
        </w:rPr>
        <w:t xml:space="preserve"> with Consultation programs applying marketing </w:t>
      </w:r>
      <w:r w:rsidRPr="00262089">
        <w:rPr>
          <w:rFonts w:cstheme="minorHAnsi"/>
        </w:rPr>
        <w:t xml:space="preserve">strategies </w:t>
      </w:r>
      <w:r w:rsidRPr="00262089" w:rsidR="00894224">
        <w:rPr>
          <w:rFonts w:cstheme="minorHAnsi"/>
        </w:rPr>
        <w:t>to inform small</w:t>
      </w:r>
      <w:r w:rsidRPr="00262089" w:rsidR="00825C00">
        <w:rPr>
          <w:rFonts w:cstheme="minorHAnsi"/>
        </w:rPr>
        <w:t>-</w:t>
      </w:r>
      <w:r w:rsidRPr="00262089" w:rsidR="00894224">
        <w:rPr>
          <w:rFonts w:cstheme="minorHAnsi"/>
        </w:rPr>
        <w:t xml:space="preserve"> and medium-sized employers </w:t>
      </w:r>
      <w:r w:rsidRPr="00262089" w:rsidR="00654F00">
        <w:rPr>
          <w:rFonts w:cstheme="minorHAnsi"/>
        </w:rPr>
        <w:t xml:space="preserve">in the five (5) industry sectors targeted for these studies, </w:t>
      </w:r>
      <w:r w:rsidRPr="00262089" w:rsidR="00894224">
        <w:rPr>
          <w:rFonts w:cstheme="minorHAnsi"/>
        </w:rPr>
        <w:t xml:space="preserve">of consultation services available at no cost to them.  </w:t>
      </w:r>
    </w:p>
    <w:p w:rsidR="00677A30" w:rsidRPr="00262089" w:rsidP="006906FF" w14:paraId="0F8EA372" w14:textId="77777777">
      <w:pPr>
        <w:rPr>
          <w:rFonts w:cstheme="minorHAnsi"/>
        </w:rPr>
      </w:pPr>
      <w:r w:rsidRPr="00262089">
        <w:rPr>
          <w:rFonts w:cstheme="minorHAnsi"/>
        </w:rPr>
        <w:t xml:space="preserve">Marketing </w:t>
      </w:r>
      <w:r w:rsidRPr="00262089" w:rsidR="00793BAA">
        <w:rPr>
          <w:rFonts w:cstheme="minorHAnsi"/>
        </w:rPr>
        <w:t xml:space="preserve">strategies </w:t>
      </w:r>
      <w:r w:rsidRPr="00262089" w:rsidR="00654F00">
        <w:rPr>
          <w:rFonts w:cstheme="minorHAnsi"/>
        </w:rPr>
        <w:t xml:space="preserve">are </w:t>
      </w:r>
      <w:r w:rsidRPr="00262089" w:rsidR="00793BAA">
        <w:rPr>
          <w:rFonts w:cstheme="minorHAnsi"/>
        </w:rPr>
        <w:t xml:space="preserve">routinely utilized by </w:t>
      </w:r>
      <w:r w:rsidRPr="00262089" w:rsidR="0022691F">
        <w:rPr>
          <w:rFonts w:cstheme="minorHAnsi"/>
        </w:rPr>
        <w:t>s</w:t>
      </w:r>
      <w:r w:rsidRPr="00262089" w:rsidR="00654F00">
        <w:rPr>
          <w:rFonts w:cstheme="minorHAnsi"/>
        </w:rPr>
        <w:t xml:space="preserve">tate </w:t>
      </w:r>
      <w:r w:rsidRPr="00262089" w:rsidR="005F21A6">
        <w:rPr>
          <w:rFonts w:cstheme="minorHAnsi"/>
        </w:rPr>
        <w:t>On-Site Consultation programs</w:t>
      </w:r>
      <w:r w:rsidRPr="00262089" w:rsidR="00654F00">
        <w:rPr>
          <w:rFonts w:cstheme="minorHAnsi"/>
        </w:rPr>
        <w:t xml:space="preserve"> and fully funded under the Cooperative Agreement with OSHA.  These strategies</w:t>
      </w:r>
      <w:r w:rsidRPr="00262089">
        <w:rPr>
          <w:rFonts w:cstheme="minorHAnsi"/>
        </w:rPr>
        <w:t xml:space="preserve"> include</w:t>
      </w:r>
      <w:r w:rsidRPr="00262089" w:rsidR="005F21A6">
        <w:rPr>
          <w:rFonts w:cstheme="minorHAnsi"/>
        </w:rPr>
        <w:t xml:space="preserve"> dissemination of Consultation program newsletters</w:t>
      </w:r>
      <w:r w:rsidRPr="00262089" w:rsidR="00654F00">
        <w:rPr>
          <w:rFonts w:cstheme="minorHAnsi"/>
        </w:rPr>
        <w:t xml:space="preserve"> to businesses wi</w:t>
      </w:r>
      <w:r w:rsidRPr="00262089" w:rsidR="00DD0FD2">
        <w:rPr>
          <w:rFonts w:cstheme="minorHAnsi"/>
        </w:rPr>
        <w:t>thin the state;</w:t>
      </w:r>
      <w:r w:rsidRPr="00262089" w:rsidR="005F21A6">
        <w:rPr>
          <w:rFonts w:cstheme="minorHAnsi"/>
        </w:rPr>
        <w:t xml:space="preserve"> </w:t>
      </w:r>
      <w:r w:rsidRPr="00262089" w:rsidR="00DD0FD2">
        <w:rPr>
          <w:rFonts w:cstheme="minorHAnsi"/>
        </w:rPr>
        <w:t xml:space="preserve">presentations at safety and health meetings; </w:t>
      </w:r>
      <w:r w:rsidRPr="00262089" w:rsidR="005F21A6">
        <w:rPr>
          <w:rFonts w:cstheme="minorHAnsi"/>
        </w:rPr>
        <w:t>and promotion of consultation services on Consultation programs web pages, state social media platforms, and by state agencies such as Workers Compensation Offices.</w:t>
      </w:r>
      <w:r w:rsidRPr="00262089" w:rsidR="00654F00">
        <w:rPr>
          <w:rFonts w:cstheme="minorHAnsi"/>
        </w:rPr>
        <w:t xml:space="preserve">  Some states also offer incentives such as workers compensation discounts to employers who use consultation services.</w:t>
      </w:r>
    </w:p>
    <w:p w:rsidR="005E36BB" w:rsidRPr="00262089" w:rsidP="006906FF" w14:paraId="6E2109C7" w14:textId="77777777">
      <w:pPr>
        <w:rPr>
          <w:rFonts w:cstheme="minorHAnsi"/>
        </w:rPr>
      </w:pPr>
      <w:r w:rsidRPr="00262089">
        <w:rPr>
          <w:rFonts w:cstheme="minorHAnsi"/>
          <w:u w:val="single"/>
        </w:rPr>
        <w:t>It is important to emphasize that consultants must evaluate every workplace assessed in these studies with regard to all of the 48 DRF33 attributes, which do not explicitly pertain to the multi-employer core element.</w:t>
      </w:r>
      <w:r w:rsidRPr="00262089" w:rsidR="00A35E64">
        <w:rPr>
          <w:rFonts w:cstheme="minorHAnsi"/>
          <w:u w:val="single"/>
        </w:rPr>
        <w:t xml:space="preserve">  Also</w:t>
      </w:r>
      <w:r w:rsidRPr="00262089">
        <w:rPr>
          <w:rFonts w:cstheme="minorHAnsi"/>
          <w:u w:val="single"/>
        </w:rPr>
        <w:t xml:space="preserve">, the four multi-employer attributes must be rated at every workplace </w:t>
      </w:r>
      <w:r w:rsidRPr="00262089" w:rsidR="00A35E64">
        <w:rPr>
          <w:rFonts w:cstheme="minorHAnsi"/>
          <w:u w:val="single"/>
        </w:rPr>
        <w:t>with other</w:t>
      </w:r>
      <w:r w:rsidRPr="00262089">
        <w:rPr>
          <w:rFonts w:cstheme="minorHAnsi"/>
          <w:u w:val="single"/>
        </w:rPr>
        <w:t xml:space="preserve"> workers</w:t>
      </w:r>
      <w:r w:rsidRPr="00262089" w:rsidR="00A35E64">
        <w:rPr>
          <w:rFonts w:cstheme="minorHAnsi"/>
          <w:u w:val="single"/>
        </w:rPr>
        <w:t xml:space="preserve"> (e.g., temporary, seasonal, and contractual workers) in addition to </w:t>
      </w:r>
      <w:r w:rsidRPr="00262089">
        <w:rPr>
          <w:rFonts w:cstheme="minorHAnsi"/>
          <w:u w:val="single"/>
        </w:rPr>
        <w:t>the host employer’s workers.</w:t>
      </w:r>
      <w:r w:rsidRPr="00262089">
        <w:rPr>
          <w:rFonts w:cstheme="minorHAnsi"/>
        </w:rPr>
        <w:t xml:space="preserve">  </w:t>
      </w:r>
      <w:r w:rsidRPr="00262089" w:rsidR="0005194C">
        <w:rPr>
          <w:rFonts w:cstheme="minorHAnsi"/>
        </w:rPr>
        <w:t>P</w:t>
      </w:r>
      <w:r w:rsidRPr="00262089" w:rsidR="00056002">
        <w:rPr>
          <w:rFonts w:cstheme="minorHAnsi"/>
        </w:rPr>
        <w:t xml:space="preserve">revious research </w:t>
      </w:r>
      <w:r w:rsidRPr="00262089" w:rsidR="000B7D8D">
        <w:rPr>
          <w:rFonts w:cstheme="minorHAnsi"/>
        </w:rPr>
        <w:t xml:space="preserve">using </w:t>
      </w:r>
      <w:r w:rsidRPr="00262089">
        <w:rPr>
          <w:rFonts w:cstheme="minorHAnsi"/>
        </w:rPr>
        <w:t xml:space="preserve">the </w:t>
      </w:r>
      <w:r w:rsidRPr="00262089" w:rsidR="000B7D8D">
        <w:rPr>
          <w:rFonts w:cstheme="minorHAnsi"/>
        </w:rPr>
        <w:t xml:space="preserve">current Form 33 data </w:t>
      </w:r>
      <w:r w:rsidRPr="00262089" w:rsidR="00056002">
        <w:rPr>
          <w:rFonts w:cstheme="minorHAnsi"/>
        </w:rPr>
        <w:t xml:space="preserve">has illustrated that missing attribute data can severely alter the correlations among scores </w:t>
      </w:r>
      <w:r w:rsidRPr="00262089" w:rsidR="000B7D8D">
        <w:rPr>
          <w:rFonts w:cstheme="minorHAnsi"/>
        </w:rPr>
        <w:t>i</w:t>
      </w:r>
      <w:r w:rsidRPr="00262089" w:rsidR="00056002">
        <w:rPr>
          <w:rFonts w:cstheme="minorHAnsi"/>
        </w:rPr>
        <w:t xml:space="preserve">n the </w:t>
      </w:r>
      <w:r w:rsidRPr="00262089" w:rsidR="00793BAA">
        <w:rPr>
          <w:rFonts w:cstheme="minorHAnsi"/>
        </w:rPr>
        <w:t>SHP</w:t>
      </w:r>
      <w:r w:rsidRPr="00262089" w:rsidR="00056002">
        <w:rPr>
          <w:rFonts w:cstheme="minorHAnsi"/>
        </w:rPr>
        <w:t xml:space="preserve"> elements with external criteria</w:t>
      </w:r>
      <w:r w:rsidRPr="00262089" w:rsidR="004F5B69">
        <w:rPr>
          <w:rFonts w:cstheme="minorHAnsi"/>
        </w:rPr>
        <w:t xml:space="preserve"> (Autenrieth et al., 2015)</w:t>
      </w:r>
      <w:r w:rsidRPr="00262089" w:rsidR="00056002">
        <w:rPr>
          <w:rFonts w:cstheme="minorHAnsi"/>
        </w:rPr>
        <w:t xml:space="preserve">.  </w:t>
      </w:r>
    </w:p>
    <w:p w:rsidR="00825623" w:rsidRPr="00262089" w:rsidP="006906FF" w14:paraId="04810E6F" w14:textId="77777777">
      <w:pPr>
        <w:rPr>
          <w:rFonts w:cstheme="minorHAnsi"/>
        </w:rPr>
      </w:pPr>
      <w:r w:rsidRPr="00262089">
        <w:rPr>
          <w:rFonts w:cstheme="minorHAnsi"/>
        </w:rPr>
        <w:t>To avoid DRF33 with missing attribute data</w:t>
      </w:r>
      <w:r w:rsidRPr="00262089" w:rsidR="004D2C59">
        <w:rPr>
          <w:rFonts w:cstheme="minorHAnsi"/>
        </w:rPr>
        <w:t xml:space="preserve">, participating consultants will </w:t>
      </w:r>
      <w:r w:rsidRPr="00262089" w:rsidR="00B9732C">
        <w:rPr>
          <w:rFonts w:cstheme="minorHAnsi"/>
        </w:rPr>
        <w:t xml:space="preserve">receive </w:t>
      </w:r>
      <w:r w:rsidRPr="00262089" w:rsidR="004D2C59">
        <w:rPr>
          <w:rFonts w:cstheme="minorHAnsi"/>
        </w:rPr>
        <w:t xml:space="preserve">comprehensive </w:t>
      </w:r>
      <w:r w:rsidRPr="00262089" w:rsidR="00B9732C">
        <w:rPr>
          <w:rFonts w:cstheme="minorHAnsi"/>
        </w:rPr>
        <w:t xml:space="preserve">training and instruction for </w:t>
      </w:r>
      <w:r w:rsidRPr="00262089">
        <w:rPr>
          <w:rFonts w:cstheme="minorHAnsi"/>
        </w:rPr>
        <w:t xml:space="preserve">rating </w:t>
      </w:r>
      <w:r w:rsidRPr="00262089" w:rsidR="00793BAA">
        <w:rPr>
          <w:rFonts w:cstheme="minorHAnsi"/>
        </w:rPr>
        <w:t>all</w:t>
      </w:r>
      <w:r w:rsidRPr="00262089" w:rsidR="00056002">
        <w:rPr>
          <w:rFonts w:cstheme="minorHAnsi"/>
        </w:rPr>
        <w:t xml:space="preserve"> </w:t>
      </w:r>
      <w:r w:rsidRPr="00262089" w:rsidR="00265B8F">
        <w:rPr>
          <w:rFonts w:cstheme="minorHAnsi"/>
        </w:rPr>
        <w:t>52</w:t>
      </w:r>
      <w:r w:rsidRPr="00262089" w:rsidR="00056002">
        <w:rPr>
          <w:rFonts w:cstheme="minorHAnsi"/>
        </w:rPr>
        <w:t xml:space="preserve"> attributes in the</w:t>
      </w:r>
      <w:r w:rsidRPr="00262089" w:rsidR="004D2C59">
        <w:rPr>
          <w:rFonts w:cstheme="minorHAnsi"/>
        </w:rPr>
        <w:t xml:space="preserve"> DRF33</w:t>
      </w:r>
      <w:r w:rsidRPr="00262089" w:rsidR="00793BAA">
        <w:rPr>
          <w:rFonts w:cstheme="minorHAnsi"/>
        </w:rPr>
        <w:t xml:space="preserve"> and properly completing the worksheet</w:t>
      </w:r>
      <w:r w:rsidRPr="00262089" w:rsidR="004D2C59">
        <w:rPr>
          <w:rFonts w:cstheme="minorHAnsi"/>
        </w:rPr>
        <w:t xml:space="preserve">. </w:t>
      </w:r>
      <w:r w:rsidRPr="00262089" w:rsidR="0022691F">
        <w:rPr>
          <w:rFonts w:cstheme="minorHAnsi"/>
        </w:rPr>
        <w:t xml:space="preserve"> </w:t>
      </w:r>
      <w:r w:rsidRPr="00262089" w:rsidR="00793BAA">
        <w:rPr>
          <w:rFonts w:cstheme="minorHAnsi"/>
        </w:rPr>
        <w:t xml:space="preserve">In addition, the data collection tool will not permit the submission of DRF33 worksheets with incomplete </w:t>
      </w:r>
      <w:r w:rsidRPr="00262089" w:rsidR="00793BAA">
        <w:rPr>
          <w:rFonts w:cstheme="minorHAnsi"/>
        </w:rPr>
        <w:t xml:space="preserve">information.  If a consultant </w:t>
      </w:r>
      <w:r w:rsidR="00C2302C">
        <w:rPr>
          <w:rFonts w:cstheme="minorHAnsi"/>
        </w:rPr>
        <w:t>cannot</w:t>
      </w:r>
      <w:r w:rsidRPr="00262089" w:rsidR="00793BAA">
        <w:rPr>
          <w:rFonts w:cstheme="minorHAnsi"/>
        </w:rPr>
        <w:t xml:space="preserve"> fully complete a DRF33 </w:t>
      </w:r>
      <w:r w:rsidRPr="00262089" w:rsidR="00D94E6B">
        <w:rPr>
          <w:rFonts w:cstheme="minorHAnsi"/>
        </w:rPr>
        <w:t>for a</w:t>
      </w:r>
      <w:r w:rsidRPr="00262089" w:rsidR="00793BAA">
        <w:rPr>
          <w:rFonts w:cstheme="minorHAnsi"/>
        </w:rPr>
        <w:t xml:space="preserve"> workplace</w:t>
      </w:r>
      <w:r w:rsidRPr="00262089" w:rsidR="00D94E6B">
        <w:rPr>
          <w:rFonts w:cstheme="minorHAnsi"/>
        </w:rPr>
        <w:t xml:space="preserve"> that DRF33</w:t>
      </w:r>
      <w:r w:rsidRPr="00262089" w:rsidR="00793BAA">
        <w:rPr>
          <w:rFonts w:cstheme="minorHAnsi"/>
        </w:rPr>
        <w:t xml:space="preserve"> will not be included in a study</w:t>
      </w:r>
      <w:r w:rsidRPr="00262089" w:rsidR="00E8455F">
        <w:rPr>
          <w:rFonts w:cstheme="minorHAnsi"/>
        </w:rPr>
        <w:t>, and a replacement workplace will be used instead</w:t>
      </w:r>
      <w:r w:rsidRPr="00262089" w:rsidR="00D94E6B">
        <w:rPr>
          <w:rFonts w:cstheme="minorHAnsi"/>
        </w:rPr>
        <w:t>; by selecting from the pool of employers’ requests to Consultation programs for consultation visits</w:t>
      </w:r>
      <w:r w:rsidRPr="00262089">
        <w:rPr>
          <w:rFonts w:cstheme="minorHAnsi"/>
        </w:rPr>
        <w:t>.</w:t>
      </w:r>
      <w:r w:rsidRPr="00262089" w:rsidR="004D2C59">
        <w:rPr>
          <w:rFonts w:cstheme="minorHAnsi"/>
        </w:rPr>
        <w:t xml:space="preserve"> </w:t>
      </w:r>
      <w:r w:rsidRPr="00262089" w:rsidR="00D35FFB">
        <w:rPr>
          <w:rFonts w:cstheme="minorHAnsi"/>
        </w:rPr>
        <w:t xml:space="preserve"> As mentioned earlier</w:t>
      </w:r>
      <w:r w:rsidRPr="00262089" w:rsidR="007C5EC0">
        <w:rPr>
          <w:rFonts w:cstheme="minorHAnsi"/>
        </w:rPr>
        <w:t>, any missing data encountered will likely be d</w:t>
      </w:r>
      <w:r w:rsidRPr="00262089" w:rsidR="0022691F">
        <w:rPr>
          <w:rFonts w:cstheme="minorHAnsi"/>
        </w:rPr>
        <w:t>ue</w:t>
      </w:r>
      <w:r w:rsidRPr="00262089" w:rsidR="007C5EC0">
        <w:rPr>
          <w:rFonts w:cstheme="minorHAnsi"/>
        </w:rPr>
        <w:t xml:space="preserve"> to consultant error when making observations at the workplace or workplace closure d</w:t>
      </w:r>
      <w:r w:rsidRPr="00262089" w:rsidR="0022691F">
        <w:rPr>
          <w:rFonts w:cstheme="minorHAnsi"/>
        </w:rPr>
        <w:t>ue</w:t>
      </w:r>
      <w:r w:rsidRPr="00262089" w:rsidR="007C5EC0">
        <w:rPr>
          <w:rFonts w:cstheme="minorHAnsi"/>
        </w:rPr>
        <w:t xml:space="preserve"> to external events (e.g., </w:t>
      </w:r>
      <w:r w:rsidRPr="00262089" w:rsidR="0022691F">
        <w:rPr>
          <w:rFonts w:cstheme="minorHAnsi"/>
        </w:rPr>
        <w:t xml:space="preserve">the COVID-19 </w:t>
      </w:r>
      <w:r w:rsidRPr="00262089" w:rsidR="007C5EC0">
        <w:rPr>
          <w:rFonts w:cstheme="minorHAnsi"/>
        </w:rPr>
        <w:t xml:space="preserve">pandemic).  Such missing data </w:t>
      </w:r>
      <w:r w:rsidRPr="00262089" w:rsidR="0022691F">
        <w:rPr>
          <w:rFonts w:cstheme="minorHAnsi"/>
        </w:rPr>
        <w:t>are</w:t>
      </w:r>
      <w:r w:rsidRPr="00262089" w:rsidR="007C5EC0">
        <w:rPr>
          <w:rFonts w:cstheme="minorHAnsi"/>
        </w:rPr>
        <w:t xml:space="preserve"> unlikely to be informative with respect to the workplace’s standing on key study measures, and thus, substitution with a replacement workplace seems reasonable.</w:t>
      </w:r>
    </w:p>
    <w:p w:rsidR="00C6214C" w:rsidRPr="00262089" w:rsidP="006906FF" w14:paraId="6613649B" w14:textId="77777777">
      <w:pPr>
        <w:rPr>
          <w:rFonts w:cstheme="minorHAnsi"/>
        </w:rPr>
      </w:pPr>
      <w:r w:rsidRPr="00262089">
        <w:rPr>
          <w:rFonts w:cstheme="minorHAnsi"/>
        </w:rPr>
        <w:t xml:space="preserve">Consultants’ training will </w:t>
      </w:r>
      <w:r w:rsidRPr="00262089" w:rsidR="00793BAA">
        <w:rPr>
          <w:rFonts w:cstheme="minorHAnsi"/>
        </w:rPr>
        <w:t xml:space="preserve">also </w:t>
      </w:r>
      <w:r w:rsidRPr="00262089">
        <w:rPr>
          <w:rFonts w:cstheme="minorHAnsi"/>
        </w:rPr>
        <w:t xml:space="preserve">include a thorough review of </w:t>
      </w:r>
      <w:r w:rsidR="00723383">
        <w:rPr>
          <w:rFonts w:cstheme="minorHAnsi"/>
        </w:rPr>
        <w:t xml:space="preserve">each study's procedures and requirements. Similarly, Consultation Program Managers who oversee the daily activities of On-Site Consultation programs will be informed of these procedures and requirements </w:t>
      </w:r>
      <w:r w:rsidRPr="00262089">
        <w:rPr>
          <w:rFonts w:cstheme="minorHAnsi"/>
        </w:rPr>
        <w:t xml:space="preserve">to ensure that they are </w:t>
      </w:r>
      <w:r w:rsidRPr="00262089" w:rsidR="00E06995">
        <w:rPr>
          <w:rFonts w:cstheme="minorHAnsi"/>
        </w:rPr>
        <w:t xml:space="preserve">properly </w:t>
      </w:r>
      <w:r w:rsidRPr="00262089">
        <w:rPr>
          <w:rFonts w:cstheme="minorHAnsi"/>
        </w:rPr>
        <w:t xml:space="preserve">followed.  </w:t>
      </w:r>
    </w:p>
    <w:p w:rsidR="00C6214C" w:rsidRPr="00262089" w:rsidP="00C6214C" w14:paraId="11077590" w14:textId="77777777">
      <w:pPr>
        <w:rPr>
          <w:rFonts w:cstheme="minorHAnsi"/>
          <w:b/>
        </w:rPr>
      </w:pPr>
      <w:r w:rsidRPr="00262089">
        <w:rPr>
          <w:rFonts w:cstheme="minorHAnsi"/>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CB7A59" w:rsidRPr="00262089" w:rsidP="003C3049" w14:paraId="6635D453" w14:textId="77777777">
      <w:pPr>
        <w:rPr>
          <w:rFonts w:cstheme="minorHAnsi"/>
          <w:b/>
          <w:i/>
          <w:iCs/>
        </w:rPr>
      </w:pPr>
      <w:r w:rsidRPr="00262089">
        <w:rPr>
          <w:rFonts w:cstheme="minorHAnsi"/>
          <w:b/>
          <w:i/>
          <w:iCs/>
        </w:rPr>
        <w:t xml:space="preserve">Pilot Study </w:t>
      </w:r>
    </w:p>
    <w:p w:rsidR="003C3049" w:rsidRPr="00262089" w:rsidP="003C3049" w14:paraId="3A1F6B24" w14:textId="77777777">
      <w:pPr>
        <w:rPr>
          <w:rFonts w:cstheme="minorHAnsi"/>
          <w:iCs/>
        </w:rPr>
      </w:pPr>
      <w:r w:rsidRPr="00262089">
        <w:rPr>
          <w:rFonts w:cstheme="minorHAnsi"/>
          <w:iCs/>
        </w:rPr>
        <w:t>A p</w:t>
      </w:r>
      <w:r w:rsidRPr="00262089" w:rsidR="0005194C">
        <w:rPr>
          <w:rFonts w:cstheme="minorHAnsi"/>
          <w:iCs/>
        </w:rPr>
        <w:t>re-t</w:t>
      </w:r>
      <w:r w:rsidRPr="00262089">
        <w:rPr>
          <w:rFonts w:cstheme="minorHAnsi"/>
          <w:iCs/>
        </w:rPr>
        <w:t xml:space="preserve">est with </w:t>
      </w:r>
      <w:r w:rsidR="00D74DE6">
        <w:rPr>
          <w:rFonts w:cstheme="minorHAnsi"/>
          <w:iCs/>
        </w:rPr>
        <w:t xml:space="preserve">fewer than the estimated </w:t>
      </w:r>
      <w:r w:rsidRPr="00262089">
        <w:rPr>
          <w:rFonts w:cstheme="minorHAnsi"/>
          <w:iCs/>
        </w:rPr>
        <w:t xml:space="preserve">maximum sample size of 20 </w:t>
      </w:r>
      <w:r w:rsidR="00D74DE6">
        <w:rPr>
          <w:rFonts w:cstheme="minorHAnsi"/>
          <w:iCs/>
        </w:rPr>
        <w:t>was</w:t>
      </w:r>
      <w:r w:rsidRPr="00262089">
        <w:rPr>
          <w:rFonts w:cstheme="minorHAnsi"/>
          <w:iCs/>
        </w:rPr>
        <w:t xml:space="preserve"> conducted for the Pilot Study following similar procedures for </w:t>
      </w:r>
      <w:r w:rsidRPr="00262089">
        <w:rPr>
          <w:rFonts w:cstheme="minorHAnsi"/>
          <w:i/>
          <w:iCs/>
        </w:rPr>
        <w:t>Design and Sample Characteristics</w:t>
      </w:r>
      <w:r w:rsidRPr="00262089">
        <w:rPr>
          <w:rFonts w:cstheme="minorHAnsi"/>
          <w:iCs/>
        </w:rPr>
        <w:t xml:space="preserve"> (see #1), to ensure that all procedures and information technology platforms </w:t>
      </w:r>
      <w:r w:rsidRPr="00262089" w:rsidR="0005194C">
        <w:rPr>
          <w:rFonts w:cstheme="minorHAnsi"/>
          <w:iCs/>
        </w:rPr>
        <w:t xml:space="preserve">will function as planned.  </w:t>
      </w:r>
      <w:r w:rsidRPr="00262089">
        <w:rPr>
          <w:rFonts w:cstheme="minorHAnsi"/>
          <w:iCs/>
        </w:rPr>
        <w:t>The p</w:t>
      </w:r>
      <w:r w:rsidRPr="00262089" w:rsidR="0005194C">
        <w:rPr>
          <w:rFonts w:cstheme="minorHAnsi"/>
          <w:iCs/>
        </w:rPr>
        <w:t>re-t</w:t>
      </w:r>
      <w:r w:rsidRPr="00262089">
        <w:rPr>
          <w:rFonts w:cstheme="minorHAnsi"/>
          <w:iCs/>
        </w:rPr>
        <w:t xml:space="preserve">est </w:t>
      </w:r>
      <w:r w:rsidR="00D74DE6">
        <w:rPr>
          <w:rFonts w:cstheme="minorHAnsi"/>
          <w:iCs/>
        </w:rPr>
        <w:t>was</w:t>
      </w:r>
      <w:r w:rsidRPr="00262089">
        <w:rPr>
          <w:rFonts w:cstheme="minorHAnsi"/>
          <w:iCs/>
        </w:rPr>
        <w:t xml:space="preserve"> conducted in only one of the ten regions.  Any failings observed in procedures or</w:t>
      </w:r>
      <w:r w:rsidRPr="00262089" w:rsidR="0005194C">
        <w:rPr>
          <w:rFonts w:cstheme="minorHAnsi"/>
          <w:iCs/>
        </w:rPr>
        <w:t xml:space="preserve"> technology used during </w:t>
      </w:r>
      <w:r w:rsidRPr="00262089">
        <w:rPr>
          <w:rFonts w:cstheme="minorHAnsi"/>
          <w:iCs/>
        </w:rPr>
        <w:t>the</w:t>
      </w:r>
      <w:r w:rsidRPr="00262089" w:rsidR="0005194C">
        <w:rPr>
          <w:rFonts w:cstheme="minorHAnsi"/>
          <w:iCs/>
        </w:rPr>
        <w:t xml:space="preserve"> pre-t</w:t>
      </w:r>
      <w:r w:rsidRPr="00262089">
        <w:rPr>
          <w:rFonts w:cstheme="minorHAnsi"/>
          <w:iCs/>
        </w:rPr>
        <w:t xml:space="preserve">est </w:t>
      </w:r>
      <w:r w:rsidR="00D74DE6">
        <w:rPr>
          <w:rFonts w:cstheme="minorHAnsi"/>
          <w:iCs/>
        </w:rPr>
        <w:t>was</w:t>
      </w:r>
      <w:r w:rsidRPr="00262089">
        <w:rPr>
          <w:rFonts w:cstheme="minorHAnsi"/>
          <w:iCs/>
        </w:rPr>
        <w:t xml:space="preserve"> corrected before proceeding to </w:t>
      </w:r>
      <w:r w:rsidRPr="00262089" w:rsidR="00FF5676">
        <w:rPr>
          <w:rFonts w:cstheme="minorHAnsi"/>
          <w:iCs/>
        </w:rPr>
        <w:t xml:space="preserve">the pilot study </w:t>
      </w:r>
      <w:r w:rsidRPr="00262089">
        <w:rPr>
          <w:rFonts w:cstheme="minorHAnsi"/>
          <w:iCs/>
        </w:rPr>
        <w:t xml:space="preserve">launch.  </w:t>
      </w:r>
    </w:p>
    <w:p w:rsidR="003C3049" w:rsidRPr="00262089" w:rsidP="003C3049" w14:paraId="625E08A3" w14:textId="77777777">
      <w:pPr>
        <w:rPr>
          <w:rFonts w:cstheme="minorHAnsi"/>
          <w:iCs/>
        </w:rPr>
      </w:pPr>
      <w:r w:rsidRPr="00262089">
        <w:rPr>
          <w:rFonts w:cstheme="minorHAnsi"/>
          <w:iCs/>
        </w:rPr>
        <w:t xml:space="preserve">A follow-up study with a maximum sample size of 30 will also be conducted for the Pilot Study, following similar procedures for workplace selection and data analyses, when findings result in updates to the DRF33 and ARG that require verification of effectiveness before implementation operationally.  </w:t>
      </w:r>
    </w:p>
    <w:p w:rsidR="003C3049" w:rsidRPr="00262089" w:rsidP="003C3049" w14:paraId="4C7E36C5" w14:textId="77777777">
      <w:pPr>
        <w:rPr>
          <w:rFonts w:cstheme="minorHAnsi"/>
          <w:iCs/>
        </w:rPr>
      </w:pPr>
    </w:p>
    <w:p w:rsidR="00033E59" w:rsidRPr="00262089" w:rsidP="003C3049" w14:paraId="21081070" w14:textId="77777777">
      <w:pPr>
        <w:rPr>
          <w:rFonts w:cstheme="minorHAnsi"/>
          <w:iCs/>
        </w:rPr>
      </w:pPr>
    </w:p>
    <w:p w:rsidR="00093A72" w:rsidRPr="00262089" w14:paraId="4D6B6F9B" w14:textId="77777777">
      <w:pPr>
        <w:rPr>
          <w:rFonts w:cstheme="minorHAnsi"/>
          <w:iCs/>
        </w:rPr>
      </w:pPr>
      <w:r w:rsidRPr="00262089">
        <w:rPr>
          <w:rFonts w:cstheme="minorHAnsi"/>
          <w:iCs/>
        </w:rPr>
        <w:br w:type="page"/>
      </w:r>
    </w:p>
    <w:p w:rsidR="000B087B" w:rsidRPr="00262089" w:rsidP="00B25EDA" w14:paraId="2DA55BC3" w14:textId="77777777">
      <w:pPr>
        <w:rPr>
          <w:rFonts w:cstheme="minorHAnsi"/>
          <w:b/>
        </w:rPr>
      </w:pPr>
      <w:r w:rsidRPr="00262089">
        <w:rPr>
          <w:rFonts w:cstheme="minorHAnsi"/>
          <w:b/>
          <w:iCs/>
        </w:rPr>
        <w:t>References</w:t>
      </w:r>
    </w:p>
    <w:p w:rsidR="000B087B" w:rsidRPr="00262089" w:rsidP="000B087B" w14:paraId="3BBE0222" w14:textId="77777777">
      <w:pPr>
        <w:rPr>
          <w:rFonts w:cstheme="minorHAnsi"/>
          <w:color w:val="333333"/>
          <w:shd w:val="clear" w:color="auto" w:fill="FCFCFC"/>
        </w:rPr>
      </w:pPr>
      <w:r w:rsidRPr="00262089">
        <w:rPr>
          <w:rFonts w:cstheme="minorHAnsi"/>
          <w:color w:val="333333"/>
          <w:shd w:val="clear" w:color="auto" w:fill="FCFCFC"/>
        </w:rPr>
        <w:t xml:space="preserve">Akaike, H. (1973). Information theory and an extension of the maximum likelihood principle. In B. N. Petrov &amp; B. F. Csaki (Eds.), </w:t>
      </w:r>
      <w:r w:rsidRPr="00262089">
        <w:rPr>
          <w:rFonts w:cstheme="minorHAnsi"/>
          <w:i/>
          <w:iCs/>
          <w:color w:val="333333"/>
          <w:shd w:val="clear" w:color="auto" w:fill="FCFCFC"/>
        </w:rPr>
        <w:t>Second International Symposium on Information Theory</w:t>
      </w:r>
      <w:r w:rsidRPr="00262089">
        <w:rPr>
          <w:rFonts w:cstheme="minorHAnsi"/>
          <w:color w:val="333333"/>
          <w:shd w:val="clear" w:color="auto" w:fill="FCFCFC"/>
        </w:rPr>
        <w:t>, (pp. 267–281). Academiai Kiado: Budapest.</w:t>
      </w:r>
    </w:p>
    <w:p w:rsidR="00333C33" w:rsidRPr="00262089" w:rsidP="00093A72" w14:paraId="0364B855" w14:textId="77777777">
      <w:pPr>
        <w:pStyle w:val="EndNoteBibliography"/>
        <w:spacing w:line="240" w:lineRule="auto"/>
        <w:ind w:left="720" w:hanging="720"/>
        <w:jc w:val="left"/>
        <w:rPr>
          <w:rFonts w:asciiTheme="minorHAnsi" w:hAnsiTheme="minorHAnsi" w:cstheme="minorHAnsi"/>
          <w:sz w:val="22"/>
          <w:szCs w:val="22"/>
        </w:rPr>
      </w:pPr>
      <w:bookmarkStart w:id="0" w:name="_ENREF_2"/>
      <w:r w:rsidRPr="00262089">
        <w:rPr>
          <w:rFonts w:asciiTheme="minorHAnsi" w:hAnsiTheme="minorHAnsi" w:cstheme="minorHAnsi"/>
          <w:sz w:val="22"/>
          <w:szCs w:val="22"/>
        </w:rPr>
        <w:t>Autenrieth, D. A., Brazile, W. J., Sandfort, D. R., Douphrate, D. I., Román-Muñiz, I. N., &amp;</w:t>
      </w:r>
    </w:p>
    <w:p w:rsidR="00333C33" w:rsidRPr="00262089" w:rsidP="00093A72" w14:paraId="4A005086" w14:textId="77777777">
      <w:pPr>
        <w:pStyle w:val="EndNoteBibliography"/>
        <w:spacing w:line="240" w:lineRule="auto"/>
        <w:ind w:left="720" w:hanging="720"/>
        <w:jc w:val="left"/>
        <w:rPr>
          <w:rFonts w:asciiTheme="minorHAnsi" w:hAnsiTheme="minorHAnsi" w:cstheme="minorHAnsi"/>
          <w:sz w:val="22"/>
          <w:szCs w:val="22"/>
        </w:rPr>
      </w:pPr>
      <w:r w:rsidRPr="00262089">
        <w:rPr>
          <w:rFonts w:asciiTheme="minorHAnsi" w:hAnsiTheme="minorHAnsi" w:cstheme="minorHAnsi"/>
          <w:sz w:val="22"/>
          <w:szCs w:val="22"/>
        </w:rPr>
        <w:t xml:space="preserve"> Reynolds, S. J. (2016). The associations between occupational health and safety management</w:t>
      </w:r>
    </w:p>
    <w:p w:rsidR="00333C33" w:rsidRPr="00262089" w:rsidP="00093A72" w14:paraId="091DEEA3" w14:textId="77777777">
      <w:pPr>
        <w:pStyle w:val="EndNoteBibliography"/>
        <w:spacing w:line="240" w:lineRule="auto"/>
        <w:ind w:left="720" w:hanging="720"/>
        <w:jc w:val="left"/>
        <w:rPr>
          <w:rFonts w:asciiTheme="minorHAnsi" w:hAnsiTheme="minorHAnsi" w:cstheme="minorHAnsi"/>
          <w:i/>
          <w:sz w:val="22"/>
          <w:szCs w:val="22"/>
        </w:rPr>
      </w:pPr>
      <w:r w:rsidRPr="00262089">
        <w:rPr>
          <w:rFonts w:asciiTheme="minorHAnsi" w:hAnsiTheme="minorHAnsi" w:cstheme="minorHAnsi"/>
          <w:sz w:val="22"/>
          <w:szCs w:val="22"/>
        </w:rPr>
        <w:t xml:space="preserve"> system programming level and prior injury and illness rates in the U.S. dairy industry. </w:t>
      </w:r>
      <w:r w:rsidRPr="00262089">
        <w:rPr>
          <w:rFonts w:asciiTheme="minorHAnsi" w:hAnsiTheme="minorHAnsi" w:cstheme="minorHAnsi"/>
          <w:i/>
          <w:sz w:val="22"/>
          <w:szCs w:val="22"/>
        </w:rPr>
        <w:t>Safety</w:t>
      </w:r>
    </w:p>
    <w:p w:rsidR="00333C33" w:rsidP="00333C33" w14:paraId="5C58A167" w14:textId="77777777">
      <w:pPr>
        <w:pStyle w:val="EndNoteBibliography"/>
        <w:spacing w:line="240" w:lineRule="auto"/>
        <w:ind w:left="720" w:hanging="720"/>
        <w:jc w:val="left"/>
        <w:rPr>
          <w:rFonts w:asciiTheme="minorHAnsi" w:hAnsiTheme="minorHAnsi" w:cstheme="minorHAnsi"/>
          <w:sz w:val="22"/>
          <w:szCs w:val="22"/>
        </w:rPr>
      </w:pPr>
      <w:r w:rsidRPr="00262089">
        <w:rPr>
          <w:rFonts w:asciiTheme="minorHAnsi" w:hAnsiTheme="minorHAnsi" w:cstheme="minorHAnsi"/>
          <w:i/>
          <w:sz w:val="22"/>
          <w:szCs w:val="22"/>
        </w:rPr>
        <w:t xml:space="preserve"> Science, 84</w:t>
      </w:r>
      <w:r w:rsidRPr="00262089">
        <w:rPr>
          <w:rFonts w:asciiTheme="minorHAnsi" w:hAnsiTheme="minorHAnsi" w:cstheme="minorHAnsi"/>
          <w:sz w:val="22"/>
          <w:szCs w:val="22"/>
        </w:rPr>
        <w:t>, 108-116. doi:10.1016/j.ssci.2015.12.008</w:t>
      </w:r>
      <w:bookmarkEnd w:id="0"/>
      <w:r w:rsidR="00C62683">
        <w:rPr>
          <w:rFonts w:asciiTheme="minorHAnsi" w:hAnsiTheme="minorHAnsi" w:cstheme="minorHAnsi"/>
          <w:sz w:val="22"/>
          <w:szCs w:val="22"/>
        </w:rPr>
        <w:t>.</w:t>
      </w:r>
    </w:p>
    <w:p w:rsidR="00C62683" w:rsidRPr="00262089" w:rsidP="00333C33" w14:paraId="4F34E37A" w14:textId="77777777">
      <w:pPr>
        <w:pStyle w:val="EndNoteBibliography"/>
        <w:spacing w:line="240" w:lineRule="auto"/>
        <w:ind w:left="720" w:hanging="720"/>
        <w:jc w:val="left"/>
        <w:rPr>
          <w:rFonts w:asciiTheme="minorHAnsi" w:hAnsiTheme="minorHAnsi" w:cstheme="minorHAnsi"/>
          <w:sz w:val="22"/>
          <w:szCs w:val="22"/>
        </w:rPr>
      </w:pPr>
    </w:p>
    <w:p w:rsidR="00EE659E" w:rsidRPr="00262089" w:rsidP="00EE659E" w14:paraId="3B07B136" w14:textId="77777777">
      <w:pPr>
        <w:pStyle w:val="EndNoteBibliography"/>
        <w:ind w:left="720" w:hanging="720"/>
        <w:jc w:val="left"/>
        <w:rPr>
          <w:rFonts w:asciiTheme="minorHAnsi" w:hAnsiTheme="minorHAnsi" w:cstheme="minorHAnsi"/>
          <w:sz w:val="22"/>
          <w:szCs w:val="22"/>
        </w:rPr>
      </w:pPr>
      <w:r w:rsidRPr="00262089">
        <w:rPr>
          <w:rFonts w:asciiTheme="minorHAnsi" w:hAnsiTheme="minorHAnsi" w:cstheme="minorHAnsi"/>
          <w:sz w:val="22"/>
          <w:szCs w:val="22"/>
        </w:rPr>
        <w:t>attell, R. B. (1978). The scientific use of factor analysis.  NY: Plenum.</w:t>
      </w:r>
    </w:p>
    <w:p w:rsidR="007608A2" w:rsidRPr="00262089" w:rsidP="00093A72" w14:paraId="3126420E" w14:textId="77777777">
      <w:pPr>
        <w:pStyle w:val="EndNoteBibliography"/>
        <w:spacing w:line="240" w:lineRule="auto"/>
        <w:ind w:left="720" w:hanging="720"/>
        <w:jc w:val="left"/>
        <w:rPr>
          <w:rFonts w:asciiTheme="minorHAnsi" w:hAnsiTheme="minorHAnsi" w:cstheme="minorHAnsi"/>
          <w:sz w:val="22"/>
          <w:szCs w:val="22"/>
        </w:rPr>
      </w:pPr>
      <w:r w:rsidRPr="00262089">
        <w:rPr>
          <w:rFonts w:asciiTheme="minorHAnsi" w:hAnsiTheme="minorHAnsi" w:cstheme="minorHAnsi"/>
          <w:sz w:val="22"/>
          <w:szCs w:val="22"/>
        </w:rPr>
        <w:t>Crocker, L., &amp; Algina, J. (1986). Introduction to classical and modern test theory.  Orlando, FL:</w:t>
      </w:r>
    </w:p>
    <w:p w:rsidR="007608A2" w:rsidRPr="00262089" w:rsidP="00093A72" w14:paraId="23C0D9F8" w14:textId="77777777">
      <w:pPr>
        <w:pStyle w:val="EndNoteBibliography"/>
        <w:spacing w:line="240" w:lineRule="auto"/>
        <w:ind w:left="720" w:hanging="720"/>
        <w:jc w:val="left"/>
        <w:rPr>
          <w:rFonts w:asciiTheme="minorHAnsi" w:hAnsiTheme="minorHAnsi" w:cstheme="minorHAnsi"/>
          <w:sz w:val="22"/>
          <w:szCs w:val="22"/>
        </w:rPr>
      </w:pPr>
      <w:r w:rsidRPr="00262089">
        <w:rPr>
          <w:rFonts w:asciiTheme="minorHAnsi" w:hAnsiTheme="minorHAnsi" w:cstheme="minorHAnsi"/>
          <w:sz w:val="22"/>
          <w:szCs w:val="22"/>
        </w:rPr>
        <w:t>Holt, Rinehart, and Winston.</w:t>
      </w:r>
    </w:p>
    <w:p w:rsidR="007608A2" w:rsidRPr="00262089" w:rsidP="00093A72" w14:paraId="3876D27D" w14:textId="77777777">
      <w:pPr>
        <w:pStyle w:val="EndNoteBibliography"/>
        <w:spacing w:line="240" w:lineRule="auto"/>
        <w:ind w:left="720" w:hanging="720"/>
        <w:jc w:val="left"/>
        <w:rPr>
          <w:rFonts w:asciiTheme="minorHAnsi" w:hAnsiTheme="minorHAnsi" w:cstheme="minorHAnsi"/>
          <w:sz w:val="22"/>
          <w:szCs w:val="22"/>
        </w:rPr>
      </w:pPr>
    </w:p>
    <w:p w:rsidR="000B087B" w:rsidRPr="00262089" w:rsidP="000B087B" w14:paraId="4175E59E" w14:textId="77777777">
      <w:pPr>
        <w:rPr>
          <w:rFonts w:cstheme="minorHAnsi"/>
        </w:rPr>
      </w:pPr>
      <w:r w:rsidRPr="00262089">
        <w:rPr>
          <w:rFonts w:cstheme="minorHAnsi"/>
          <w:color w:val="333333"/>
          <w:shd w:val="clear" w:color="auto" w:fill="FCFCFC"/>
        </w:rPr>
        <w:t>Cronbach, L. J. (1951). Coefficient alpha and the internal structure of tests. </w:t>
      </w:r>
      <w:r w:rsidRPr="00262089">
        <w:rPr>
          <w:rFonts w:cstheme="minorHAnsi"/>
          <w:i/>
          <w:iCs/>
          <w:color w:val="333333"/>
          <w:shd w:val="clear" w:color="auto" w:fill="FCFCFC"/>
        </w:rPr>
        <w:t>Psychometrika, 16</w:t>
      </w:r>
      <w:r w:rsidRPr="00262089">
        <w:rPr>
          <w:rFonts w:cstheme="minorHAnsi"/>
          <w:color w:val="333333"/>
          <w:shd w:val="clear" w:color="auto" w:fill="FCFCFC"/>
        </w:rPr>
        <w:t>, 297–334</w:t>
      </w:r>
    </w:p>
    <w:p w:rsidR="000B087B" w:rsidRPr="00262089" w:rsidP="000B087B" w14:paraId="62F6C0ED" w14:textId="77777777">
      <w:pPr>
        <w:rPr>
          <w:rFonts w:cstheme="minorHAnsi"/>
        </w:rPr>
      </w:pPr>
      <w:r w:rsidRPr="00262089">
        <w:rPr>
          <w:rFonts w:cstheme="minorHAnsi"/>
        </w:rPr>
        <w:t xml:space="preserve">Finn, J. D. (1974). </w:t>
      </w:r>
      <w:r w:rsidRPr="00262089">
        <w:rPr>
          <w:rFonts w:cstheme="minorHAnsi"/>
          <w:i/>
          <w:iCs/>
        </w:rPr>
        <w:t>A general model for multivariate analysis</w:t>
      </w:r>
      <w:r w:rsidRPr="00262089">
        <w:rPr>
          <w:rFonts w:cstheme="minorHAnsi"/>
        </w:rPr>
        <w:t>. NY: Holt, Rinehart and Winston.</w:t>
      </w:r>
    </w:p>
    <w:p w:rsidR="000B087B" w:rsidRPr="00262089" w:rsidP="000B087B" w14:paraId="2F543ED5" w14:textId="77777777">
      <w:pPr>
        <w:rPr>
          <w:rFonts w:cstheme="minorHAnsi"/>
        </w:rPr>
      </w:pPr>
      <w:r w:rsidRPr="00262089">
        <w:rPr>
          <w:rFonts w:cstheme="minorHAnsi"/>
        </w:rPr>
        <w:t xml:space="preserve">Gibbons, &amp; Hedeker, (1992).  Full-information item bi-factor analysis.  </w:t>
      </w:r>
      <w:r w:rsidRPr="00262089">
        <w:rPr>
          <w:rFonts w:cstheme="minorHAnsi"/>
          <w:i/>
          <w:iCs/>
        </w:rPr>
        <w:t>Psychometrika, 57,</w:t>
      </w:r>
      <w:r w:rsidRPr="00262089">
        <w:rPr>
          <w:rFonts w:cstheme="minorHAnsi"/>
        </w:rPr>
        <w:t xml:space="preserve"> 423-436.</w:t>
      </w:r>
    </w:p>
    <w:p w:rsidR="00CF4E8C" w:rsidRPr="00262089" w:rsidP="00093A72" w14:paraId="4DFB3916" w14:textId="77777777">
      <w:pPr>
        <w:pStyle w:val="EndNoteBibliography"/>
        <w:ind w:left="720" w:hanging="720"/>
        <w:jc w:val="left"/>
        <w:rPr>
          <w:rFonts w:asciiTheme="minorHAnsi" w:hAnsiTheme="minorHAnsi" w:cstheme="minorHAnsi"/>
          <w:sz w:val="22"/>
          <w:szCs w:val="22"/>
        </w:rPr>
      </w:pPr>
      <w:r w:rsidRPr="00262089">
        <w:rPr>
          <w:rFonts w:asciiTheme="minorHAnsi" w:hAnsiTheme="minorHAnsi" w:cstheme="minorHAnsi"/>
          <w:sz w:val="22"/>
          <w:szCs w:val="22"/>
        </w:rPr>
        <w:t>Gorsuch, R. L. (1983). Factor analysis (2nd Edition). Hillsdale, NJ: Earlbaum.</w:t>
      </w:r>
    </w:p>
    <w:p w:rsidR="000B087B" w:rsidRPr="00262089" w:rsidP="000B087B" w14:paraId="39C9D450" w14:textId="77777777">
      <w:pPr>
        <w:rPr>
          <w:rFonts w:cstheme="minorHAnsi"/>
        </w:rPr>
      </w:pPr>
      <w:r w:rsidRPr="00262089">
        <w:rPr>
          <w:rFonts w:cstheme="minorHAnsi"/>
        </w:rPr>
        <w:t xml:space="preserve">Hendrickson, A. E, &amp; White, P. O.  (1964). PROMAX: A quick method for rotation to oblique simple structure.  </w:t>
      </w:r>
      <w:r w:rsidRPr="00262089">
        <w:rPr>
          <w:rFonts w:cstheme="minorHAnsi"/>
          <w:i/>
          <w:iCs/>
        </w:rPr>
        <w:t xml:space="preserve">British Journal of Statistical Psychology, 17, </w:t>
      </w:r>
      <w:r w:rsidRPr="00262089">
        <w:rPr>
          <w:rFonts w:cstheme="minorHAnsi"/>
        </w:rPr>
        <w:t>65-70.</w:t>
      </w:r>
    </w:p>
    <w:p w:rsidR="000B087B" w:rsidRPr="00262089" w:rsidP="000B087B" w14:paraId="0EE2DA4E" w14:textId="77777777">
      <w:pPr>
        <w:rPr>
          <w:rFonts w:cstheme="minorHAnsi"/>
        </w:rPr>
      </w:pPr>
      <w:r w:rsidRPr="00262089">
        <w:rPr>
          <w:rFonts w:cstheme="minorHAnsi"/>
        </w:rPr>
        <w:t xml:space="preserve">Hu, L., &amp; Bentler, P. M. (1999.) Cutoff criteria for fit indexes in covariance structure analysis: Conventional criteria versus new alternatives.  </w:t>
      </w:r>
      <w:r w:rsidRPr="00262089">
        <w:rPr>
          <w:rFonts w:cstheme="minorHAnsi"/>
          <w:i/>
          <w:iCs/>
        </w:rPr>
        <w:t>Structural Equation Modeling: A Multidisciplinary Journal</w:t>
      </w:r>
      <w:r w:rsidRPr="00262089">
        <w:rPr>
          <w:rFonts w:cstheme="minorHAnsi"/>
        </w:rPr>
        <w:t>, 6, 1-55.</w:t>
      </w:r>
    </w:p>
    <w:p w:rsidR="000B087B" w:rsidRPr="00262089" w:rsidP="000B087B" w14:paraId="2FDDA2A0" w14:textId="77777777">
      <w:pPr>
        <w:rPr>
          <w:rFonts w:cstheme="minorHAnsi"/>
        </w:rPr>
      </w:pPr>
      <w:r w:rsidRPr="00262089">
        <w:rPr>
          <w:rFonts w:cstheme="minorHAnsi"/>
        </w:rPr>
        <w:t xml:space="preserve">Joreskog, K. G. (1966).  Testing a simple structure hypothesis in factor analysis.  </w:t>
      </w:r>
      <w:r w:rsidRPr="00262089">
        <w:rPr>
          <w:rFonts w:cstheme="minorHAnsi"/>
          <w:i/>
          <w:iCs/>
        </w:rPr>
        <w:t>Psychometrika, 31,</w:t>
      </w:r>
      <w:r w:rsidRPr="00262089">
        <w:rPr>
          <w:rFonts w:cstheme="minorHAnsi"/>
        </w:rPr>
        <w:t>165-178.</w:t>
      </w:r>
    </w:p>
    <w:p w:rsidR="007608A2" w:rsidRPr="00262089" w:rsidP="00093A72" w14:paraId="64B4A81E" w14:textId="77777777">
      <w:pPr>
        <w:spacing w:line="240" w:lineRule="auto"/>
        <w:ind w:left="720" w:hanging="720"/>
        <w:rPr>
          <w:rFonts w:eastAsia="MS Mincho" w:cstheme="minorHAnsi"/>
          <w:noProof/>
        </w:rPr>
      </w:pPr>
      <w:r w:rsidRPr="00262089">
        <w:rPr>
          <w:rFonts w:eastAsia="MS Mincho" w:cstheme="minorHAnsi"/>
          <w:noProof/>
        </w:rPr>
        <w:t>Nunnally, J. C, &amp; Bernstein, I. H. (1994).  Psychometric theory (3rd Edition). NY: McGraw-Hill.</w:t>
      </w:r>
    </w:p>
    <w:p w:rsidR="000B087B" w:rsidRPr="00262089" w:rsidP="000B087B" w14:paraId="01A2787E" w14:textId="77777777">
      <w:pPr>
        <w:rPr>
          <w:rFonts w:cstheme="minorHAnsi"/>
        </w:rPr>
      </w:pPr>
      <w:r w:rsidRPr="00262089">
        <w:rPr>
          <w:rFonts w:cstheme="minorHAnsi"/>
          <w:color w:val="202122"/>
          <w:shd w:val="clear" w:color="auto" w:fill="FFFFFF"/>
        </w:rPr>
        <w:t xml:space="preserve">Scheffé, H. (1959).  </w:t>
      </w:r>
      <w:r w:rsidRPr="00262089">
        <w:rPr>
          <w:rFonts w:cstheme="minorHAnsi"/>
          <w:i/>
          <w:iCs/>
          <w:color w:val="202122"/>
          <w:shd w:val="clear" w:color="auto" w:fill="FFFFFF"/>
        </w:rPr>
        <w:t xml:space="preserve">The </w:t>
      </w:r>
      <w:r w:rsidR="00F7086C">
        <w:rPr>
          <w:rFonts w:cstheme="minorHAnsi"/>
          <w:i/>
          <w:iCs/>
          <w:color w:val="202122"/>
          <w:shd w:val="clear" w:color="auto" w:fill="FFFFFF"/>
        </w:rPr>
        <w:t>a</w:t>
      </w:r>
      <w:r w:rsidRPr="00262089">
        <w:rPr>
          <w:rFonts w:cstheme="minorHAnsi"/>
          <w:i/>
          <w:iCs/>
          <w:color w:val="202122"/>
          <w:shd w:val="clear" w:color="auto" w:fill="FFFFFF"/>
        </w:rPr>
        <w:t xml:space="preserve">nalysis of </w:t>
      </w:r>
      <w:r w:rsidR="00F7086C">
        <w:rPr>
          <w:rFonts w:cstheme="minorHAnsi"/>
          <w:i/>
          <w:iCs/>
          <w:color w:val="202122"/>
          <w:shd w:val="clear" w:color="auto" w:fill="FFFFFF"/>
        </w:rPr>
        <w:t>v</w:t>
      </w:r>
      <w:r w:rsidRPr="00262089">
        <w:rPr>
          <w:rFonts w:cstheme="minorHAnsi"/>
          <w:i/>
          <w:iCs/>
          <w:color w:val="202122"/>
          <w:shd w:val="clear" w:color="auto" w:fill="FFFFFF"/>
        </w:rPr>
        <w:t>ariance</w:t>
      </w:r>
      <w:r w:rsidRPr="00262089">
        <w:rPr>
          <w:rFonts w:cstheme="minorHAnsi"/>
          <w:color w:val="202122"/>
          <w:shd w:val="clear" w:color="auto" w:fill="FFFFFF"/>
        </w:rPr>
        <w:t>. New York: Wiley.</w:t>
      </w:r>
    </w:p>
    <w:p w:rsidR="000B087B" w:rsidRPr="00262089" w:rsidP="000B087B" w14:paraId="50F53B56" w14:textId="77777777">
      <w:pPr>
        <w:rPr>
          <w:rFonts w:cstheme="minorHAnsi"/>
          <w:color w:val="202122"/>
          <w:shd w:val="clear" w:color="auto" w:fill="FFFFFF"/>
        </w:rPr>
      </w:pPr>
      <w:r w:rsidRPr="00262089">
        <w:rPr>
          <w:rFonts w:cstheme="minorHAnsi"/>
          <w:color w:val="202122"/>
          <w:shd w:val="clear" w:color="auto" w:fill="FFFFFF"/>
        </w:rPr>
        <w:t xml:space="preserve">Schwarz, G. E. (1978). Estimating the dimension of a model. </w:t>
      </w:r>
      <w:r w:rsidRPr="00262089">
        <w:rPr>
          <w:rFonts w:cstheme="minorHAnsi"/>
          <w:i/>
          <w:iCs/>
          <w:color w:val="202122"/>
          <w:shd w:val="clear" w:color="auto" w:fill="FFFFFF"/>
        </w:rPr>
        <w:t xml:space="preserve"> Annals of Statistics, 6</w:t>
      </w:r>
      <w:r w:rsidRPr="00262089">
        <w:rPr>
          <w:rFonts w:cstheme="minorHAnsi"/>
          <w:color w:val="202122"/>
          <w:shd w:val="clear" w:color="auto" w:fill="FFFFFF"/>
        </w:rPr>
        <w:t>. 461–464.</w:t>
      </w:r>
    </w:p>
    <w:p w:rsidR="00D36853" w:rsidRPr="00262089" w:rsidP="006D5639" w14:paraId="6AF2299C" w14:textId="77777777">
      <w:pPr>
        <w:pStyle w:val="NoSpacing"/>
      </w:pPr>
      <w:r w:rsidRPr="00262089">
        <w:t>Shea, T., De Cieri, H., Donohue, R., Cooper, B., &amp; Sheehan, C. (2016). Leading indicators of</w:t>
      </w:r>
    </w:p>
    <w:p w:rsidR="00D36853" w:rsidRPr="00262089" w:rsidP="006D5639" w14:paraId="67332308" w14:textId="77777777">
      <w:pPr>
        <w:pStyle w:val="NoSpacing"/>
        <w:rPr>
          <w:i/>
        </w:rPr>
      </w:pPr>
      <w:r w:rsidRPr="00262089">
        <w:t xml:space="preserve"> occupational health and safety: An employee and workplace level validation study.  </w:t>
      </w:r>
      <w:r w:rsidRPr="00262089">
        <w:rPr>
          <w:i/>
        </w:rPr>
        <w:t>Safety</w:t>
      </w:r>
    </w:p>
    <w:p w:rsidR="00D36853" w:rsidP="00C17D9B" w14:paraId="2FD3D056" w14:textId="77777777">
      <w:pPr>
        <w:pStyle w:val="NoSpacing"/>
      </w:pPr>
      <w:r w:rsidRPr="00262089">
        <w:t xml:space="preserve"> </w:t>
      </w:r>
      <w:r w:rsidRPr="00262089">
        <w:rPr>
          <w:i/>
        </w:rPr>
        <w:t>Science, 85</w:t>
      </w:r>
      <w:r w:rsidRPr="00262089">
        <w:t>, 293-304.</w:t>
      </w:r>
    </w:p>
    <w:p w:rsidR="00C17D9B" w:rsidRPr="00262089" w:rsidP="006D5639" w14:paraId="6BEC3254" w14:textId="77777777">
      <w:pPr>
        <w:pStyle w:val="NoSpacing"/>
      </w:pPr>
    </w:p>
    <w:p w:rsidR="00D84FCD" w:rsidRPr="00262089" w:rsidP="003C3049" w14:paraId="5F53BE78" w14:textId="77777777">
      <w:pPr>
        <w:rPr>
          <w:rFonts w:cstheme="minorHAnsi"/>
          <w:iCs/>
        </w:rPr>
      </w:pPr>
      <w:r w:rsidRPr="00262089">
        <w:rPr>
          <w:rFonts w:cstheme="minorHAnsi"/>
          <w:color w:val="202122"/>
          <w:shd w:val="clear" w:color="auto" w:fill="FFFFFF"/>
        </w:rPr>
        <w:t xml:space="preserve">Tukey, J. (1949). Comparing </w:t>
      </w:r>
      <w:r w:rsidR="00F7086C">
        <w:rPr>
          <w:rFonts w:cstheme="minorHAnsi"/>
          <w:color w:val="202122"/>
          <w:shd w:val="clear" w:color="auto" w:fill="FFFFFF"/>
        </w:rPr>
        <w:t>i</w:t>
      </w:r>
      <w:r w:rsidRPr="00262089">
        <w:rPr>
          <w:rFonts w:cstheme="minorHAnsi"/>
          <w:color w:val="202122"/>
          <w:shd w:val="clear" w:color="auto" w:fill="FFFFFF"/>
        </w:rPr>
        <w:t xml:space="preserve">ndividual </w:t>
      </w:r>
      <w:r w:rsidR="00F7086C">
        <w:rPr>
          <w:rFonts w:cstheme="minorHAnsi"/>
          <w:color w:val="202122"/>
          <w:shd w:val="clear" w:color="auto" w:fill="FFFFFF"/>
        </w:rPr>
        <w:t>m</w:t>
      </w:r>
      <w:r w:rsidRPr="00262089">
        <w:rPr>
          <w:rFonts w:cstheme="minorHAnsi"/>
          <w:color w:val="202122"/>
          <w:shd w:val="clear" w:color="auto" w:fill="FFFFFF"/>
        </w:rPr>
        <w:t xml:space="preserve">eans in the </w:t>
      </w:r>
      <w:r w:rsidR="00F7086C">
        <w:rPr>
          <w:rFonts w:cstheme="minorHAnsi"/>
          <w:color w:val="202122"/>
          <w:shd w:val="clear" w:color="auto" w:fill="FFFFFF"/>
        </w:rPr>
        <w:t>a</w:t>
      </w:r>
      <w:r w:rsidRPr="00262089">
        <w:rPr>
          <w:rFonts w:cstheme="minorHAnsi"/>
          <w:color w:val="202122"/>
          <w:shd w:val="clear" w:color="auto" w:fill="FFFFFF"/>
        </w:rPr>
        <w:t xml:space="preserve">nalysis of </w:t>
      </w:r>
      <w:r w:rsidR="00977C8F">
        <w:rPr>
          <w:rFonts w:cstheme="minorHAnsi"/>
          <w:color w:val="202122"/>
          <w:shd w:val="clear" w:color="auto" w:fill="FFFFFF"/>
        </w:rPr>
        <w:t>v</w:t>
      </w:r>
      <w:r w:rsidRPr="00262089">
        <w:rPr>
          <w:rFonts w:cstheme="minorHAnsi"/>
          <w:color w:val="202122"/>
          <w:shd w:val="clear" w:color="auto" w:fill="FFFFFF"/>
        </w:rPr>
        <w:t xml:space="preserve">ariance.  </w:t>
      </w:r>
      <w:r w:rsidRPr="00262089">
        <w:rPr>
          <w:rFonts w:cstheme="minorHAnsi"/>
          <w:i/>
          <w:iCs/>
          <w:color w:val="202122"/>
          <w:shd w:val="clear" w:color="auto" w:fill="FFFFFF"/>
        </w:rPr>
        <w:t>Biometrics, 5,</w:t>
      </w:r>
      <w:r w:rsidRPr="00262089">
        <w:rPr>
          <w:rFonts w:cstheme="minorHAnsi"/>
          <w:color w:val="202122"/>
          <w:shd w:val="clear" w:color="auto" w:fill="FFFFFF"/>
        </w:rPr>
        <w:t xml:space="preserve"> 99–114.</w:t>
      </w:r>
    </w:p>
    <w:p w:rsidR="00093A72" w:rsidRPr="00262089" w14:paraId="2ABEE879" w14:textId="77777777">
      <w:pPr>
        <w:rPr>
          <w:rFonts w:cstheme="minorHAnsi"/>
          <w:b/>
        </w:rPr>
      </w:pPr>
      <w:r w:rsidRPr="00262089">
        <w:rPr>
          <w:rFonts w:cstheme="minorHAnsi"/>
          <w:b/>
        </w:rPr>
        <w:br w:type="page"/>
      </w:r>
    </w:p>
    <w:p w:rsidR="00C6214C" w:rsidRPr="00262089" w:rsidP="003C3049" w14:paraId="78E92C7D" w14:textId="77777777">
      <w:pPr>
        <w:rPr>
          <w:rFonts w:cstheme="minorHAnsi"/>
          <w:b/>
        </w:rPr>
      </w:pPr>
      <w:r w:rsidRPr="00262089">
        <w:rPr>
          <w:rFonts w:cstheme="minorHAnsi"/>
          <w:b/>
        </w:rPr>
        <w:t>5. Provide the name and telephone number of individuals consulted on statistical aspects of the design and the name of the agency unit, contractor(s), grantee(s), or other person(s) who will actually collect and/or analyze the information for the agency.</w:t>
      </w:r>
    </w:p>
    <w:p w:rsidR="00C6214C" w:rsidRPr="00262089" w:rsidP="006906FF" w14:paraId="245CC301" w14:textId="77777777">
      <w:pPr>
        <w:rPr>
          <w:rFonts w:cstheme="minorHAnsi"/>
        </w:rPr>
      </w:pPr>
      <w:r w:rsidRPr="00262089">
        <w:rPr>
          <w:rFonts w:cstheme="minorHAnsi"/>
        </w:rPr>
        <w:t xml:space="preserve">Patrick A. Showalter is the Director of </w:t>
      </w:r>
      <w:r w:rsidRPr="00262089" w:rsidR="00CB7A59">
        <w:rPr>
          <w:rFonts w:cstheme="minorHAnsi"/>
        </w:rPr>
        <w:t>OSBA</w:t>
      </w:r>
      <w:r w:rsidRPr="00262089">
        <w:rPr>
          <w:rFonts w:cstheme="minorHAnsi"/>
        </w:rPr>
        <w:t xml:space="preserve">.  He has </w:t>
      </w:r>
      <w:r w:rsidRPr="00262089" w:rsidR="005E2E45">
        <w:rPr>
          <w:rFonts w:cstheme="minorHAnsi"/>
        </w:rPr>
        <w:t xml:space="preserve">the </w:t>
      </w:r>
      <w:r w:rsidRPr="00262089">
        <w:rPr>
          <w:rFonts w:cstheme="minorHAnsi"/>
        </w:rPr>
        <w:t xml:space="preserve">overall </w:t>
      </w:r>
      <w:r w:rsidRPr="00262089" w:rsidR="00857636">
        <w:rPr>
          <w:rFonts w:cstheme="minorHAnsi"/>
        </w:rPr>
        <w:t>authority and responsibility</w:t>
      </w:r>
      <w:r w:rsidRPr="00262089">
        <w:rPr>
          <w:rFonts w:cstheme="minorHAnsi"/>
        </w:rPr>
        <w:t xml:space="preserve"> for th</w:t>
      </w:r>
      <w:r w:rsidRPr="00262089" w:rsidR="00922F5D">
        <w:rPr>
          <w:rFonts w:cstheme="minorHAnsi"/>
        </w:rPr>
        <w:t>e Form 33 Revision Project</w:t>
      </w:r>
      <w:r w:rsidRPr="00262089" w:rsidR="00857636">
        <w:rPr>
          <w:rFonts w:cstheme="minorHAnsi"/>
        </w:rPr>
        <w:t xml:space="preserve">.  </w:t>
      </w:r>
    </w:p>
    <w:p w:rsidR="00857636" w:rsidRPr="00262089" w:rsidP="00857636" w14:paraId="15B1C021" w14:textId="77777777">
      <w:pPr>
        <w:spacing w:after="0" w:line="240" w:lineRule="auto"/>
        <w:ind w:left="1440"/>
        <w:rPr>
          <w:rFonts w:cstheme="minorHAnsi"/>
        </w:rPr>
      </w:pPr>
      <w:r w:rsidRPr="00262089">
        <w:rPr>
          <w:rFonts w:cstheme="minorHAnsi"/>
        </w:rPr>
        <w:t xml:space="preserve">Patrick A. Showalter </w:t>
      </w:r>
    </w:p>
    <w:p w:rsidR="00C77C15" w:rsidRPr="00262089" w:rsidP="00857636" w14:paraId="5F245F65" w14:textId="77777777">
      <w:pPr>
        <w:spacing w:after="0" w:line="240" w:lineRule="auto"/>
        <w:ind w:left="1440"/>
        <w:rPr>
          <w:rFonts w:cstheme="minorHAnsi"/>
        </w:rPr>
      </w:pPr>
      <w:r w:rsidRPr="00262089">
        <w:rPr>
          <w:rFonts w:cstheme="minorHAnsi"/>
        </w:rPr>
        <w:t>Director, Office of Small Business Assistance</w:t>
      </w:r>
      <w:r w:rsidRPr="00262089" w:rsidR="007D2BC6">
        <w:rPr>
          <w:rFonts w:cstheme="minorHAnsi"/>
        </w:rPr>
        <w:t xml:space="preserve"> (OSBA)</w:t>
      </w:r>
    </w:p>
    <w:p w:rsidR="00857636" w:rsidRPr="00262089" w:rsidP="00857636" w14:paraId="116C8262" w14:textId="77777777">
      <w:pPr>
        <w:spacing w:after="0" w:line="240" w:lineRule="auto"/>
        <w:ind w:left="1440"/>
        <w:rPr>
          <w:rFonts w:cstheme="minorHAnsi"/>
        </w:rPr>
      </w:pPr>
      <w:r w:rsidRPr="00262089">
        <w:rPr>
          <w:rFonts w:cstheme="minorHAnsi"/>
        </w:rPr>
        <w:t>Directorate of Cooperative and State Programs</w:t>
      </w:r>
    </w:p>
    <w:p w:rsidR="00857636" w:rsidRPr="00262089" w:rsidP="00857636" w14:paraId="0AD2912B" w14:textId="77777777">
      <w:pPr>
        <w:spacing w:after="0" w:line="240" w:lineRule="auto"/>
        <w:ind w:left="1440"/>
        <w:rPr>
          <w:rFonts w:cstheme="minorHAnsi"/>
        </w:rPr>
      </w:pPr>
      <w:r w:rsidRPr="00262089">
        <w:rPr>
          <w:rFonts w:cstheme="minorHAnsi"/>
        </w:rPr>
        <w:t>Occupational Safety and Health Administration</w:t>
      </w:r>
    </w:p>
    <w:p w:rsidR="00857636" w:rsidRPr="00262089" w:rsidP="00857636" w14:paraId="4B17CE80" w14:textId="77777777">
      <w:pPr>
        <w:spacing w:after="0" w:line="240" w:lineRule="auto"/>
        <w:ind w:left="1440"/>
        <w:rPr>
          <w:rFonts w:cstheme="minorHAnsi"/>
        </w:rPr>
      </w:pPr>
      <w:r w:rsidRPr="00262089">
        <w:rPr>
          <w:rFonts w:cstheme="minorHAnsi"/>
        </w:rPr>
        <w:t>Washington, DC 20210</w:t>
      </w:r>
    </w:p>
    <w:p w:rsidR="00C6214C" w:rsidP="00857636" w14:paraId="6B59E0F6" w14:textId="77777777">
      <w:pPr>
        <w:spacing w:after="0" w:line="240" w:lineRule="auto"/>
        <w:ind w:left="1440"/>
        <w:rPr>
          <w:rFonts w:cstheme="minorHAnsi"/>
        </w:rPr>
      </w:pPr>
      <w:r w:rsidRPr="00262089">
        <w:rPr>
          <w:rFonts w:cstheme="minorHAnsi"/>
        </w:rPr>
        <w:t>202-693-2229</w:t>
      </w:r>
      <w:r w:rsidRPr="00262089" w:rsidR="00B36893">
        <w:rPr>
          <w:rFonts w:cstheme="minorHAnsi"/>
        </w:rPr>
        <w:t xml:space="preserve">; </w:t>
      </w:r>
      <w:hyperlink r:id="rId13" w:history="1">
        <w:r w:rsidRPr="007012D1" w:rsidR="00310544">
          <w:rPr>
            <w:rStyle w:val="Hyperlink"/>
            <w:rFonts w:cstheme="minorHAnsi"/>
          </w:rPr>
          <w:t>Showalter.patrick@dol.gov</w:t>
        </w:r>
      </w:hyperlink>
      <w:r w:rsidR="00310544">
        <w:rPr>
          <w:rFonts w:cstheme="minorHAnsi"/>
        </w:rPr>
        <w:t>.</w:t>
      </w:r>
    </w:p>
    <w:p w:rsidR="00310544" w:rsidRPr="00262089" w:rsidP="00857636" w14:paraId="72181CC0" w14:textId="77777777">
      <w:pPr>
        <w:spacing w:after="0" w:line="240" w:lineRule="auto"/>
        <w:ind w:left="1440"/>
        <w:rPr>
          <w:rFonts w:cstheme="minorHAnsi"/>
        </w:rPr>
      </w:pPr>
    </w:p>
    <w:p w:rsidR="001F4B21" w:rsidRPr="00262089" w:rsidP="006906FF" w14:paraId="2213D46F" w14:textId="77777777">
      <w:pPr>
        <w:rPr>
          <w:rFonts w:cstheme="minorHAnsi"/>
        </w:rPr>
      </w:pPr>
      <w:r w:rsidRPr="00262089">
        <w:rPr>
          <w:rFonts w:cstheme="minorHAnsi"/>
        </w:rPr>
        <w:t>Patrick</w:t>
      </w:r>
      <w:r w:rsidRPr="00262089" w:rsidR="0015443B">
        <w:rPr>
          <w:rFonts w:cstheme="minorHAnsi"/>
        </w:rPr>
        <w:t xml:space="preserve"> Showalter oversee</w:t>
      </w:r>
      <w:r w:rsidRPr="00262089">
        <w:rPr>
          <w:rFonts w:cstheme="minorHAnsi"/>
        </w:rPr>
        <w:t>s</w:t>
      </w:r>
      <w:r w:rsidRPr="00262089" w:rsidR="0015443B">
        <w:rPr>
          <w:rFonts w:cstheme="minorHAnsi"/>
        </w:rPr>
        <w:t xml:space="preserve"> </w:t>
      </w:r>
      <w:r w:rsidRPr="00262089" w:rsidR="000C4950">
        <w:rPr>
          <w:rFonts w:cstheme="minorHAnsi"/>
        </w:rPr>
        <w:t xml:space="preserve">the </w:t>
      </w:r>
      <w:r w:rsidRPr="00262089" w:rsidR="00487119">
        <w:rPr>
          <w:rFonts w:cstheme="minorHAnsi"/>
        </w:rPr>
        <w:t>project</w:t>
      </w:r>
      <w:r w:rsidRPr="00262089" w:rsidR="0015443B">
        <w:rPr>
          <w:rFonts w:cstheme="minorHAnsi"/>
        </w:rPr>
        <w:t xml:space="preserve"> manager</w:t>
      </w:r>
      <w:r w:rsidRPr="00262089" w:rsidR="007D2BC6">
        <w:rPr>
          <w:rFonts w:cstheme="minorHAnsi"/>
        </w:rPr>
        <w:t xml:space="preserve"> (Opeyemi Farquah)</w:t>
      </w:r>
      <w:r w:rsidRPr="00262089" w:rsidR="0015443B">
        <w:rPr>
          <w:rFonts w:cstheme="minorHAnsi"/>
        </w:rPr>
        <w:t xml:space="preserve">, who </w:t>
      </w:r>
      <w:r w:rsidRPr="00262089">
        <w:rPr>
          <w:rFonts w:cstheme="minorHAnsi"/>
        </w:rPr>
        <w:t>is tasked with</w:t>
      </w:r>
      <w:r w:rsidRPr="00262089" w:rsidR="0015443B">
        <w:rPr>
          <w:rFonts w:cstheme="minorHAnsi"/>
        </w:rPr>
        <w:t xml:space="preserve"> </w:t>
      </w:r>
      <w:r w:rsidRPr="00262089">
        <w:rPr>
          <w:rFonts w:cstheme="minorHAnsi"/>
        </w:rPr>
        <w:t xml:space="preserve">executing the Form 33 Revision Project. </w:t>
      </w:r>
      <w:r w:rsidR="00D70171">
        <w:rPr>
          <w:rFonts w:cstheme="minorHAnsi"/>
        </w:rPr>
        <w:t>Barney Lawrence functions as Patrick Showalter's alternate</w:t>
      </w:r>
      <w:r w:rsidRPr="00262089">
        <w:rPr>
          <w:rFonts w:cstheme="minorHAnsi"/>
        </w:rPr>
        <w:t xml:space="preserve">.  </w:t>
      </w:r>
    </w:p>
    <w:p w:rsidR="0015443B" w:rsidRPr="00262089" w:rsidP="006906FF" w14:paraId="6DC96257" w14:textId="77777777">
      <w:pPr>
        <w:rPr>
          <w:rFonts w:cstheme="minorHAnsi"/>
        </w:rPr>
      </w:pPr>
      <w:r w:rsidRPr="00262089">
        <w:rPr>
          <w:rFonts w:cstheme="minorHAnsi"/>
        </w:rPr>
        <w:t xml:space="preserve">The project manager works with a team comprised of </w:t>
      </w:r>
      <w:r w:rsidRPr="00262089" w:rsidR="007D2BC6">
        <w:rPr>
          <w:rFonts w:cstheme="minorHAnsi"/>
        </w:rPr>
        <w:t xml:space="preserve">Paul Schlumper, Brian Warrick, James Robert, </w:t>
      </w:r>
      <w:r w:rsidRPr="00262089" w:rsidR="00AA62AE">
        <w:rPr>
          <w:rFonts w:cstheme="minorHAnsi"/>
        </w:rPr>
        <w:t xml:space="preserve">Bruce Love, </w:t>
      </w:r>
      <w:r w:rsidRPr="00262089" w:rsidR="007D2BC6">
        <w:rPr>
          <w:rFonts w:cstheme="minorHAnsi"/>
        </w:rPr>
        <w:t>Charles McCormick</w:t>
      </w:r>
      <w:r w:rsidRPr="00262089" w:rsidR="00AA62AE">
        <w:rPr>
          <w:rFonts w:cstheme="minorHAnsi"/>
        </w:rPr>
        <w:t xml:space="preserve">, </w:t>
      </w:r>
      <w:r w:rsidRPr="00262089" w:rsidR="00490CEB">
        <w:rPr>
          <w:rFonts w:cstheme="minorHAnsi"/>
        </w:rPr>
        <w:t xml:space="preserve">Brian </w:t>
      </w:r>
      <w:r w:rsidR="00310544">
        <w:rPr>
          <w:rFonts w:cstheme="minorHAnsi"/>
        </w:rPr>
        <w:t xml:space="preserve">W. </w:t>
      </w:r>
      <w:r w:rsidRPr="00262089" w:rsidR="00490CEB">
        <w:rPr>
          <w:rFonts w:cstheme="minorHAnsi"/>
        </w:rPr>
        <w:t xml:space="preserve">Sloboda, </w:t>
      </w:r>
      <w:r w:rsidRPr="00262089">
        <w:rPr>
          <w:rFonts w:cstheme="minorHAnsi"/>
        </w:rPr>
        <w:t xml:space="preserve">and </w:t>
      </w:r>
      <w:r w:rsidRPr="00262089" w:rsidR="00AA62AE">
        <w:rPr>
          <w:rFonts w:cstheme="minorHAnsi"/>
        </w:rPr>
        <w:t>Britni Wilcher</w:t>
      </w:r>
      <w:r w:rsidRPr="00262089">
        <w:rPr>
          <w:rFonts w:cstheme="minorHAnsi"/>
        </w:rPr>
        <w:t>.</w:t>
      </w:r>
      <w:r w:rsidRPr="00262089" w:rsidR="007D2BC6">
        <w:rPr>
          <w:rFonts w:cstheme="minorHAnsi"/>
        </w:rPr>
        <w:t xml:space="preserve"> </w:t>
      </w:r>
      <w:r w:rsidRPr="00262089">
        <w:rPr>
          <w:rFonts w:cstheme="minorHAnsi"/>
        </w:rPr>
        <w:t xml:space="preserve"> Additional subject</w:t>
      </w:r>
      <w:r w:rsidRPr="00262089" w:rsidR="00CB7A59">
        <w:rPr>
          <w:rFonts w:cstheme="minorHAnsi"/>
        </w:rPr>
        <w:t xml:space="preserve"> matter expertise is sought as</w:t>
      </w:r>
      <w:r w:rsidRPr="00262089">
        <w:rPr>
          <w:rFonts w:cstheme="minorHAnsi"/>
        </w:rPr>
        <w:t xml:space="preserve"> necessary.</w:t>
      </w:r>
      <w:r w:rsidRPr="00262089" w:rsidR="00490CEB">
        <w:rPr>
          <w:rFonts w:cstheme="minorHAnsi"/>
        </w:rPr>
        <w:t xml:space="preserve">  </w:t>
      </w:r>
      <w:r w:rsidRPr="00262089">
        <w:rPr>
          <w:rFonts w:cstheme="minorHAnsi"/>
        </w:rPr>
        <w:t>Details of Form 33 Revision Project team members:</w:t>
      </w:r>
    </w:p>
    <w:p w:rsidR="00983C99" w:rsidRPr="007C124A" w:rsidP="007C124A" w14:paraId="61CE9066" w14:textId="77777777">
      <w:pPr>
        <w:pStyle w:val="ListParagraph"/>
        <w:numPr>
          <w:ilvl w:val="0"/>
          <w:numId w:val="2"/>
        </w:numPr>
        <w:spacing w:after="0" w:line="240" w:lineRule="auto"/>
        <w:ind w:left="1080"/>
        <w:rPr>
          <w:rFonts w:cstheme="minorHAnsi"/>
        </w:rPr>
      </w:pPr>
      <w:r>
        <w:rPr>
          <w:rFonts w:cstheme="minorHAnsi"/>
        </w:rPr>
        <w:t>Patrick Show</w:t>
      </w:r>
      <w:r w:rsidR="003076CB">
        <w:rPr>
          <w:rFonts w:cstheme="minorHAnsi"/>
        </w:rPr>
        <w:t>a</w:t>
      </w:r>
      <w:r>
        <w:rPr>
          <w:rFonts w:cstheme="minorHAnsi"/>
        </w:rPr>
        <w:t>lter, Director,</w:t>
      </w:r>
      <w:r w:rsidR="007C124A">
        <w:rPr>
          <w:rFonts w:cstheme="minorHAnsi"/>
        </w:rPr>
        <w:t xml:space="preserve"> </w:t>
      </w:r>
      <w:r w:rsidRPr="00262089" w:rsidR="007C124A">
        <w:rPr>
          <w:rFonts w:cstheme="minorHAnsi"/>
        </w:rPr>
        <w:t>Office of Small Business Assistance (OSBA)</w:t>
      </w:r>
      <w:r w:rsidR="007C124A">
        <w:rPr>
          <w:rFonts w:cstheme="minorHAnsi"/>
        </w:rPr>
        <w:t xml:space="preserve">, </w:t>
      </w:r>
      <w:r w:rsidRPr="007C124A">
        <w:rPr>
          <w:rFonts w:cstheme="minorHAnsi"/>
        </w:rPr>
        <w:t>Directorate of Cooperative and State Programs</w:t>
      </w:r>
      <w:r w:rsidR="003076CB">
        <w:rPr>
          <w:rFonts w:cstheme="minorHAnsi"/>
        </w:rPr>
        <w:t>,</w:t>
      </w:r>
      <w:r w:rsidR="008A5D89">
        <w:rPr>
          <w:rFonts w:cstheme="minorHAnsi"/>
        </w:rPr>
        <w:t xml:space="preserve"> OSHA,</w:t>
      </w:r>
      <w:r w:rsidR="003076CB">
        <w:rPr>
          <w:rFonts w:cstheme="minorHAnsi"/>
        </w:rPr>
        <w:t xml:space="preserve"> </w:t>
      </w:r>
      <w:hyperlink r:id="rId14" w:history="1">
        <w:r w:rsidRPr="00262089" w:rsidR="003076CB">
          <w:rPr>
            <w:rStyle w:val="Hyperlink"/>
            <w:rFonts w:cstheme="minorHAnsi"/>
          </w:rPr>
          <w:t>Showalter.patrick@dol.gov</w:t>
        </w:r>
      </w:hyperlink>
      <w:r w:rsidR="003076CB">
        <w:rPr>
          <w:rFonts w:cstheme="minorHAnsi"/>
        </w:rPr>
        <w:t>;</w:t>
      </w:r>
    </w:p>
    <w:p w:rsidR="006D7BFC" w:rsidRPr="00262089" w:rsidP="006906FF" w14:paraId="4C868F5E" w14:textId="77777777">
      <w:pPr>
        <w:pStyle w:val="ListParagraph"/>
        <w:numPr>
          <w:ilvl w:val="0"/>
          <w:numId w:val="2"/>
        </w:numPr>
        <w:spacing w:after="0" w:line="240" w:lineRule="auto"/>
        <w:ind w:left="1080"/>
        <w:rPr>
          <w:rFonts w:cstheme="minorHAnsi"/>
        </w:rPr>
      </w:pPr>
      <w:r w:rsidRPr="00262089">
        <w:rPr>
          <w:rFonts w:cstheme="minorHAnsi"/>
        </w:rPr>
        <w:t xml:space="preserve">Barney Lawrence, </w:t>
      </w:r>
      <w:r w:rsidRPr="00262089" w:rsidR="00AA62AE">
        <w:rPr>
          <w:rFonts w:cstheme="minorHAnsi"/>
        </w:rPr>
        <w:t>Supervisor</w:t>
      </w:r>
      <w:r w:rsidRPr="00262089" w:rsidR="00AA62AE">
        <w:rPr>
          <w:rFonts w:eastAsia="Times New Roman" w:cstheme="minorHAnsi"/>
        </w:rPr>
        <w:t xml:space="preserve">, </w:t>
      </w:r>
      <w:r w:rsidR="00336A8D">
        <w:rPr>
          <w:rFonts w:eastAsia="Times New Roman" w:cstheme="minorHAnsi"/>
        </w:rPr>
        <w:t>OSBA,</w:t>
      </w:r>
      <w:r w:rsidRPr="00262089" w:rsidR="00AA62AE">
        <w:rPr>
          <w:rFonts w:eastAsia="Times New Roman" w:cstheme="minorHAnsi"/>
        </w:rPr>
        <w:t xml:space="preserve"> </w:t>
      </w:r>
      <w:hyperlink r:id="rId15" w:history="1">
        <w:r w:rsidRPr="00262089" w:rsidR="00AA62AE">
          <w:rPr>
            <w:rStyle w:val="Hyperlink"/>
            <w:rFonts w:cstheme="minorHAnsi"/>
          </w:rPr>
          <w:t>Lawrence.Barnett@dol.gov</w:t>
        </w:r>
      </w:hyperlink>
      <w:r w:rsidRPr="00262089" w:rsidR="00AA62AE">
        <w:rPr>
          <w:rFonts w:cstheme="minorHAnsi"/>
        </w:rPr>
        <w:t>;</w:t>
      </w:r>
    </w:p>
    <w:p w:rsidR="007D2BC6" w:rsidRPr="00262089" w:rsidP="006906FF" w14:paraId="6136DBB8" w14:textId="77777777">
      <w:pPr>
        <w:pStyle w:val="ListParagraph"/>
        <w:numPr>
          <w:ilvl w:val="0"/>
          <w:numId w:val="2"/>
        </w:numPr>
        <w:spacing w:after="0" w:line="240" w:lineRule="auto"/>
        <w:ind w:left="1080"/>
        <w:rPr>
          <w:rFonts w:cstheme="minorHAnsi"/>
        </w:rPr>
      </w:pPr>
      <w:r w:rsidRPr="00262089">
        <w:rPr>
          <w:rFonts w:cstheme="minorHAnsi"/>
        </w:rPr>
        <w:t>Opeyemi Farq</w:t>
      </w:r>
      <w:r w:rsidRPr="00262089" w:rsidR="00B36893">
        <w:rPr>
          <w:rFonts w:cstheme="minorHAnsi"/>
        </w:rPr>
        <w:t xml:space="preserve">uah, </w:t>
      </w:r>
      <w:r w:rsidRPr="00262089" w:rsidR="006D7BFC">
        <w:rPr>
          <w:rFonts w:cstheme="minorHAnsi"/>
        </w:rPr>
        <w:t xml:space="preserve">M.S., GSP, </w:t>
      </w:r>
      <w:r w:rsidRPr="00262089">
        <w:rPr>
          <w:rFonts w:cstheme="minorHAnsi"/>
        </w:rPr>
        <w:t xml:space="preserve">Safety and </w:t>
      </w:r>
      <w:r w:rsidRPr="00262089" w:rsidR="00B36893">
        <w:rPr>
          <w:rFonts w:cstheme="minorHAnsi"/>
        </w:rPr>
        <w:t xml:space="preserve">Occupational </w:t>
      </w:r>
      <w:r w:rsidRPr="00262089">
        <w:rPr>
          <w:rFonts w:cstheme="minorHAnsi"/>
        </w:rPr>
        <w:t>Health Specialist</w:t>
      </w:r>
      <w:r w:rsidR="00336A8D">
        <w:rPr>
          <w:rFonts w:cstheme="minorHAnsi"/>
        </w:rPr>
        <w:t xml:space="preserve">, </w:t>
      </w:r>
      <w:r w:rsidRPr="00262089" w:rsidR="00AA62AE">
        <w:rPr>
          <w:rFonts w:cstheme="minorHAnsi"/>
        </w:rPr>
        <w:t>OSBA,</w:t>
      </w:r>
      <w:r w:rsidRPr="00262089" w:rsidR="00487119">
        <w:rPr>
          <w:rFonts w:cstheme="minorHAnsi"/>
        </w:rPr>
        <w:t xml:space="preserve"> Project</w:t>
      </w:r>
      <w:r w:rsidRPr="00262089" w:rsidR="006D7BFC">
        <w:rPr>
          <w:rFonts w:cstheme="minorHAnsi"/>
        </w:rPr>
        <w:t xml:space="preserve"> Manager,</w:t>
      </w:r>
      <w:r w:rsidRPr="00262089">
        <w:rPr>
          <w:rFonts w:cstheme="minorHAnsi"/>
        </w:rPr>
        <w:t xml:space="preserve"> </w:t>
      </w:r>
      <w:hyperlink r:id="rId16" w:history="1">
        <w:r w:rsidRPr="00262089" w:rsidR="00B36893">
          <w:rPr>
            <w:rStyle w:val="Hyperlink"/>
            <w:rFonts w:cstheme="minorHAnsi"/>
          </w:rPr>
          <w:t>Farquah.opeyemi@dol.gov</w:t>
        </w:r>
      </w:hyperlink>
      <w:r w:rsidRPr="00262089" w:rsidR="00B36893">
        <w:rPr>
          <w:rFonts w:cstheme="minorHAnsi"/>
        </w:rPr>
        <w:t>;</w:t>
      </w:r>
    </w:p>
    <w:p w:rsidR="00AA62AE" w:rsidRPr="00262089" w:rsidP="006906FF" w14:paraId="10980221" w14:textId="77777777">
      <w:pPr>
        <w:pStyle w:val="ListParagraph"/>
        <w:numPr>
          <w:ilvl w:val="0"/>
          <w:numId w:val="2"/>
        </w:numPr>
        <w:spacing w:after="0" w:line="240" w:lineRule="auto"/>
        <w:ind w:left="1080"/>
        <w:rPr>
          <w:rFonts w:cstheme="minorHAnsi"/>
        </w:rPr>
      </w:pPr>
      <w:r w:rsidRPr="00262089">
        <w:rPr>
          <w:rFonts w:cstheme="minorHAnsi"/>
        </w:rPr>
        <w:t>Bruce Love, MBA, Program Analyst</w:t>
      </w:r>
      <w:r w:rsidR="00336A8D">
        <w:rPr>
          <w:rFonts w:cstheme="minorHAnsi"/>
        </w:rPr>
        <w:t xml:space="preserve">, </w:t>
      </w:r>
      <w:r w:rsidRPr="00262089">
        <w:rPr>
          <w:rFonts w:cstheme="minorHAnsi"/>
        </w:rPr>
        <w:t xml:space="preserve">OSBA, </w:t>
      </w:r>
      <w:hyperlink r:id="rId17" w:history="1">
        <w:r w:rsidRPr="00262089">
          <w:rPr>
            <w:rStyle w:val="Hyperlink"/>
            <w:rFonts w:cstheme="minorHAnsi"/>
          </w:rPr>
          <w:t>love.bruce@dol.gov</w:t>
        </w:r>
      </w:hyperlink>
      <w:r w:rsidRPr="00262089">
        <w:rPr>
          <w:rFonts w:cstheme="minorHAnsi"/>
        </w:rPr>
        <w:t>;</w:t>
      </w:r>
    </w:p>
    <w:p w:rsidR="000D1F8C" w:rsidRPr="00262089" w:rsidP="004B3258" w14:paraId="32966F20" w14:textId="77777777">
      <w:pPr>
        <w:pStyle w:val="ListParagraph"/>
        <w:numPr>
          <w:ilvl w:val="0"/>
          <w:numId w:val="2"/>
        </w:numPr>
        <w:spacing w:after="0" w:line="240" w:lineRule="auto"/>
        <w:ind w:left="1080"/>
        <w:rPr>
          <w:rFonts w:cstheme="minorHAnsi"/>
        </w:rPr>
      </w:pPr>
      <w:r>
        <w:rPr>
          <w:rFonts w:cstheme="minorHAnsi"/>
        </w:rPr>
        <w:t>Christian Wojnar, Program Analyst</w:t>
      </w:r>
      <w:r w:rsidR="00336A8D">
        <w:rPr>
          <w:rFonts w:cstheme="minorHAnsi"/>
        </w:rPr>
        <w:t xml:space="preserve">, </w:t>
      </w:r>
      <w:r>
        <w:rPr>
          <w:rFonts w:cstheme="minorHAnsi"/>
        </w:rPr>
        <w:t>OSBA, Wojnar.christian@dol.gov;</w:t>
      </w:r>
    </w:p>
    <w:p w:rsidR="00490CEB" w:rsidRPr="00262089" w:rsidP="004B3258" w14:paraId="5031EEDF" w14:textId="77777777">
      <w:pPr>
        <w:pStyle w:val="ListParagraph"/>
        <w:numPr>
          <w:ilvl w:val="0"/>
          <w:numId w:val="2"/>
        </w:numPr>
        <w:spacing w:after="0" w:line="240" w:lineRule="auto"/>
        <w:ind w:left="1080"/>
        <w:rPr>
          <w:rFonts w:cstheme="minorHAnsi"/>
        </w:rPr>
      </w:pPr>
      <w:r w:rsidRPr="00262089">
        <w:rPr>
          <w:rFonts w:cstheme="minorHAnsi"/>
        </w:rPr>
        <w:t xml:space="preserve">Brian </w:t>
      </w:r>
      <w:r w:rsidR="00310544">
        <w:rPr>
          <w:rFonts w:cstheme="minorHAnsi"/>
        </w:rPr>
        <w:t xml:space="preserve">W. </w:t>
      </w:r>
      <w:r w:rsidRPr="00262089">
        <w:rPr>
          <w:rFonts w:cstheme="minorHAnsi"/>
        </w:rPr>
        <w:t>Sloboda, Economist</w:t>
      </w:r>
      <w:r w:rsidR="00336A8D">
        <w:rPr>
          <w:rFonts w:cstheme="minorHAnsi"/>
        </w:rPr>
        <w:t>. OSHA,</w:t>
      </w:r>
      <w:r w:rsidR="00893083">
        <w:rPr>
          <w:rFonts w:cstheme="minorHAnsi"/>
        </w:rPr>
        <w:t xml:space="preserve"> Directorate of Standards and Guidance,</w:t>
      </w:r>
      <w:r w:rsidRPr="00262089">
        <w:rPr>
          <w:rFonts w:cstheme="minorHAnsi"/>
        </w:rPr>
        <w:t xml:space="preserve"> </w:t>
      </w:r>
      <w:r w:rsidR="00F2681A">
        <w:rPr>
          <w:rFonts w:cstheme="minorHAnsi"/>
        </w:rPr>
        <w:t>Office of Regulatory Analysis</w:t>
      </w:r>
      <w:r w:rsidRPr="00262089">
        <w:rPr>
          <w:rFonts w:cstheme="minorHAnsi"/>
        </w:rPr>
        <w:t xml:space="preserve">-Safety, </w:t>
      </w:r>
      <w:hyperlink r:id="rId18" w:tooltip="e-mail Brian Sloboda" w:history="1">
        <w:r w:rsidRPr="00262089">
          <w:rPr>
            <w:rStyle w:val="Hyperlink"/>
            <w:rFonts w:cstheme="minorHAnsi"/>
          </w:rPr>
          <w:t>sloboda.brian.w@dol.gov</w:t>
        </w:r>
      </w:hyperlink>
      <w:r w:rsidRPr="00262089">
        <w:rPr>
          <w:rFonts w:cstheme="minorHAnsi"/>
        </w:rPr>
        <w:t>;</w:t>
      </w:r>
    </w:p>
    <w:p w:rsidR="00B36893" w:rsidRPr="00262089" w:rsidP="006906FF" w14:paraId="26A5CF75" w14:textId="77777777">
      <w:pPr>
        <w:pStyle w:val="ListParagraph"/>
        <w:numPr>
          <w:ilvl w:val="0"/>
          <w:numId w:val="2"/>
        </w:numPr>
        <w:spacing w:after="0" w:line="240" w:lineRule="auto"/>
        <w:ind w:left="1080"/>
        <w:rPr>
          <w:rFonts w:cstheme="minorHAnsi"/>
        </w:rPr>
      </w:pPr>
      <w:r w:rsidRPr="00262089">
        <w:rPr>
          <w:rFonts w:cstheme="minorHAnsi"/>
        </w:rPr>
        <w:t xml:space="preserve">Paul Schlumper, </w:t>
      </w:r>
      <w:r w:rsidRPr="00262089" w:rsidR="006D7BFC">
        <w:rPr>
          <w:rFonts w:cstheme="minorHAnsi"/>
        </w:rPr>
        <w:t>P.E.</w:t>
      </w:r>
      <w:r w:rsidRPr="00262089">
        <w:rPr>
          <w:rFonts w:cstheme="minorHAnsi"/>
        </w:rPr>
        <w:t xml:space="preserve">, </w:t>
      </w:r>
      <w:r w:rsidRPr="00262089" w:rsidR="006D7BFC">
        <w:rPr>
          <w:rFonts w:cstheme="minorHAnsi"/>
        </w:rPr>
        <w:t xml:space="preserve">CSP, Consultation Program Manager, </w:t>
      </w:r>
      <w:r w:rsidRPr="00262089">
        <w:rPr>
          <w:rFonts w:cstheme="minorHAnsi"/>
        </w:rPr>
        <w:t xml:space="preserve">Georgia Technology Consultation program; </w:t>
      </w:r>
      <w:r w:rsidRPr="00262089" w:rsidR="008C2116">
        <w:rPr>
          <w:rFonts w:cstheme="minorHAnsi"/>
        </w:rPr>
        <w:t>Occupational Safety and Health Expert</w:t>
      </w:r>
      <w:r w:rsidRPr="00262089" w:rsidR="00AA62AE">
        <w:rPr>
          <w:rFonts w:cstheme="minorHAnsi"/>
        </w:rPr>
        <w:t>,</w:t>
      </w:r>
      <w:r w:rsidRPr="00262089" w:rsidR="008C2116">
        <w:rPr>
          <w:rFonts w:cstheme="minorHAnsi"/>
        </w:rPr>
        <w:t xml:space="preserve"> </w:t>
      </w:r>
      <w:hyperlink r:id="rId19" w:history="1">
        <w:r w:rsidRPr="00262089">
          <w:rPr>
            <w:rStyle w:val="Hyperlink"/>
            <w:rFonts w:cstheme="minorHAnsi"/>
          </w:rPr>
          <w:t>Paul.Schlumper@innovate.gatech.edu</w:t>
        </w:r>
      </w:hyperlink>
      <w:r w:rsidRPr="00262089">
        <w:rPr>
          <w:rFonts w:cstheme="minorHAnsi"/>
        </w:rPr>
        <w:t>;</w:t>
      </w:r>
    </w:p>
    <w:p w:rsidR="00B36893" w:rsidRPr="00262089" w:rsidP="006906FF" w14:paraId="42148B4E" w14:textId="77777777">
      <w:pPr>
        <w:pStyle w:val="ListParagraph"/>
        <w:numPr>
          <w:ilvl w:val="0"/>
          <w:numId w:val="2"/>
        </w:numPr>
        <w:spacing w:after="0" w:line="240" w:lineRule="auto"/>
        <w:ind w:left="1080"/>
        <w:rPr>
          <w:rFonts w:cstheme="minorHAnsi"/>
        </w:rPr>
      </w:pPr>
      <w:r w:rsidRPr="00262089">
        <w:rPr>
          <w:rFonts w:cstheme="minorHAnsi"/>
        </w:rPr>
        <w:t>Dr. James Robert</w:t>
      </w:r>
      <w:r w:rsidRPr="00262089" w:rsidR="00833801">
        <w:rPr>
          <w:rFonts w:cstheme="minorHAnsi"/>
        </w:rPr>
        <w:t>s</w:t>
      </w:r>
      <w:r w:rsidRPr="00262089">
        <w:rPr>
          <w:rFonts w:cstheme="minorHAnsi"/>
        </w:rPr>
        <w:t xml:space="preserve">, </w:t>
      </w:r>
      <w:r w:rsidRPr="00262089" w:rsidR="00AA62AE">
        <w:rPr>
          <w:rFonts w:cstheme="minorHAnsi"/>
        </w:rPr>
        <w:t xml:space="preserve">Ph.D., </w:t>
      </w:r>
      <w:r w:rsidRPr="00262089" w:rsidR="008C2116">
        <w:rPr>
          <w:rFonts w:cstheme="minorHAnsi"/>
        </w:rPr>
        <w:t xml:space="preserve">Associate </w:t>
      </w:r>
      <w:r w:rsidRPr="00262089">
        <w:rPr>
          <w:rFonts w:cstheme="minorHAnsi"/>
        </w:rPr>
        <w:t>Professor, Georgia Technology</w:t>
      </w:r>
      <w:r w:rsidRPr="00262089" w:rsidR="008C2116">
        <w:rPr>
          <w:rFonts w:cstheme="minorHAnsi"/>
        </w:rPr>
        <w:t>, School of Psychology (Psychometrics/Statistics)</w:t>
      </w:r>
      <w:r w:rsidRPr="00262089" w:rsidR="00AA62AE">
        <w:rPr>
          <w:rFonts w:cstheme="minorHAnsi"/>
        </w:rPr>
        <w:t>,</w:t>
      </w:r>
      <w:r w:rsidRPr="00262089">
        <w:rPr>
          <w:rFonts w:cstheme="minorHAnsi"/>
        </w:rPr>
        <w:t xml:space="preserve"> </w:t>
      </w:r>
      <w:hyperlink r:id="rId20" w:history="1">
        <w:r w:rsidRPr="00262089">
          <w:rPr>
            <w:rStyle w:val="Hyperlink"/>
            <w:rFonts w:cstheme="minorHAnsi"/>
          </w:rPr>
          <w:t>james.roberts@psych.gatech.edu</w:t>
        </w:r>
      </w:hyperlink>
      <w:r w:rsidRPr="00262089">
        <w:rPr>
          <w:rFonts w:cstheme="minorHAnsi"/>
        </w:rPr>
        <w:t>;</w:t>
      </w:r>
      <w:r w:rsidRPr="00262089" w:rsidR="00AA62AE">
        <w:rPr>
          <w:rFonts w:cstheme="minorHAnsi"/>
        </w:rPr>
        <w:t xml:space="preserve"> and</w:t>
      </w:r>
    </w:p>
    <w:p w:rsidR="0015443B" w:rsidRPr="00262089" w:rsidP="0015443B" w14:paraId="2930F3F9" w14:textId="77777777">
      <w:pPr>
        <w:pStyle w:val="ListParagraph"/>
        <w:numPr>
          <w:ilvl w:val="0"/>
          <w:numId w:val="2"/>
        </w:numPr>
        <w:spacing w:after="0" w:line="240" w:lineRule="auto"/>
        <w:ind w:left="1080"/>
        <w:rPr>
          <w:rFonts w:cstheme="minorHAnsi"/>
        </w:rPr>
      </w:pPr>
      <w:r w:rsidRPr="00262089">
        <w:rPr>
          <w:rFonts w:cstheme="minorHAnsi"/>
        </w:rPr>
        <w:t xml:space="preserve">Dr. Brian Warrick, </w:t>
      </w:r>
      <w:r w:rsidRPr="00262089" w:rsidR="006D7BFC">
        <w:rPr>
          <w:rFonts w:cstheme="minorHAnsi"/>
        </w:rPr>
        <w:t>Ph.D., CIH, CSP, Consultation Program Manager</w:t>
      </w:r>
      <w:r w:rsidRPr="00262089">
        <w:rPr>
          <w:rFonts w:cstheme="minorHAnsi"/>
        </w:rPr>
        <w:t xml:space="preserve">, University of South Florida Consultation program; </w:t>
      </w:r>
      <w:r w:rsidRPr="00262089" w:rsidR="008C2116">
        <w:rPr>
          <w:rFonts w:cstheme="minorHAnsi"/>
        </w:rPr>
        <w:t>Occupational Safety and Health Expert</w:t>
      </w:r>
      <w:r w:rsidRPr="00262089" w:rsidR="00AA62AE">
        <w:rPr>
          <w:rFonts w:cstheme="minorHAnsi"/>
        </w:rPr>
        <w:t xml:space="preserve">, </w:t>
      </w:r>
      <w:hyperlink r:id="rId21" w:history="1">
        <w:r w:rsidRPr="00262089">
          <w:rPr>
            <w:rStyle w:val="Hyperlink"/>
            <w:rFonts w:cstheme="minorHAnsi"/>
          </w:rPr>
          <w:t>warrickb@usf.edu</w:t>
        </w:r>
      </w:hyperlink>
      <w:r w:rsidRPr="00262089" w:rsidR="00AA62AE">
        <w:rPr>
          <w:rFonts w:cstheme="minorHAnsi"/>
        </w:rPr>
        <w:t>.</w:t>
      </w:r>
    </w:p>
    <w:p w:rsidR="00C70C04" w:rsidRPr="00262089" w:rsidP="004B3258" w14:paraId="560C599E" w14:textId="77777777">
      <w:pPr>
        <w:spacing w:after="0" w:line="240" w:lineRule="auto"/>
        <w:rPr>
          <w:rFonts w:cstheme="minorHAnsi"/>
        </w:rPr>
      </w:pPr>
    </w:p>
    <w:p w:rsidR="00C70C04" w:rsidRPr="00262089" w:rsidP="004B3258" w14:paraId="32D6EB26" w14:textId="77777777">
      <w:pPr>
        <w:spacing w:after="0" w:line="240" w:lineRule="auto"/>
        <w:rPr>
          <w:rFonts w:cstheme="minorHAnsi"/>
        </w:rPr>
      </w:pPr>
      <w:r w:rsidRPr="00262089">
        <w:rPr>
          <w:rFonts w:cstheme="minorHAnsi"/>
        </w:rPr>
        <w:t>F</w:t>
      </w:r>
      <w:r w:rsidRPr="00262089" w:rsidR="00E319AE">
        <w:rPr>
          <w:rFonts w:cstheme="minorHAnsi"/>
        </w:rPr>
        <w:t xml:space="preserve">or questions about data collection, </w:t>
      </w:r>
      <w:r w:rsidRPr="00262089">
        <w:rPr>
          <w:rFonts w:cstheme="minorHAnsi"/>
        </w:rPr>
        <w:t>analys</w:t>
      </w:r>
      <w:r w:rsidR="00447302">
        <w:rPr>
          <w:rFonts w:cstheme="minorHAnsi"/>
        </w:rPr>
        <w:t>e</w:t>
      </w:r>
      <w:r w:rsidRPr="00262089">
        <w:rPr>
          <w:rFonts w:cstheme="minorHAnsi"/>
        </w:rPr>
        <w:t>s</w:t>
      </w:r>
      <w:r w:rsidRPr="00262089" w:rsidR="00E319AE">
        <w:rPr>
          <w:rFonts w:cstheme="minorHAnsi"/>
        </w:rPr>
        <w:t>, and statistical methods</w:t>
      </w:r>
      <w:r w:rsidRPr="00262089">
        <w:rPr>
          <w:rFonts w:cstheme="minorHAnsi"/>
        </w:rPr>
        <w:t>, please contact:</w:t>
      </w:r>
    </w:p>
    <w:p w:rsidR="00C70C04" w:rsidRPr="00262089" w:rsidP="004B3258" w14:paraId="7A07E818" w14:textId="77777777">
      <w:pPr>
        <w:spacing w:after="0" w:line="240" w:lineRule="auto"/>
        <w:rPr>
          <w:rFonts w:cstheme="minorHAnsi"/>
        </w:rPr>
      </w:pPr>
    </w:p>
    <w:p w:rsidR="00C70C04" w:rsidRPr="00262089" w:rsidP="004B3258" w14:paraId="1C5FD203" w14:textId="77777777">
      <w:pPr>
        <w:pStyle w:val="ListParagraph"/>
        <w:numPr>
          <w:ilvl w:val="0"/>
          <w:numId w:val="10"/>
        </w:numPr>
        <w:spacing w:after="0" w:line="240" w:lineRule="auto"/>
        <w:ind w:left="1080"/>
        <w:rPr>
          <w:rFonts w:cstheme="minorHAnsi"/>
        </w:rPr>
      </w:pPr>
      <w:r w:rsidRPr="00262089">
        <w:rPr>
          <w:rFonts w:cstheme="minorHAnsi"/>
        </w:rPr>
        <w:t xml:space="preserve">Patrick Showalter, </w:t>
      </w:r>
      <w:r w:rsidRPr="00262089" w:rsidR="00042561">
        <w:rPr>
          <w:rFonts w:cstheme="minorHAnsi"/>
        </w:rPr>
        <w:t xml:space="preserve"> </w:t>
      </w:r>
      <w:hyperlink r:id="rId14" w:history="1">
        <w:r w:rsidRPr="00262089" w:rsidR="00042561">
          <w:rPr>
            <w:rStyle w:val="Hyperlink"/>
            <w:rFonts w:cstheme="minorHAnsi"/>
          </w:rPr>
          <w:t>Showalter.patrick@dol.gov</w:t>
        </w:r>
      </w:hyperlink>
      <w:r w:rsidRPr="00262089" w:rsidR="00042561">
        <w:rPr>
          <w:rFonts w:cstheme="minorHAnsi"/>
        </w:rPr>
        <w:t>;</w:t>
      </w:r>
    </w:p>
    <w:p w:rsidR="00042561" w:rsidRPr="00262089" w:rsidP="004B3258" w14:paraId="23088925" w14:textId="77777777">
      <w:pPr>
        <w:pStyle w:val="ListParagraph"/>
        <w:numPr>
          <w:ilvl w:val="0"/>
          <w:numId w:val="10"/>
        </w:numPr>
        <w:spacing w:after="0" w:line="240" w:lineRule="auto"/>
        <w:ind w:left="1080"/>
        <w:rPr>
          <w:rFonts w:cstheme="minorHAnsi"/>
        </w:rPr>
      </w:pPr>
      <w:r w:rsidRPr="00262089">
        <w:rPr>
          <w:rFonts w:cstheme="minorHAnsi"/>
        </w:rPr>
        <w:t xml:space="preserve">Barney Lawrence, </w:t>
      </w:r>
      <w:hyperlink r:id="rId15" w:history="1">
        <w:r w:rsidRPr="00262089">
          <w:rPr>
            <w:rStyle w:val="Hyperlink"/>
            <w:rFonts w:cstheme="minorHAnsi"/>
          </w:rPr>
          <w:t>Lawrence.Barnett@dol.gov</w:t>
        </w:r>
      </w:hyperlink>
      <w:r w:rsidRPr="00262089">
        <w:rPr>
          <w:rFonts w:cstheme="minorHAnsi"/>
        </w:rPr>
        <w:t>;</w:t>
      </w:r>
    </w:p>
    <w:p w:rsidR="00042561" w:rsidRPr="00262089" w:rsidP="004B3258" w14:paraId="198211EE" w14:textId="77777777">
      <w:pPr>
        <w:pStyle w:val="ListParagraph"/>
        <w:numPr>
          <w:ilvl w:val="0"/>
          <w:numId w:val="10"/>
        </w:numPr>
        <w:spacing w:after="0" w:line="240" w:lineRule="auto"/>
        <w:ind w:left="1080"/>
        <w:rPr>
          <w:rFonts w:cstheme="minorHAnsi"/>
        </w:rPr>
      </w:pPr>
      <w:r w:rsidRPr="00262089">
        <w:rPr>
          <w:rFonts w:cstheme="minorHAnsi"/>
        </w:rPr>
        <w:t xml:space="preserve">Opeyemi Farquah, M.S., GSP, </w:t>
      </w:r>
      <w:hyperlink r:id="rId16" w:history="1">
        <w:r w:rsidRPr="00262089">
          <w:rPr>
            <w:rStyle w:val="Hyperlink"/>
            <w:rFonts w:cstheme="minorHAnsi"/>
          </w:rPr>
          <w:t>Farquah.opeyemi@dol.gov</w:t>
        </w:r>
      </w:hyperlink>
      <w:r w:rsidRPr="00262089">
        <w:rPr>
          <w:rFonts w:cstheme="minorHAnsi"/>
        </w:rPr>
        <w:t>;</w:t>
      </w:r>
    </w:p>
    <w:p w:rsidR="00042561" w:rsidRPr="00262089" w:rsidP="00042561" w14:paraId="2DF6A7DC" w14:textId="77777777">
      <w:pPr>
        <w:pStyle w:val="ListParagraph"/>
        <w:numPr>
          <w:ilvl w:val="0"/>
          <w:numId w:val="2"/>
        </w:numPr>
        <w:spacing w:after="0" w:line="240" w:lineRule="auto"/>
        <w:ind w:left="1080"/>
        <w:rPr>
          <w:rFonts w:ascii="Calibri" w:hAnsi="Calibri" w:cstheme="minorHAnsi"/>
        </w:rPr>
      </w:pPr>
      <w:r w:rsidRPr="00262089">
        <w:rPr>
          <w:rFonts w:cstheme="minorHAnsi"/>
        </w:rPr>
        <w:t xml:space="preserve">Dr. James Roberts, Ph.D., Associate Professor, </w:t>
      </w:r>
      <w:hyperlink r:id="rId20" w:history="1">
        <w:r w:rsidRPr="00262089">
          <w:rPr>
            <w:rStyle w:val="Hyperlink"/>
            <w:rFonts w:ascii="Calibri" w:hAnsi="Calibri" w:cstheme="minorHAnsi"/>
          </w:rPr>
          <w:t>james.roberts@psych.gatech.edu</w:t>
        </w:r>
      </w:hyperlink>
      <w:r w:rsidRPr="00262089">
        <w:rPr>
          <w:rFonts w:ascii="Calibri" w:hAnsi="Calibri" w:cstheme="minorHAnsi"/>
        </w:rPr>
        <w:t xml:space="preserve">; </w:t>
      </w:r>
    </w:p>
    <w:p w:rsidR="00042561" w:rsidRPr="00262089" w:rsidP="00042561" w14:paraId="6A9278F0" w14:textId="77777777">
      <w:pPr>
        <w:pStyle w:val="ListParagraph"/>
        <w:numPr>
          <w:ilvl w:val="0"/>
          <w:numId w:val="2"/>
        </w:numPr>
        <w:spacing w:after="0" w:line="240" w:lineRule="auto"/>
        <w:ind w:left="1080"/>
        <w:rPr>
          <w:rFonts w:cstheme="minorHAnsi"/>
        </w:rPr>
      </w:pPr>
      <w:r w:rsidRPr="00262089">
        <w:rPr>
          <w:rFonts w:ascii="Calibri" w:hAnsi="Calibri" w:cstheme="minorHAnsi"/>
        </w:rPr>
        <w:t xml:space="preserve">Paul Schlumper, P.E., CSP, </w:t>
      </w:r>
      <w:hyperlink r:id="rId19" w:history="1">
        <w:r w:rsidRPr="00262089">
          <w:rPr>
            <w:rStyle w:val="Hyperlink"/>
            <w:rFonts w:cstheme="minorHAnsi"/>
          </w:rPr>
          <w:t>Paul.Schlumper@innovate.gatech.edu</w:t>
        </w:r>
      </w:hyperlink>
      <w:r w:rsidRPr="00262089">
        <w:rPr>
          <w:rFonts w:cstheme="minorHAnsi"/>
        </w:rPr>
        <w:t>;</w:t>
      </w:r>
    </w:p>
    <w:p w:rsidR="00042561" w:rsidRPr="00262089" w:rsidP="00042561" w14:paraId="10367D1C" w14:textId="77777777">
      <w:pPr>
        <w:pStyle w:val="ListParagraph"/>
        <w:numPr>
          <w:ilvl w:val="0"/>
          <w:numId w:val="2"/>
        </w:numPr>
        <w:spacing w:after="0" w:line="240" w:lineRule="auto"/>
        <w:ind w:left="1080"/>
        <w:rPr>
          <w:rFonts w:cstheme="minorHAnsi"/>
        </w:rPr>
      </w:pPr>
      <w:r w:rsidRPr="00262089">
        <w:rPr>
          <w:rFonts w:cstheme="minorHAnsi"/>
        </w:rPr>
        <w:t xml:space="preserve">Dr. Brian Warrick, Ph.D., CIH, CSP,  </w:t>
      </w:r>
      <w:hyperlink r:id="rId21" w:history="1">
        <w:r w:rsidRPr="00262089">
          <w:rPr>
            <w:rStyle w:val="Hyperlink"/>
            <w:rFonts w:cstheme="minorHAnsi"/>
          </w:rPr>
          <w:t>warrickb@usf.edu</w:t>
        </w:r>
      </w:hyperlink>
      <w:r w:rsidRPr="00262089">
        <w:rPr>
          <w:rFonts w:cstheme="minorHAnsi"/>
        </w:rPr>
        <w:t>.</w:t>
      </w:r>
    </w:p>
    <w:p w:rsidR="00C70C04" w:rsidRPr="00262089" w:rsidP="004B3258" w14:paraId="156A608F" w14:textId="77777777">
      <w:pPr>
        <w:spacing w:after="0" w:line="240" w:lineRule="auto"/>
        <w:rPr>
          <w:rFonts w:cstheme="minorHAnsi"/>
        </w:rPr>
      </w:pPr>
    </w:p>
    <w:sectPr>
      <w:headerReference w:type="default" r:id="rId22"/>
      <w:footerReference w:type="default" r:id="rId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2092847"/>
      <w:docPartObj>
        <w:docPartGallery w:val="Page Numbers (Bottom of Page)"/>
        <w:docPartUnique/>
      </w:docPartObj>
    </w:sdtPr>
    <w:sdtEndPr>
      <w:rPr>
        <w:noProof/>
      </w:rPr>
    </w:sdtEndPr>
    <w:sdtContent>
      <w:p w:rsidR="005458BF" w14:paraId="79662FAD" w14:textId="77777777">
        <w:pPr>
          <w:pStyle w:val="Footer"/>
          <w:jc w:val="center"/>
        </w:pPr>
        <w:r>
          <w:fldChar w:fldCharType="begin"/>
        </w:r>
        <w:r>
          <w:instrText xml:space="preserve"> PAGE   \* MERGEFORMAT </w:instrText>
        </w:r>
        <w:r>
          <w:fldChar w:fldCharType="separate"/>
        </w:r>
        <w:r w:rsidR="002817F4">
          <w:rPr>
            <w:noProof/>
          </w:rPr>
          <w:t>1</w:t>
        </w:r>
        <w:r>
          <w:rPr>
            <w:noProof/>
          </w:rPr>
          <w:fldChar w:fldCharType="end"/>
        </w:r>
      </w:p>
    </w:sdtContent>
  </w:sdt>
  <w:p w:rsidR="005458BF" w14:paraId="604000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6324" w:rsidP="001F3CBD" w14:paraId="313F1E1B" w14:textId="77777777">
      <w:pPr>
        <w:spacing w:after="0" w:line="240" w:lineRule="auto"/>
      </w:pPr>
      <w:r>
        <w:separator/>
      </w:r>
    </w:p>
  </w:footnote>
  <w:footnote w:type="continuationSeparator" w:id="1">
    <w:p w:rsidR="00A36324" w:rsidP="001F3CBD" w14:paraId="136C657C" w14:textId="77777777">
      <w:pPr>
        <w:spacing w:after="0" w:line="240" w:lineRule="auto"/>
      </w:pPr>
      <w:r>
        <w:continuationSeparator/>
      </w:r>
    </w:p>
  </w:footnote>
  <w:footnote w:type="continuationNotice" w:id="2">
    <w:p w:rsidR="00A36324" w14:paraId="3F4FB385" w14:textId="77777777">
      <w:pPr>
        <w:spacing w:after="0" w:line="240" w:lineRule="auto"/>
      </w:pPr>
    </w:p>
  </w:footnote>
  <w:footnote w:id="3">
    <w:p w:rsidR="00811B41" w14:paraId="7408902D" w14:textId="77777777"/>
  </w:footnote>
  <w:footnote w:id="4">
    <w:p w:rsidR="00811B41" w14:paraId="078FFCF2" w14:textId="77777777"/>
  </w:footnote>
  <w:footnote w:id="5">
    <w:p w:rsidR="005458BF" w14:paraId="39E78749" w14:textId="77777777">
      <w:pPr>
        <w:pStyle w:val="FootnoteText"/>
      </w:pPr>
      <w:r>
        <w:rPr>
          <w:rStyle w:val="FootnoteReference"/>
        </w:rPr>
        <w:footnoteRef/>
      </w:r>
      <w:r>
        <w:t xml:space="preserve"> Consultants are referred to as respondents in Table 1 for data collection purpose, because consultants will be responsible for collecting SHP information when they assess employers’ workplaces, and will complete the DRF33 with their findings and recommendations.  Employers will not complete the DRF33 but will receive a copy of the completed DRF33 for their workplace and can use the information to improve their SHPs.</w:t>
      </w:r>
    </w:p>
  </w:footnote>
  <w:footnote w:id="6">
    <w:p w:rsidR="00D813BC" w14:paraId="023DDE47" w14:textId="77777777">
      <w:pPr>
        <w:pStyle w:val="FootnoteText"/>
      </w:pPr>
      <w:r>
        <w:rPr>
          <w:rStyle w:val="FootnoteReference"/>
        </w:rPr>
        <w:footnoteRef/>
      </w:r>
      <w:r>
        <w:t xml:space="preserve"> “Leading indicators are measures intended to predict the occurrence of events in the future.  Leading indicators are proactive, preventative and predictive measures that provide information about the effective performance of safety and health program activities that can drive the control of workplace hazards.  While lagging indicators are measures of the occurrence and frequency of events in the past such as the number and rates of injuries, illnesses, and fatalities” (- </w:t>
      </w:r>
      <w:hyperlink r:id="rId1" w:history="1">
        <w:r w:rsidRPr="00D813BC">
          <w:rPr>
            <w:rStyle w:val="Hyperlink"/>
          </w:rPr>
          <w:t>OSHA’s Recommended Practices for Safety and Health Programs</w:t>
        </w:r>
      </w:hyperlink>
      <w:r>
        <w:t>).</w:t>
      </w:r>
    </w:p>
  </w:footnote>
  <w:footnote w:id="7">
    <w:p w:rsidR="005458BF" w:rsidRPr="00D06C76" w14:paraId="1A850CB5" w14:textId="77777777">
      <w:pPr>
        <w:pStyle w:val="FootnoteText"/>
        <w:rPr>
          <w:bCs/>
        </w:rPr>
      </w:pPr>
      <w:r>
        <w:rPr>
          <w:rStyle w:val="FootnoteReference"/>
        </w:rPr>
        <w:footnoteRef/>
      </w:r>
      <w:r>
        <w:t xml:space="preserve"> </w:t>
      </w:r>
      <w:r w:rsidRPr="00D847A9">
        <w:rPr>
          <w:bCs/>
        </w:rPr>
        <w:t xml:space="preserve">The Agency categorizes respondents reflected in Table 1 as “State, Local and Tribal Governments” (i.e., consultants that will complete the DRF33 using information collected from employers’ workplaces).   </w:t>
      </w:r>
    </w:p>
  </w:footnote>
  <w:footnote w:id="8">
    <w:p w:rsidR="005458BF" w:rsidRPr="00D06C76" w14:paraId="7D453719" w14:textId="77777777">
      <w:pPr>
        <w:pStyle w:val="FootnoteText"/>
        <w:rPr>
          <w:bCs/>
        </w:rPr>
      </w:pPr>
      <w:r>
        <w:rPr>
          <w:rStyle w:val="FootnoteReference"/>
        </w:rPr>
        <w:footnoteRef/>
      </w:r>
      <w:r>
        <w:t xml:space="preserve"> </w:t>
      </w:r>
      <w:r w:rsidRPr="00D06C76">
        <w:rPr>
          <w:bCs/>
        </w:rPr>
        <w:t xml:space="preserve">OSHA will engage a minimum of 200 consultants to participate in the </w:t>
      </w:r>
      <w:r w:rsidR="00490883">
        <w:rPr>
          <w:bCs/>
        </w:rPr>
        <w:t>Prospective Analys</w:t>
      </w:r>
      <w:r w:rsidR="00E01DC4">
        <w:rPr>
          <w:bCs/>
        </w:rPr>
        <w:t>i</w:t>
      </w:r>
      <w:r w:rsidR="00490883">
        <w:rPr>
          <w:bCs/>
        </w:rPr>
        <w:t>s</w:t>
      </w:r>
      <w:r w:rsidRPr="00D06C76">
        <w:rPr>
          <w:bCs/>
        </w:rPr>
        <w:t>; consultants participating in the stud</w:t>
      </w:r>
      <w:r w:rsidR="00490883">
        <w:rPr>
          <w:bCs/>
        </w:rPr>
        <w:t>y</w:t>
      </w:r>
      <w:r w:rsidRPr="00D06C76">
        <w:rPr>
          <w:bCs/>
        </w:rPr>
        <w:t xml:space="preserve"> will be selected from a pool of trained consultants.</w:t>
      </w:r>
    </w:p>
  </w:footnote>
  <w:footnote w:id="9">
    <w:p w:rsidR="005458BF" w14:paraId="635FA587" w14:textId="77777777">
      <w:pPr>
        <w:pStyle w:val="FootnoteText"/>
      </w:pPr>
      <w:r>
        <w:rPr>
          <w:rStyle w:val="FootnoteReference"/>
        </w:rPr>
        <w:footnoteRef/>
      </w:r>
      <w:r>
        <w:t xml:space="preserve"> </w:t>
      </w:r>
      <w:r w:rsidRPr="00D8792F" w:rsidR="00D8792F">
        <w:t xml:space="preserve">Originally, OSHA estimated engaging 200 consultants to conduct 300 pilot workplace consultation visits </w:t>
      </w:r>
      <w:r w:rsidRPr="00D8792F" w:rsidR="00D8792F">
        <w:rPr>
          <w:bCs/>
        </w:rPr>
        <w:t>(i.e., an estimate of 20 consultants from each of the 10 regions), that would result in 350 SHP assessments; consultants participating in the studies were selected from a pool of trained consultants.  OSHA estimates engaging an average of 20 consultants to conduct the remaining pilot consultation visits</w:t>
      </w:r>
      <w:r w:rsidR="00CF36AA">
        <w:t>.</w:t>
      </w:r>
      <w:r w:rsidR="007B7DB1">
        <w:t xml:space="preserve"> </w:t>
      </w:r>
    </w:p>
  </w:footnote>
  <w:footnote w:id="10">
    <w:p w:rsidR="005458BF" w14:paraId="675E182A" w14:textId="77777777">
      <w:pPr>
        <w:pStyle w:val="FootnoteText"/>
      </w:pPr>
      <w:r>
        <w:rPr>
          <w:rStyle w:val="FootnoteReference"/>
        </w:rPr>
        <w:footnoteRef/>
      </w:r>
      <w:r>
        <w:t xml:space="preserve"> </w:t>
      </w:r>
      <w:r w:rsidRPr="00D06C76">
        <w:rPr>
          <w:bCs/>
        </w:rPr>
        <w:t xml:space="preserve">The Prospective Analysis will not involve any additional </w:t>
      </w:r>
      <w:r w:rsidR="00C07750">
        <w:rPr>
          <w:bCs/>
        </w:rPr>
        <w:t xml:space="preserve">Pilot Study </w:t>
      </w:r>
      <w:r w:rsidRPr="00D06C76">
        <w:rPr>
          <w:bCs/>
        </w:rPr>
        <w:t>consultation visits, therefore, there will be no SHP assessments using the DRF33.  Consultants will collect injury and illness data from employers via phone, fax, email, etcetera</w:t>
      </w:r>
      <w:r>
        <w:rPr>
          <w:bCs/>
        </w:rPr>
        <w:t>.</w:t>
      </w:r>
    </w:p>
  </w:footnote>
  <w:footnote w:id="11">
    <w:p w:rsidR="00E86A79" w:rsidRPr="00F25ED7" w:rsidP="00E86A79" w14:paraId="1FD1E138" w14:textId="77777777">
      <w:pPr>
        <w:pStyle w:val="FootnoteText"/>
        <w:rPr>
          <w:rFonts w:cstheme="minorHAnsi"/>
        </w:rPr>
      </w:pPr>
      <w:r>
        <w:rPr>
          <w:rStyle w:val="FootnoteReference"/>
        </w:rPr>
        <w:footnoteRef/>
      </w:r>
      <w:r>
        <w:t xml:space="preserve"> </w:t>
      </w:r>
      <w:r w:rsidRPr="00F25ED7">
        <w:rPr>
          <w:rFonts w:cstheme="minorHAnsi"/>
        </w:rPr>
        <w:t xml:space="preserve">Note that because this is a linear transformation of each traditional core element score, it will not affect any of the analyses of DRF33 core element scores proposed herein in a fundamental way. The statistical significance and interpretation of such analytical results will be identical to those that would be obtained had this standardization not been done.  However, the standardization will allow interested parties to more readily interpret and compare results across core elements.  Thus, it allows for </w:t>
      </w:r>
      <w:r w:rsidR="00E922BB">
        <w:rPr>
          <w:rFonts w:cstheme="minorHAnsi"/>
        </w:rPr>
        <w:t>comparing</w:t>
      </w:r>
      <w:r w:rsidRPr="00F25ED7">
        <w:rPr>
          <w:rFonts w:cstheme="minorHAnsi"/>
        </w:rPr>
        <w:t xml:space="preserve"> a core element “profile” among workplaces.  </w:t>
      </w:r>
    </w:p>
    <w:p w:rsidR="00E86A79" w14:paraId="51B9F2A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319" w:rsidRPr="00DC5D86" w:rsidP="00983319" w14:paraId="3D88CD37" w14:textId="77777777">
    <w:pPr>
      <w:pStyle w:val="Header"/>
      <w:rPr>
        <w:sz w:val="20"/>
        <w:szCs w:val="20"/>
      </w:rPr>
    </w:pPr>
    <w:r w:rsidRPr="00DC5D86">
      <w:rPr>
        <w:sz w:val="20"/>
        <w:szCs w:val="20"/>
      </w:rPr>
      <w:t>Pilot Study and Prospective Analysis of the Draft Revised form 33, Safety and Health Program Assessment Worksheet</w:t>
    </w:r>
  </w:p>
  <w:p w:rsidR="00983319" w:rsidRPr="00DC5D86" w:rsidP="00983319" w14:paraId="443590BF" w14:textId="77777777">
    <w:pPr>
      <w:pStyle w:val="Header"/>
      <w:rPr>
        <w:sz w:val="20"/>
        <w:szCs w:val="20"/>
      </w:rPr>
    </w:pPr>
    <w:r w:rsidRPr="00DC5D86">
      <w:rPr>
        <w:sz w:val="20"/>
        <w:szCs w:val="20"/>
      </w:rPr>
      <w:t>OMB Control Number 1218-0280</w:t>
    </w:r>
  </w:p>
  <w:p w:rsidR="00DA4E67" w:rsidP="00983319" w14:paraId="25C92380" w14:textId="55FEBA17">
    <w:pPr>
      <w:pStyle w:val="Header"/>
      <w:rPr>
        <w:sz w:val="20"/>
        <w:szCs w:val="20"/>
      </w:rPr>
    </w:pPr>
    <w:r w:rsidRPr="00DC5D86">
      <w:rPr>
        <w:sz w:val="20"/>
        <w:szCs w:val="20"/>
      </w:rPr>
      <w:t>Expiration Date:  June 30, 2025</w:t>
    </w:r>
  </w:p>
  <w:p w:rsidR="00DC5D86" w:rsidRPr="00DC5D86" w:rsidP="00983319" w14:paraId="4E330100"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656B9C"/>
    <w:multiLevelType w:val="multilevel"/>
    <w:tmpl w:val="40788E60"/>
    <w:lvl w:ilvl="0">
      <w:start w:val="1"/>
      <w:numFmt w:val="decimal"/>
      <w:pStyle w:val="Heading1"/>
      <w:lvlText w:val="%1"/>
      <w:lvlJc w:val="left"/>
      <w:pPr>
        <w:ind w:left="432" w:hanging="432"/>
      </w:pPr>
      <w:rPr>
        <w:sz w:val="22"/>
      </w:rPr>
    </w:lvl>
    <w:lvl w:ilvl="1">
      <w:start w:val="1"/>
      <w:numFmt w:val="decimal"/>
      <w:pStyle w:val="Heading2"/>
      <w:lvlText w:val="%1.%2"/>
      <w:lvlJc w:val="left"/>
      <w:pPr>
        <w:ind w:left="576" w:hanging="576"/>
      </w:pPr>
      <w:rPr>
        <w:rFonts w:ascii="Arial" w:hAnsi="Arial" w:cs="Arial" w:hint="default"/>
        <w:b w:val="0"/>
        <w:i w:val="0"/>
        <w:sz w:val="22"/>
      </w:rPr>
    </w:lvl>
    <w:lvl w:ilvl="2">
      <w:start w:val="1"/>
      <w:numFmt w:val="decimal"/>
      <w:pStyle w:val="Heading3"/>
      <w:lvlText w:val="%1.%2.%3"/>
      <w:lvlJc w:val="left"/>
      <w:pPr>
        <w:ind w:left="720" w:hanging="720"/>
      </w:pPr>
      <w:rPr>
        <w:rFonts w:ascii="Arial" w:hAnsi="Arial" w:cs="Arial" w:hint="default"/>
        <w:b w:val="0"/>
        <w:i w:val="0"/>
        <w:sz w:val="22"/>
      </w:rPr>
    </w:lvl>
    <w:lvl w:ilvl="3">
      <w:start w:val="1"/>
      <w:numFmt w:val="decimal"/>
      <w:pStyle w:val="Heading4"/>
      <w:lvlText w:val="%1.%2.%3.%4"/>
      <w:lvlJc w:val="left"/>
      <w:pPr>
        <w:ind w:left="864" w:hanging="864"/>
      </w:pPr>
      <w:rPr>
        <w:rFonts w:ascii="Arial" w:hAnsi="Arial" w:cs="Arial" w:hint="default"/>
        <w:sz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40B29EE"/>
    <w:multiLevelType w:val="hybridMultilevel"/>
    <w:tmpl w:val="7B32B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6E39F2"/>
    <w:multiLevelType w:val="hybridMultilevel"/>
    <w:tmpl w:val="88CC6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C15EB6"/>
    <w:multiLevelType w:val="hybridMultilevel"/>
    <w:tmpl w:val="765C05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EF06DBB"/>
    <w:multiLevelType w:val="hybridMultilevel"/>
    <w:tmpl w:val="CCA2E6D4"/>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5">
    <w:nsid w:val="3B143ADA"/>
    <w:multiLevelType w:val="hybridMultilevel"/>
    <w:tmpl w:val="FC32CB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1E65881"/>
    <w:multiLevelType w:val="hybridMultilevel"/>
    <w:tmpl w:val="9180574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5F74EE0"/>
    <w:multiLevelType w:val="multilevel"/>
    <w:tmpl w:val="35D23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631C76"/>
    <w:multiLevelType w:val="hybridMultilevel"/>
    <w:tmpl w:val="47A298A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9">
    <w:nsid w:val="4B302B82"/>
    <w:multiLevelType w:val="hybridMultilevel"/>
    <w:tmpl w:val="2C8A1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4B3079"/>
    <w:multiLevelType w:val="hybridMultilevel"/>
    <w:tmpl w:val="8B56C5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89986865">
    <w:abstractNumId w:val="0"/>
  </w:num>
  <w:num w:numId="2" w16cid:durableId="1209993336">
    <w:abstractNumId w:val="10"/>
  </w:num>
  <w:num w:numId="3" w16cid:durableId="1086537397">
    <w:abstractNumId w:val="6"/>
  </w:num>
  <w:num w:numId="4" w16cid:durableId="1597787288">
    <w:abstractNumId w:val="4"/>
  </w:num>
  <w:num w:numId="5" w16cid:durableId="715743414">
    <w:abstractNumId w:val="7"/>
  </w:num>
  <w:num w:numId="6" w16cid:durableId="972178559">
    <w:abstractNumId w:val="5"/>
  </w:num>
  <w:num w:numId="7" w16cid:durableId="834147660">
    <w:abstractNumId w:val="1"/>
  </w:num>
  <w:num w:numId="8" w16cid:durableId="383528545">
    <w:abstractNumId w:val="9"/>
  </w:num>
  <w:num w:numId="9" w16cid:durableId="1132401155">
    <w:abstractNumId w:val="2"/>
  </w:num>
  <w:num w:numId="10" w16cid:durableId="625235961">
    <w:abstractNumId w:val="3"/>
  </w:num>
  <w:num w:numId="11" w16cid:durableId="464465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4C"/>
    <w:rsid w:val="00000346"/>
    <w:rsid w:val="00001F9A"/>
    <w:rsid w:val="000033B5"/>
    <w:rsid w:val="0000695D"/>
    <w:rsid w:val="00013B02"/>
    <w:rsid w:val="000145C8"/>
    <w:rsid w:val="000164BE"/>
    <w:rsid w:val="00016B9D"/>
    <w:rsid w:val="00017B42"/>
    <w:rsid w:val="000215BC"/>
    <w:rsid w:val="0002593A"/>
    <w:rsid w:val="0003082B"/>
    <w:rsid w:val="00033E59"/>
    <w:rsid w:val="00035122"/>
    <w:rsid w:val="00040436"/>
    <w:rsid w:val="00042561"/>
    <w:rsid w:val="00045D6B"/>
    <w:rsid w:val="00050249"/>
    <w:rsid w:val="0005194C"/>
    <w:rsid w:val="00054BB6"/>
    <w:rsid w:val="00056002"/>
    <w:rsid w:val="000628D2"/>
    <w:rsid w:val="000706B4"/>
    <w:rsid w:val="00070A6D"/>
    <w:rsid w:val="00073D3F"/>
    <w:rsid w:val="00077345"/>
    <w:rsid w:val="00091026"/>
    <w:rsid w:val="0009135A"/>
    <w:rsid w:val="00093A72"/>
    <w:rsid w:val="0009709B"/>
    <w:rsid w:val="0009722C"/>
    <w:rsid w:val="000A287A"/>
    <w:rsid w:val="000B087B"/>
    <w:rsid w:val="000B50C2"/>
    <w:rsid w:val="000B5DCB"/>
    <w:rsid w:val="000B75C0"/>
    <w:rsid w:val="000B7D8D"/>
    <w:rsid w:val="000C3F5B"/>
    <w:rsid w:val="000C4950"/>
    <w:rsid w:val="000C7C70"/>
    <w:rsid w:val="000D1F8C"/>
    <w:rsid w:val="000D44F3"/>
    <w:rsid w:val="000D58C2"/>
    <w:rsid w:val="000D7572"/>
    <w:rsid w:val="000E1D12"/>
    <w:rsid w:val="000E2B8B"/>
    <w:rsid w:val="000E4DFC"/>
    <w:rsid w:val="000E568B"/>
    <w:rsid w:val="000E6933"/>
    <w:rsid w:val="000F179A"/>
    <w:rsid w:val="000F24F5"/>
    <w:rsid w:val="000F4840"/>
    <w:rsid w:val="00103855"/>
    <w:rsid w:val="0010538A"/>
    <w:rsid w:val="00111BF5"/>
    <w:rsid w:val="00115EC5"/>
    <w:rsid w:val="00116620"/>
    <w:rsid w:val="00123D63"/>
    <w:rsid w:val="00127FD0"/>
    <w:rsid w:val="00131F29"/>
    <w:rsid w:val="0013299A"/>
    <w:rsid w:val="00132B1C"/>
    <w:rsid w:val="001338DB"/>
    <w:rsid w:val="001359C8"/>
    <w:rsid w:val="00137346"/>
    <w:rsid w:val="00143144"/>
    <w:rsid w:val="00144D45"/>
    <w:rsid w:val="0015443B"/>
    <w:rsid w:val="001579AC"/>
    <w:rsid w:val="001620E4"/>
    <w:rsid w:val="001747BB"/>
    <w:rsid w:val="00180449"/>
    <w:rsid w:val="0018102A"/>
    <w:rsid w:val="0018160C"/>
    <w:rsid w:val="00184F99"/>
    <w:rsid w:val="001853D4"/>
    <w:rsid w:val="00186788"/>
    <w:rsid w:val="00190495"/>
    <w:rsid w:val="00192109"/>
    <w:rsid w:val="00192C11"/>
    <w:rsid w:val="001A6B63"/>
    <w:rsid w:val="001B2025"/>
    <w:rsid w:val="001B2368"/>
    <w:rsid w:val="001C13B3"/>
    <w:rsid w:val="001C1893"/>
    <w:rsid w:val="001C24D1"/>
    <w:rsid w:val="001C450A"/>
    <w:rsid w:val="001C71D0"/>
    <w:rsid w:val="001C7FC0"/>
    <w:rsid w:val="001D6122"/>
    <w:rsid w:val="001E6650"/>
    <w:rsid w:val="001F0288"/>
    <w:rsid w:val="001F06B7"/>
    <w:rsid w:val="001F3CBD"/>
    <w:rsid w:val="001F42AE"/>
    <w:rsid w:val="001F4B21"/>
    <w:rsid w:val="00200ED8"/>
    <w:rsid w:val="00202D26"/>
    <w:rsid w:val="00203038"/>
    <w:rsid w:val="00203A92"/>
    <w:rsid w:val="00207BFC"/>
    <w:rsid w:val="00211443"/>
    <w:rsid w:val="00213A76"/>
    <w:rsid w:val="00213EB1"/>
    <w:rsid w:val="002217E6"/>
    <w:rsid w:val="00222904"/>
    <w:rsid w:val="00225964"/>
    <w:rsid w:val="0022691F"/>
    <w:rsid w:val="00231C3A"/>
    <w:rsid w:val="00233BE9"/>
    <w:rsid w:val="002341D8"/>
    <w:rsid w:val="00234771"/>
    <w:rsid w:val="00237C30"/>
    <w:rsid w:val="00240A81"/>
    <w:rsid w:val="002421EA"/>
    <w:rsid w:val="00245CBF"/>
    <w:rsid w:val="00252EAE"/>
    <w:rsid w:val="002535EF"/>
    <w:rsid w:val="002551A6"/>
    <w:rsid w:val="00255C1C"/>
    <w:rsid w:val="00262089"/>
    <w:rsid w:val="00265B8F"/>
    <w:rsid w:val="00266AA6"/>
    <w:rsid w:val="002817F4"/>
    <w:rsid w:val="00283BA0"/>
    <w:rsid w:val="00286C10"/>
    <w:rsid w:val="002874B2"/>
    <w:rsid w:val="002912F7"/>
    <w:rsid w:val="00294EEC"/>
    <w:rsid w:val="00295BC8"/>
    <w:rsid w:val="00296EEE"/>
    <w:rsid w:val="00297B9C"/>
    <w:rsid w:val="002B27A8"/>
    <w:rsid w:val="002B4C7C"/>
    <w:rsid w:val="002B6FEE"/>
    <w:rsid w:val="002B7285"/>
    <w:rsid w:val="002C240A"/>
    <w:rsid w:val="002C2E80"/>
    <w:rsid w:val="002C35F4"/>
    <w:rsid w:val="002C5BB3"/>
    <w:rsid w:val="002D1A8D"/>
    <w:rsid w:val="002D2741"/>
    <w:rsid w:val="002D3C85"/>
    <w:rsid w:val="002D54C1"/>
    <w:rsid w:val="002D6A66"/>
    <w:rsid w:val="002D7767"/>
    <w:rsid w:val="002F1FD4"/>
    <w:rsid w:val="002F274E"/>
    <w:rsid w:val="00300EA6"/>
    <w:rsid w:val="00304857"/>
    <w:rsid w:val="00305707"/>
    <w:rsid w:val="003076CB"/>
    <w:rsid w:val="00310544"/>
    <w:rsid w:val="003139F0"/>
    <w:rsid w:val="00315842"/>
    <w:rsid w:val="003207C8"/>
    <w:rsid w:val="00321B4D"/>
    <w:rsid w:val="00321C36"/>
    <w:rsid w:val="00331215"/>
    <w:rsid w:val="00333C33"/>
    <w:rsid w:val="00333F91"/>
    <w:rsid w:val="0033464B"/>
    <w:rsid w:val="00334F27"/>
    <w:rsid w:val="00336A8D"/>
    <w:rsid w:val="0033702A"/>
    <w:rsid w:val="003412DB"/>
    <w:rsid w:val="003426A5"/>
    <w:rsid w:val="0034405B"/>
    <w:rsid w:val="00346B78"/>
    <w:rsid w:val="0035269F"/>
    <w:rsid w:val="00352E9B"/>
    <w:rsid w:val="003563AA"/>
    <w:rsid w:val="003604BE"/>
    <w:rsid w:val="00360814"/>
    <w:rsid w:val="003631BC"/>
    <w:rsid w:val="003670AB"/>
    <w:rsid w:val="0037450A"/>
    <w:rsid w:val="00382515"/>
    <w:rsid w:val="003836DF"/>
    <w:rsid w:val="00387F90"/>
    <w:rsid w:val="00392AD7"/>
    <w:rsid w:val="00392DBE"/>
    <w:rsid w:val="00397AC0"/>
    <w:rsid w:val="003A6328"/>
    <w:rsid w:val="003B1D02"/>
    <w:rsid w:val="003B5C38"/>
    <w:rsid w:val="003B6870"/>
    <w:rsid w:val="003C3049"/>
    <w:rsid w:val="003C67AD"/>
    <w:rsid w:val="003C6ACC"/>
    <w:rsid w:val="003C6CA6"/>
    <w:rsid w:val="003D4C01"/>
    <w:rsid w:val="003E3002"/>
    <w:rsid w:val="003F1883"/>
    <w:rsid w:val="00401F1A"/>
    <w:rsid w:val="004025F2"/>
    <w:rsid w:val="00403517"/>
    <w:rsid w:val="00403C5F"/>
    <w:rsid w:val="0041103D"/>
    <w:rsid w:val="00415056"/>
    <w:rsid w:val="00420ED2"/>
    <w:rsid w:val="00422193"/>
    <w:rsid w:val="00427B6C"/>
    <w:rsid w:val="00440CF7"/>
    <w:rsid w:val="004426B2"/>
    <w:rsid w:val="00443864"/>
    <w:rsid w:val="00447302"/>
    <w:rsid w:val="00450A7A"/>
    <w:rsid w:val="004522E2"/>
    <w:rsid w:val="004528A3"/>
    <w:rsid w:val="00452BD2"/>
    <w:rsid w:val="00454EA4"/>
    <w:rsid w:val="00455737"/>
    <w:rsid w:val="0046575B"/>
    <w:rsid w:val="00467963"/>
    <w:rsid w:val="00471F06"/>
    <w:rsid w:val="004724D1"/>
    <w:rsid w:val="004807D8"/>
    <w:rsid w:val="00484805"/>
    <w:rsid w:val="00485217"/>
    <w:rsid w:val="00486701"/>
    <w:rsid w:val="00487119"/>
    <w:rsid w:val="00487C55"/>
    <w:rsid w:val="00490785"/>
    <w:rsid w:val="00490883"/>
    <w:rsid w:val="00490CEB"/>
    <w:rsid w:val="004916C7"/>
    <w:rsid w:val="00495C70"/>
    <w:rsid w:val="00495CF8"/>
    <w:rsid w:val="004B2B5D"/>
    <w:rsid w:val="004B3258"/>
    <w:rsid w:val="004D2C59"/>
    <w:rsid w:val="004D3D24"/>
    <w:rsid w:val="004D4260"/>
    <w:rsid w:val="004D4BB1"/>
    <w:rsid w:val="004E1FA6"/>
    <w:rsid w:val="004E275B"/>
    <w:rsid w:val="004F2698"/>
    <w:rsid w:val="004F5B69"/>
    <w:rsid w:val="004F6DA5"/>
    <w:rsid w:val="005020C0"/>
    <w:rsid w:val="00503072"/>
    <w:rsid w:val="0050319A"/>
    <w:rsid w:val="0050451C"/>
    <w:rsid w:val="00510D00"/>
    <w:rsid w:val="00515993"/>
    <w:rsid w:val="00530F6D"/>
    <w:rsid w:val="005331A9"/>
    <w:rsid w:val="00533B54"/>
    <w:rsid w:val="005376F6"/>
    <w:rsid w:val="00544006"/>
    <w:rsid w:val="005458BF"/>
    <w:rsid w:val="00561FF6"/>
    <w:rsid w:val="00562657"/>
    <w:rsid w:val="005627C4"/>
    <w:rsid w:val="0056331B"/>
    <w:rsid w:val="005764A3"/>
    <w:rsid w:val="005800CF"/>
    <w:rsid w:val="00583358"/>
    <w:rsid w:val="00584482"/>
    <w:rsid w:val="00591DC6"/>
    <w:rsid w:val="00591EDE"/>
    <w:rsid w:val="005923D8"/>
    <w:rsid w:val="00592DBB"/>
    <w:rsid w:val="00592F0A"/>
    <w:rsid w:val="00594FF8"/>
    <w:rsid w:val="005A34AC"/>
    <w:rsid w:val="005A6E3D"/>
    <w:rsid w:val="005A7D00"/>
    <w:rsid w:val="005A7D9B"/>
    <w:rsid w:val="005B1DD1"/>
    <w:rsid w:val="005B317C"/>
    <w:rsid w:val="005B378E"/>
    <w:rsid w:val="005B5BEC"/>
    <w:rsid w:val="005C08E3"/>
    <w:rsid w:val="005C0B86"/>
    <w:rsid w:val="005C58C9"/>
    <w:rsid w:val="005C5EE1"/>
    <w:rsid w:val="005D245A"/>
    <w:rsid w:val="005D39D6"/>
    <w:rsid w:val="005D3D3D"/>
    <w:rsid w:val="005E2E45"/>
    <w:rsid w:val="005E36BB"/>
    <w:rsid w:val="005E4EEF"/>
    <w:rsid w:val="005F1019"/>
    <w:rsid w:val="005F21A6"/>
    <w:rsid w:val="005F2984"/>
    <w:rsid w:val="005F2F03"/>
    <w:rsid w:val="0060219A"/>
    <w:rsid w:val="00605AA1"/>
    <w:rsid w:val="006072C3"/>
    <w:rsid w:val="00610A7C"/>
    <w:rsid w:val="00625BCC"/>
    <w:rsid w:val="00626BAC"/>
    <w:rsid w:val="00630F3D"/>
    <w:rsid w:val="00631D6F"/>
    <w:rsid w:val="00637098"/>
    <w:rsid w:val="00650A37"/>
    <w:rsid w:val="00653105"/>
    <w:rsid w:val="00653E6F"/>
    <w:rsid w:val="00654F00"/>
    <w:rsid w:val="0065546A"/>
    <w:rsid w:val="0065750E"/>
    <w:rsid w:val="00666181"/>
    <w:rsid w:val="006708A0"/>
    <w:rsid w:val="00674A06"/>
    <w:rsid w:val="00677A30"/>
    <w:rsid w:val="006806B5"/>
    <w:rsid w:val="00684011"/>
    <w:rsid w:val="00686B28"/>
    <w:rsid w:val="006906FF"/>
    <w:rsid w:val="00691223"/>
    <w:rsid w:val="00693356"/>
    <w:rsid w:val="0069451B"/>
    <w:rsid w:val="006A10D9"/>
    <w:rsid w:val="006A40D3"/>
    <w:rsid w:val="006A5F4B"/>
    <w:rsid w:val="006B0E1E"/>
    <w:rsid w:val="006B4590"/>
    <w:rsid w:val="006C0260"/>
    <w:rsid w:val="006C633C"/>
    <w:rsid w:val="006C6873"/>
    <w:rsid w:val="006D02A0"/>
    <w:rsid w:val="006D5639"/>
    <w:rsid w:val="006D7BFC"/>
    <w:rsid w:val="006E5FE0"/>
    <w:rsid w:val="006F00D2"/>
    <w:rsid w:val="006F0E45"/>
    <w:rsid w:val="006F20A2"/>
    <w:rsid w:val="006F4CF0"/>
    <w:rsid w:val="006F5C38"/>
    <w:rsid w:val="007012D1"/>
    <w:rsid w:val="00706341"/>
    <w:rsid w:val="00722F35"/>
    <w:rsid w:val="00723383"/>
    <w:rsid w:val="0072652E"/>
    <w:rsid w:val="0073208E"/>
    <w:rsid w:val="00734A73"/>
    <w:rsid w:val="0073673C"/>
    <w:rsid w:val="00737B57"/>
    <w:rsid w:val="007421CD"/>
    <w:rsid w:val="007425EE"/>
    <w:rsid w:val="0074393B"/>
    <w:rsid w:val="00754E22"/>
    <w:rsid w:val="00754F07"/>
    <w:rsid w:val="007553B1"/>
    <w:rsid w:val="007608A2"/>
    <w:rsid w:val="00764C74"/>
    <w:rsid w:val="00772391"/>
    <w:rsid w:val="00777E78"/>
    <w:rsid w:val="0078174B"/>
    <w:rsid w:val="00784A71"/>
    <w:rsid w:val="00791BF1"/>
    <w:rsid w:val="00793BAA"/>
    <w:rsid w:val="00795B58"/>
    <w:rsid w:val="007961FB"/>
    <w:rsid w:val="00797BD8"/>
    <w:rsid w:val="007A04CB"/>
    <w:rsid w:val="007A0F15"/>
    <w:rsid w:val="007A271F"/>
    <w:rsid w:val="007A3FDA"/>
    <w:rsid w:val="007A4D3C"/>
    <w:rsid w:val="007A4FCB"/>
    <w:rsid w:val="007A6CE5"/>
    <w:rsid w:val="007B38BB"/>
    <w:rsid w:val="007B68BF"/>
    <w:rsid w:val="007B7108"/>
    <w:rsid w:val="007B74F7"/>
    <w:rsid w:val="007B7DB1"/>
    <w:rsid w:val="007B7E79"/>
    <w:rsid w:val="007C0DBC"/>
    <w:rsid w:val="007C124A"/>
    <w:rsid w:val="007C14C1"/>
    <w:rsid w:val="007C5643"/>
    <w:rsid w:val="007C5EC0"/>
    <w:rsid w:val="007C6F0F"/>
    <w:rsid w:val="007D0679"/>
    <w:rsid w:val="007D101E"/>
    <w:rsid w:val="007D1E7F"/>
    <w:rsid w:val="007D27D8"/>
    <w:rsid w:val="007D2BC6"/>
    <w:rsid w:val="007D507D"/>
    <w:rsid w:val="007E010C"/>
    <w:rsid w:val="007E146D"/>
    <w:rsid w:val="007E5B82"/>
    <w:rsid w:val="007F07E9"/>
    <w:rsid w:val="007F5BF0"/>
    <w:rsid w:val="007F6BD8"/>
    <w:rsid w:val="00801550"/>
    <w:rsid w:val="00804C86"/>
    <w:rsid w:val="00805465"/>
    <w:rsid w:val="0081186B"/>
    <w:rsid w:val="00811B41"/>
    <w:rsid w:val="00817A91"/>
    <w:rsid w:val="0082387A"/>
    <w:rsid w:val="00825623"/>
    <w:rsid w:val="00825C00"/>
    <w:rsid w:val="00826B69"/>
    <w:rsid w:val="00827E76"/>
    <w:rsid w:val="00833801"/>
    <w:rsid w:val="00833F60"/>
    <w:rsid w:val="00841B0E"/>
    <w:rsid w:val="008458C5"/>
    <w:rsid w:val="008505F4"/>
    <w:rsid w:val="00857636"/>
    <w:rsid w:val="008602AF"/>
    <w:rsid w:val="00861CD4"/>
    <w:rsid w:val="008666BF"/>
    <w:rsid w:val="008666D1"/>
    <w:rsid w:val="008869ED"/>
    <w:rsid w:val="00891712"/>
    <w:rsid w:val="00893083"/>
    <w:rsid w:val="00894224"/>
    <w:rsid w:val="00894DFA"/>
    <w:rsid w:val="008A3975"/>
    <w:rsid w:val="008A474E"/>
    <w:rsid w:val="008A5321"/>
    <w:rsid w:val="008A5D89"/>
    <w:rsid w:val="008A604D"/>
    <w:rsid w:val="008A65B4"/>
    <w:rsid w:val="008B5B3B"/>
    <w:rsid w:val="008B64CE"/>
    <w:rsid w:val="008B6D31"/>
    <w:rsid w:val="008C2116"/>
    <w:rsid w:val="008C43C5"/>
    <w:rsid w:val="008D08B1"/>
    <w:rsid w:val="008D2655"/>
    <w:rsid w:val="008D4A65"/>
    <w:rsid w:val="008E14E2"/>
    <w:rsid w:val="008E22A0"/>
    <w:rsid w:val="008F0DCA"/>
    <w:rsid w:val="008F2A50"/>
    <w:rsid w:val="008F339C"/>
    <w:rsid w:val="008F4BEF"/>
    <w:rsid w:val="008F5ABA"/>
    <w:rsid w:val="00902843"/>
    <w:rsid w:val="0090500E"/>
    <w:rsid w:val="00911453"/>
    <w:rsid w:val="00914940"/>
    <w:rsid w:val="009169B7"/>
    <w:rsid w:val="00916C04"/>
    <w:rsid w:val="00921DEF"/>
    <w:rsid w:val="00922F5D"/>
    <w:rsid w:val="00924216"/>
    <w:rsid w:val="00924404"/>
    <w:rsid w:val="00924757"/>
    <w:rsid w:val="009263EA"/>
    <w:rsid w:val="00930192"/>
    <w:rsid w:val="009301D7"/>
    <w:rsid w:val="0093381F"/>
    <w:rsid w:val="0093402F"/>
    <w:rsid w:val="00946C92"/>
    <w:rsid w:val="009521B8"/>
    <w:rsid w:val="00952F4B"/>
    <w:rsid w:val="00954BD1"/>
    <w:rsid w:val="00955CEB"/>
    <w:rsid w:val="009624EC"/>
    <w:rsid w:val="00962B57"/>
    <w:rsid w:val="0097335D"/>
    <w:rsid w:val="00977392"/>
    <w:rsid w:val="00977C8F"/>
    <w:rsid w:val="0098142F"/>
    <w:rsid w:val="009831C9"/>
    <w:rsid w:val="00983319"/>
    <w:rsid w:val="00983C99"/>
    <w:rsid w:val="00987702"/>
    <w:rsid w:val="009903F1"/>
    <w:rsid w:val="00990A40"/>
    <w:rsid w:val="009916D1"/>
    <w:rsid w:val="00991D89"/>
    <w:rsid w:val="00994333"/>
    <w:rsid w:val="00995FAA"/>
    <w:rsid w:val="009A30B7"/>
    <w:rsid w:val="009B1484"/>
    <w:rsid w:val="009B74B3"/>
    <w:rsid w:val="009B7BF8"/>
    <w:rsid w:val="009D0EDB"/>
    <w:rsid w:val="009E08BF"/>
    <w:rsid w:val="009E4FCD"/>
    <w:rsid w:val="009E67E5"/>
    <w:rsid w:val="009F1086"/>
    <w:rsid w:val="009F3EA3"/>
    <w:rsid w:val="009F7AF4"/>
    <w:rsid w:val="00A078A5"/>
    <w:rsid w:val="00A113AD"/>
    <w:rsid w:val="00A11F7D"/>
    <w:rsid w:val="00A12F21"/>
    <w:rsid w:val="00A13BF3"/>
    <w:rsid w:val="00A156A0"/>
    <w:rsid w:val="00A17962"/>
    <w:rsid w:val="00A22C54"/>
    <w:rsid w:val="00A30C35"/>
    <w:rsid w:val="00A31572"/>
    <w:rsid w:val="00A354BE"/>
    <w:rsid w:val="00A35E64"/>
    <w:rsid w:val="00A36324"/>
    <w:rsid w:val="00A437EC"/>
    <w:rsid w:val="00A45C38"/>
    <w:rsid w:val="00A51ECE"/>
    <w:rsid w:val="00A54364"/>
    <w:rsid w:val="00A56427"/>
    <w:rsid w:val="00A6295F"/>
    <w:rsid w:val="00A62BA8"/>
    <w:rsid w:val="00A62E51"/>
    <w:rsid w:val="00A6371D"/>
    <w:rsid w:val="00A75E27"/>
    <w:rsid w:val="00A777B7"/>
    <w:rsid w:val="00A81730"/>
    <w:rsid w:val="00A81838"/>
    <w:rsid w:val="00A81DA2"/>
    <w:rsid w:val="00A83201"/>
    <w:rsid w:val="00A83202"/>
    <w:rsid w:val="00A858E8"/>
    <w:rsid w:val="00A90C1F"/>
    <w:rsid w:val="00A92018"/>
    <w:rsid w:val="00A923C5"/>
    <w:rsid w:val="00A92A4B"/>
    <w:rsid w:val="00AA0A9E"/>
    <w:rsid w:val="00AA62AE"/>
    <w:rsid w:val="00AB1563"/>
    <w:rsid w:val="00AB5084"/>
    <w:rsid w:val="00AC2DFA"/>
    <w:rsid w:val="00AC4746"/>
    <w:rsid w:val="00AC556D"/>
    <w:rsid w:val="00AC601D"/>
    <w:rsid w:val="00AC6089"/>
    <w:rsid w:val="00AC735D"/>
    <w:rsid w:val="00AD138C"/>
    <w:rsid w:val="00AD18ED"/>
    <w:rsid w:val="00AD24A4"/>
    <w:rsid w:val="00AD2706"/>
    <w:rsid w:val="00AD384A"/>
    <w:rsid w:val="00AE36BF"/>
    <w:rsid w:val="00AF58BA"/>
    <w:rsid w:val="00AF611B"/>
    <w:rsid w:val="00AF6C98"/>
    <w:rsid w:val="00B001FC"/>
    <w:rsid w:val="00B027CC"/>
    <w:rsid w:val="00B058EC"/>
    <w:rsid w:val="00B05EA2"/>
    <w:rsid w:val="00B10AA5"/>
    <w:rsid w:val="00B17661"/>
    <w:rsid w:val="00B25E5C"/>
    <w:rsid w:val="00B25EDA"/>
    <w:rsid w:val="00B36893"/>
    <w:rsid w:val="00B41274"/>
    <w:rsid w:val="00B430EA"/>
    <w:rsid w:val="00B43349"/>
    <w:rsid w:val="00B44A21"/>
    <w:rsid w:val="00B504B1"/>
    <w:rsid w:val="00B5159B"/>
    <w:rsid w:val="00B52D18"/>
    <w:rsid w:val="00B66CB8"/>
    <w:rsid w:val="00B67139"/>
    <w:rsid w:val="00B76C23"/>
    <w:rsid w:val="00B76DD9"/>
    <w:rsid w:val="00B819BA"/>
    <w:rsid w:val="00B84413"/>
    <w:rsid w:val="00B84A98"/>
    <w:rsid w:val="00B8526A"/>
    <w:rsid w:val="00B86C68"/>
    <w:rsid w:val="00B9169C"/>
    <w:rsid w:val="00B929B5"/>
    <w:rsid w:val="00B9732C"/>
    <w:rsid w:val="00BA0F72"/>
    <w:rsid w:val="00BB0A53"/>
    <w:rsid w:val="00BB34AC"/>
    <w:rsid w:val="00BB3A26"/>
    <w:rsid w:val="00BB5AAA"/>
    <w:rsid w:val="00BC05BE"/>
    <w:rsid w:val="00BC37B9"/>
    <w:rsid w:val="00BC4950"/>
    <w:rsid w:val="00BF4C2C"/>
    <w:rsid w:val="00BF76FE"/>
    <w:rsid w:val="00C00FBF"/>
    <w:rsid w:val="00C0524C"/>
    <w:rsid w:val="00C06161"/>
    <w:rsid w:val="00C07414"/>
    <w:rsid w:val="00C07750"/>
    <w:rsid w:val="00C11EBE"/>
    <w:rsid w:val="00C1241F"/>
    <w:rsid w:val="00C13904"/>
    <w:rsid w:val="00C164F6"/>
    <w:rsid w:val="00C1702E"/>
    <w:rsid w:val="00C17369"/>
    <w:rsid w:val="00C17D9B"/>
    <w:rsid w:val="00C2302C"/>
    <w:rsid w:val="00C30CF4"/>
    <w:rsid w:val="00C31D0F"/>
    <w:rsid w:val="00C32D44"/>
    <w:rsid w:val="00C3419A"/>
    <w:rsid w:val="00C34254"/>
    <w:rsid w:val="00C4032C"/>
    <w:rsid w:val="00C4032E"/>
    <w:rsid w:val="00C42274"/>
    <w:rsid w:val="00C43EE1"/>
    <w:rsid w:val="00C444C6"/>
    <w:rsid w:val="00C47DC8"/>
    <w:rsid w:val="00C47ECF"/>
    <w:rsid w:val="00C54194"/>
    <w:rsid w:val="00C6214C"/>
    <w:rsid w:val="00C62683"/>
    <w:rsid w:val="00C70C04"/>
    <w:rsid w:val="00C77C15"/>
    <w:rsid w:val="00C829AA"/>
    <w:rsid w:val="00C82DF5"/>
    <w:rsid w:val="00C841B4"/>
    <w:rsid w:val="00C8455B"/>
    <w:rsid w:val="00C8785A"/>
    <w:rsid w:val="00C9064D"/>
    <w:rsid w:val="00C944B5"/>
    <w:rsid w:val="00C96AC4"/>
    <w:rsid w:val="00CA1A6D"/>
    <w:rsid w:val="00CA1A92"/>
    <w:rsid w:val="00CB39F8"/>
    <w:rsid w:val="00CB4042"/>
    <w:rsid w:val="00CB4429"/>
    <w:rsid w:val="00CB51BB"/>
    <w:rsid w:val="00CB7A59"/>
    <w:rsid w:val="00CC11E0"/>
    <w:rsid w:val="00CC1617"/>
    <w:rsid w:val="00CC181A"/>
    <w:rsid w:val="00CC3671"/>
    <w:rsid w:val="00CC3B20"/>
    <w:rsid w:val="00CC51B5"/>
    <w:rsid w:val="00CD20AE"/>
    <w:rsid w:val="00CD3A75"/>
    <w:rsid w:val="00CD7626"/>
    <w:rsid w:val="00CE43DF"/>
    <w:rsid w:val="00CE7280"/>
    <w:rsid w:val="00CF0B56"/>
    <w:rsid w:val="00CF2B84"/>
    <w:rsid w:val="00CF3032"/>
    <w:rsid w:val="00CF36AA"/>
    <w:rsid w:val="00CF4E8C"/>
    <w:rsid w:val="00CF6708"/>
    <w:rsid w:val="00CF6F5E"/>
    <w:rsid w:val="00D0032B"/>
    <w:rsid w:val="00D00B13"/>
    <w:rsid w:val="00D02F9C"/>
    <w:rsid w:val="00D048CA"/>
    <w:rsid w:val="00D06002"/>
    <w:rsid w:val="00D06581"/>
    <w:rsid w:val="00D06C76"/>
    <w:rsid w:val="00D143AA"/>
    <w:rsid w:val="00D16CBE"/>
    <w:rsid w:val="00D208D3"/>
    <w:rsid w:val="00D22B34"/>
    <w:rsid w:val="00D3489E"/>
    <w:rsid w:val="00D35FFB"/>
    <w:rsid w:val="00D364F3"/>
    <w:rsid w:val="00D36853"/>
    <w:rsid w:val="00D37313"/>
    <w:rsid w:val="00D457C6"/>
    <w:rsid w:val="00D500CE"/>
    <w:rsid w:val="00D537EF"/>
    <w:rsid w:val="00D60BCF"/>
    <w:rsid w:val="00D6494F"/>
    <w:rsid w:val="00D67709"/>
    <w:rsid w:val="00D70171"/>
    <w:rsid w:val="00D73ED0"/>
    <w:rsid w:val="00D747EE"/>
    <w:rsid w:val="00D7483D"/>
    <w:rsid w:val="00D74DE6"/>
    <w:rsid w:val="00D75FF7"/>
    <w:rsid w:val="00D813BC"/>
    <w:rsid w:val="00D847A9"/>
    <w:rsid w:val="00D847C6"/>
    <w:rsid w:val="00D84FCD"/>
    <w:rsid w:val="00D8792F"/>
    <w:rsid w:val="00D92158"/>
    <w:rsid w:val="00D94598"/>
    <w:rsid w:val="00D94E6B"/>
    <w:rsid w:val="00D95080"/>
    <w:rsid w:val="00D95BFD"/>
    <w:rsid w:val="00D97095"/>
    <w:rsid w:val="00D9743B"/>
    <w:rsid w:val="00DA1D07"/>
    <w:rsid w:val="00DA28C3"/>
    <w:rsid w:val="00DA2CC2"/>
    <w:rsid w:val="00DA4D8A"/>
    <w:rsid w:val="00DA4E67"/>
    <w:rsid w:val="00DA589E"/>
    <w:rsid w:val="00DA79B5"/>
    <w:rsid w:val="00DB5BEA"/>
    <w:rsid w:val="00DB6B6F"/>
    <w:rsid w:val="00DB70BC"/>
    <w:rsid w:val="00DC064E"/>
    <w:rsid w:val="00DC1482"/>
    <w:rsid w:val="00DC1534"/>
    <w:rsid w:val="00DC5D86"/>
    <w:rsid w:val="00DD015C"/>
    <w:rsid w:val="00DD0FD2"/>
    <w:rsid w:val="00DE3ACF"/>
    <w:rsid w:val="00DE4453"/>
    <w:rsid w:val="00DE7066"/>
    <w:rsid w:val="00DE742D"/>
    <w:rsid w:val="00DF11F6"/>
    <w:rsid w:val="00DF236A"/>
    <w:rsid w:val="00DF4E52"/>
    <w:rsid w:val="00DF5781"/>
    <w:rsid w:val="00DF7650"/>
    <w:rsid w:val="00E01DC4"/>
    <w:rsid w:val="00E06995"/>
    <w:rsid w:val="00E10639"/>
    <w:rsid w:val="00E163CB"/>
    <w:rsid w:val="00E16A6B"/>
    <w:rsid w:val="00E219B8"/>
    <w:rsid w:val="00E21D83"/>
    <w:rsid w:val="00E24D8A"/>
    <w:rsid w:val="00E319AE"/>
    <w:rsid w:val="00E33880"/>
    <w:rsid w:val="00E347FB"/>
    <w:rsid w:val="00E37433"/>
    <w:rsid w:val="00E47580"/>
    <w:rsid w:val="00E54185"/>
    <w:rsid w:val="00E54371"/>
    <w:rsid w:val="00E5462D"/>
    <w:rsid w:val="00E6264E"/>
    <w:rsid w:val="00E639F8"/>
    <w:rsid w:val="00E67BCD"/>
    <w:rsid w:val="00E7010A"/>
    <w:rsid w:val="00E70DEE"/>
    <w:rsid w:val="00E80D0D"/>
    <w:rsid w:val="00E8455F"/>
    <w:rsid w:val="00E8465B"/>
    <w:rsid w:val="00E85029"/>
    <w:rsid w:val="00E86A79"/>
    <w:rsid w:val="00E922BB"/>
    <w:rsid w:val="00EA0D16"/>
    <w:rsid w:val="00EA3F0C"/>
    <w:rsid w:val="00EA5D1B"/>
    <w:rsid w:val="00EA7D94"/>
    <w:rsid w:val="00EB5073"/>
    <w:rsid w:val="00EB7C45"/>
    <w:rsid w:val="00EC5DEA"/>
    <w:rsid w:val="00EC71AC"/>
    <w:rsid w:val="00ED0FC7"/>
    <w:rsid w:val="00ED10C0"/>
    <w:rsid w:val="00ED3FFD"/>
    <w:rsid w:val="00ED65ED"/>
    <w:rsid w:val="00EE02E5"/>
    <w:rsid w:val="00EE659E"/>
    <w:rsid w:val="00EF119E"/>
    <w:rsid w:val="00EF44C5"/>
    <w:rsid w:val="00EF5F3B"/>
    <w:rsid w:val="00F00396"/>
    <w:rsid w:val="00F068B7"/>
    <w:rsid w:val="00F14A1D"/>
    <w:rsid w:val="00F15F8E"/>
    <w:rsid w:val="00F166BF"/>
    <w:rsid w:val="00F171B3"/>
    <w:rsid w:val="00F2277C"/>
    <w:rsid w:val="00F23F5D"/>
    <w:rsid w:val="00F242F2"/>
    <w:rsid w:val="00F24962"/>
    <w:rsid w:val="00F24F28"/>
    <w:rsid w:val="00F25ED7"/>
    <w:rsid w:val="00F2681A"/>
    <w:rsid w:val="00F27185"/>
    <w:rsid w:val="00F3017B"/>
    <w:rsid w:val="00F30194"/>
    <w:rsid w:val="00F32DBB"/>
    <w:rsid w:val="00F337C2"/>
    <w:rsid w:val="00F33DFD"/>
    <w:rsid w:val="00F36978"/>
    <w:rsid w:val="00F36DAD"/>
    <w:rsid w:val="00F40EC0"/>
    <w:rsid w:val="00F445F8"/>
    <w:rsid w:val="00F45EC2"/>
    <w:rsid w:val="00F46153"/>
    <w:rsid w:val="00F462A7"/>
    <w:rsid w:val="00F5539C"/>
    <w:rsid w:val="00F62984"/>
    <w:rsid w:val="00F658B0"/>
    <w:rsid w:val="00F7086C"/>
    <w:rsid w:val="00F768D9"/>
    <w:rsid w:val="00F820B2"/>
    <w:rsid w:val="00F82DFD"/>
    <w:rsid w:val="00F83169"/>
    <w:rsid w:val="00F85E08"/>
    <w:rsid w:val="00F865D0"/>
    <w:rsid w:val="00F86CC6"/>
    <w:rsid w:val="00F921B2"/>
    <w:rsid w:val="00F93909"/>
    <w:rsid w:val="00F94AD0"/>
    <w:rsid w:val="00FA084B"/>
    <w:rsid w:val="00FA35F8"/>
    <w:rsid w:val="00FB0E83"/>
    <w:rsid w:val="00FB1ACE"/>
    <w:rsid w:val="00FB50E2"/>
    <w:rsid w:val="00FC090E"/>
    <w:rsid w:val="00FD2201"/>
    <w:rsid w:val="00FD32C8"/>
    <w:rsid w:val="00FD6842"/>
    <w:rsid w:val="00FE0BAE"/>
    <w:rsid w:val="00FE2EA2"/>
    <w:rsid w:val="00FE6116"/>
    <w:rsid w:val="00FF2ECD"/>
    <w:rsid w:val="00FF3C82"/>
    <w:rsid w:val="00FF430F"/>
    <w:rsid w:val="00FF4941"/>
    <w:rsid w:val="00FF5676"/>
    <w:rsid w:val="00FF6B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CD2466"/>
  <w15:chartTrackingRefBased/>
  <w15:docId w15:val="{A1345C2B-2389-4F27-9FA4-C054A250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5443B"/>
    <w:pPr>
      <w:keepNext/>
      <w:widowControl w:val="0"/>
      <w:numPr>
        <w:numId w:val="1"/>
      </w:numPr>
      <w:tabs>
        <w:tab w:val="left" w:pos="-720"/>
      </w:tabs>
      <w:suppressAutoHyphens/>
      <w:spacing w:after="0" w:line="240" w:lineRule="auto"/>
      <w:jc w:val="both"/>
      <w:outlineLvl w:val="0"/>
    </w:pPr>
    <w:rPr>
      <w:rFonts w:ascii="Arial" w:eastAsia="Times New Roman" w:hAnsi="Arial" w:cs="Times New Roman"/>
      <w:b/>
      <w:snapToGrid w:val="0"/>
      <w:spacing w:val="-3"/>
      <w:sz w:val="24"/>
      <w:szCs w:val="20"/>
    </w:rPr>
  </w:style>
  <w:style w:type="paragraph" w:styleId="Heading2">
    <w:name w:val="heading 2"/>
    <w:basedOn w:val="Normal"/>
    <w:next w:val="Normal"/>
    <w:link w:val="Heading2Char"/>
    <w:uiPriority w:val="9"/>
    <w:unhideWhenUsed/>
    <w:qFormat/>
    <w:rsid w:val="0015443B"/>
    <w:pPr>
      <w:keepNext/>
      <w:widowControl w:val="0"/>
      <w:numPr>
        <w:ilvl w:val="1"/>
        <w:numId w:val="1"/>
      </w:numPr>
      <w:spacing w:before="240" w:after="60" w:line="240" w:lineRule="auto"/>
      <w:outlineLvl w:val="1"/>
    </w:pPr>
    <w:rPr>
      <w:rFonts w:asciiTheme="majorHAnsi" w:eastAsiaTheme="majorEastAsia" w:hAnsiTheme="majorHAnsi" w:cstheme="majorBidi"/>
      <w:b/>
      <w:bCs/>
      <w:i/>
      <w:iCs/>
      <w:snapToGrid w:val="0"/>
      <w:sz w:val="28"/>
      <w:szCs w:val="28"/>
    </w:rPr>
  </w:style>
  <w:style w:type="paragraph" w:styleId="Heading3">
    <w:name w:val="heading 3"/>
    <w:basedOn w:val="Normal"/>
    <w:next w:val="Normal"/>
    <w:link w:val="Heading3Char"/>
    <w:uiPriority w:val="9"/>
    <w:unhideWhenUsed/>
    <w:qFormat/>
    <w:rsid w:val="0015443B"/>
    <w:pPr>
      <w:keepNext/>
      <w:widowControl w:val="0"/>
      <w:numPr>
        <w:ilvl w:val="2"/>
        <w:numId w:val="1"/>
      </w:numPr>
      <w:spacing w:before="240" w:after="60" w:line="240" w:lineRule="auto"/>
      <w:outlineLvl w:val="2"/>
    </w:pPr>
    <w:rPr>
      <w:rFonts w:ascii="Arial" w:hAnsi="Arial" w:eastAsiaTheme="majorEastAsia" w:cstheme="majorBidi"/>
      <w:bCs/>
      <w:snapToGrid w:val="0"/>
      <w:szCs w:val="26"/>
    </w:rPr>
  </w:style>
  <w:style w:type="paragraph" w:styleId="Heading4">
    <w:name w:val="heading 4"/>
    <w:basedOn w:val="Normal"/>
    <w:next w:val="Normal"/>
    <w:link w:val="Heading4Char"/>
    <w:uiPriority w:val="9"/>
    <w:unhideWhenUsed/>
    <w:qFormat/>
    <w:rsid w:val="0015443B"/>
    <w:pPr>
      <w:keepNext/>
      <w:widowControl w:val="0"/>
      <w:numPr>
        <w:ilvl w:val="3"/>
        <w:numId w:val="1"/>
      </w:numPr>
      <w:spacing w:before="240" w:after="60" w:line="240" w:lineRule="auto"/>
      <w:outlineLvl w:val="3"/>
    </w:pPr>
    <w:rPr>
      <w:rFonts w:eastAsiaTheme="minorEastAsia"/>
      <w:b/>
      <w:bCs/>
      <w:snapToGrid w:val="0"/>
      <w:sz w:val="28"/>
      <w:szCs w:val="28"/>
    </w:rPr>
  </w:style>
  <w:style w:type="paragraph" w:styleId="Heading5">
    <w:name w:val="heading 5"/>
    <w:basedOn w:val="Normal"/>
    <w:next w:val="Normal"/>
    <w:link w:val="Heading5Char"/>
    <w:uiPriority w:val="9"/>
    <w:semiHidden/>
    <w:unhideWhenUsed/>
    <w:qFormat/>
    <w:rsid w:val="0015443B"/>
    <w:pPr>
      <w:widowControl w:val="0"/>
      <w:numPr>
        <w:ilvl w:val="4"/>
        <w:numId w:val="1"/>
      </w:numPr>
      <w:spacing w:before="240" w:after="60" w:line="240" w:lineRule="auto"/>
      <w:outlineLvl w:val="4"/>
    </w:pPr>
    <w:rPr>
      <w:rFonts w:eastAsiaTheme="minorEastAsia"/>
      <w:b/>
      <w:bCs/>
      <w:i/>
      <w:iCs/>
      <w:snapToGrid w:val="0"/>
      <w:sz w:val="26"/>
      <w:szCs w:val="26"/>
    </w:rPr>
  </w:style>
  <w:style w:type="paragraph" w:styleId="Heading6">
    <w:name w:val="heading 6"/>
    <w:basedOn w:val="Normal"/>
    <w:next w:val="Normal"/>
    <w:link w:val="Heading6Char"/>
    <w:uiPriority w:val="9"/>
    <w:semiHidden/>
    <w:unhideWhenUsed/>
    <w:qFormat/>
    <w:rsid w:val="0015443B"/>
    <w:pPr>
      <w:widowControl w:val="0"/>
      <w:numPr>
        <w:ilvl w:val="5"/>
        <w:numId w:val="1"/>
      </w:numPr>
      <w:spacing w:before="240" w:after="60" w:line="240" w:lineRule="auto"/>
      <w:outlineLvl w:val="5"/>
    </w:pPr>
    <w:rPr>
      <w:rFonts w:eastAsiaTheme="minorEastAsia"/>
      <w:b/>
      <w:bCs/>
      <w:snapToGrid w:val="0"/>
    </w:rPr>
  </w:style>
  <w:style w:type="paragraph" w:styleId="Heading7">
    <w:name w:val="heading 7"/>
    <w:basedOn w:val="Normal"/>
    <w:next w:val="Normal"/>
    <w:link w:val="Heading7Char"/>
    <w:uiPriority w:val="9"/>
    <w:semiHidden/>
    <w:unhideWhenUsed/>
    <w:qFormat/>
    <w:rsid w:val="0015443B"/>
    <w:pPr>
      <w:widowControl w:val="0"/>
      <w:numPr>
        <w:ilvl w:val="6"/>
        <w:numId w:val="1"/>
      </w:numPr>
      <w:spacing w:before="240" w:after="60" w:line="240" w:lineRule="auto"/>
      <w:outlineLvl w:val="6"/>
    </w:pPr>
    <w:rPr>
      <w:rFonts w:eastAsiaTheme="minorEastAsia"/>
      <w:snapToGrid w:val="0"/>
      <w:sz w:val="24"/>
      <w:szCs w:val="24"/>
    </w:rPr>
  </w:style>
  <w:style w:type="paragraph" w:styleId="Heading8">
    <w:name w:val="heading 8"/>
    <w:basedOn w:val="Normal"/>
    <w:next w:val="Normal"/>
    <w:link w:val="Heading8Char"/>
    <w:uiPriority w:val="9"/>
    <w:semiHidden/>
    <w:unhideWhenUsed/>
    <w:qFormat/>
    <w:rsid w:val="0015443B"/>
    <w:pPr>
      <w:widowControl w:val="0"/>
      <w:numPr>
        <w:ilvl w:val="7"/>
        <w:numId w:val="1"/>
      </w:numPr>
      <w:spacing w:before="240" w:after="60" w:line="240" w:lineRule="auto"/>
      <w:outlineLvl w:val="7"/>
    </w:pPr>
    <w:rPr>
      <w:rFonts w:eastAsiaTheme="minorEastAsia"/>
      <w:i/>
      <w:iCs/>
      <w:snapToGrid w:val="0"/>
      <w:sz w:val="24"/>
      <w:szCs w:val="24"/>
    </w:rPr>
  </w:style>
  <w:style w:type="paragraph" w:styleId="Heading9">
    <w:name w:val="heading 9"/>
    <w:basedOn w:val="Normal"/>
    <w:next w:val="Normal"/>
    <w:link w:val="Heading9Char"/>
    <w:uiPriority w:val="9"/>
    <w:semiHidden/>
    <w:unhideWhenUsed/>
    <w:qFormat/>
    <w:rsid w:val="0015443B"/>
    <w:pPr>
      <w:widowControl w:val="0"/>
      <w:numPr>
        <w:ilvl w:val="8"/>
        <w:numId w:val="1"/>
      </w:numPr>
      <w:spacing w:before="240" w:after="60" w:line="240" w:lineRule="auto"/>
      <w:outlineLvl w:val="8"/>
    </w:pPr>
    <w:rPr>
      <w:rFonts w:asciiTheme="majorHAnsi" w:eastAsiaTheme="majorEastAsia" w:hAnsiTheme="majorHAnsi" w:cstheme="majorBid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06B4"/>
    <w:rPr>
      <w:color w:val="808080"/>
    </w:rPr>
  </w:style>
  <w:style w:type="character" w:customStyle="1" w:styleId="Heading1Char">
    <w:name w:val="Heading 1 Char"/>
    <w:basedOn w:val="DefaultParagraphFont"/>
    <w:link w:val="Heading1"/>
    <w:rsid w:val="0015443B"/>
    <w:rPr>
      <w:rFonts w:ascii="Arial" w:eastAsia="Times New Roman" w:hAnsi="Arial" w:cs="Times New Roman"/>
      <w:b/>
      <w:snapToGrid w:val="0"/>
      <w:spacing w:val="-3"/>
      <w:sz w:val="24"/>
      <w:szCs w:val="20"/>
    </w:rPr>
  </w:style>
  <w:style w:type="character" w:customStyle="1" w:styleId="Heading2Char">
    <w:name w:val="Heading 2 Char"/>
    <w:basedOn w:val="DefaultParagraphFont"/>
    <w:link w:val="Heading2"/>
    <w:uiPriority w:val="9"/>
    <w:rsid w:val="0015443B"/>
    <w:rPr>
      <w:rFonts w:asciiTheme="majorHAnsi" w:eastAsiaTheme="majorEastAsia" w:hAnsiTheme="majorHAnsi" w:cstheme="majorBidi"/>
      <w:b/>
      <w:bCs/>
      <w:i/>
      <w:iCs/>
      <w:snapToGrid w:val="0"/>
      <w:sz w:val="28"/>
      <w:szCs w:val="28"/>
    </w:rPr>
  </w:style>
  <w:style w:type="character" w:customStyle="1" w:styleId="Heading3Char">
    <w:name w:val="Heading 3 Char"/>
    <w:basedOn w:val="DefaultParagraphFont"/>
    <w:link w:val="Heading3"/>
    <w:uiPriority w:val="9"/>
    <w:rsid w:val="0015443B"/>
    <w:rPr>
      <w:rFonts w:ascii="Arial" w:hAnsi="Arial" w:eastAsiaTheme="majorEastAsia" w:cstheme="majorBidi"/>
      <w:bCs/>
      <w:snapToGrid w:val="0"/>
      <w:szCs w:val="26"/>
    </w:rPr>
  </w:style>
  <w:style w:type="character" w:customStyle="1" w:styleId="Heading4Char">
    <w:name w:val="Heading 4 Char"/>
    <w:basedOn w:val="DefaultParagraphFont"/>
    <w:link w:val="Heading4"/>
    <w:uiPriority w:val="9"/>
    <w:rsid w:val="0015443B"/>
    <w:rPr>
      <w:rFonts w:eastAsiaTheme="minorEastAsia"/>
      <w:b/>
      <w:bCs/>
      <w:snapToGrid w:val="0"/>
      <w:sz w:val="28"/>
      <w:szCs w:val="28"/>
    </w:rPr>
  </w:style>
  <w:style w:type="character" w:customStyle="1" w:styleId="Heading5Char">
    <w:name w:val="Heading 5 Char"/>
    <w:basedOn w:val="DefaultParagraphFont"/>
    <w:link w:val="Heading5"/>
    <w:uiPriority w:val="9"/>
    <w:semiHidden/>
    <w:rsid w:val="0015443B"/>
    <w:rPr>
      <w:rFonts w:eastAsiaTheme="minorEastAsia"/>
      <w:b/>
      <w:bCs/>
      <w:i/>
      <w:iCs/>
      <w:snapToGrid w:val="0"/>
      <w:sz w:val="26"/>
      <w:szCs w:val="26"/>
    </w:rPr>
  </w:style>
  <w:style w:type="character" w:customStyle="1" w:styleId="Heading6Char">
    <w:name w:val="Heading 6 Char"/>
    <w:basedOn w:val="DefaultParagraphFont"/>
    <w:link w:val="Heading6"/>
    <w:uiPriority w:val="9"/>
    <w:semiHidden/>
    <w:rsid w:val="0015443B"/>
    <w:rPr>
      <w:rFonts w:eastAsiaTheme="minorEastAsia"/>
      <w:b/>
      <w:bCs/>
      <w:snapToGrid w:val="0"/>
    </w:rPr>
  </w:style>
  <w:style w:type="character" w:customStyle="1" w:styleId="Heading7Char">
    <w:name w:val="Heading 7 Char"/>
    <w:basedOn w:val="DefaultParagraphFont"/>
    <w:link w:val="Heading7"/>
    <w:uiPriority w:val="9"/>
    <w:semiHidden/>
    <w:rsid w:val="0015443B"/>
    <w:rPr>
      <w:rFonts w:eastAsiaTheme="minorEastAsia"/>
      <w:snapToGrid w:val="0"/>
      <w:sz w:val="24"/>
      <w:szCs w:val="24"/>
    </w:rPr>
  </w:style>
  <w:style w:type="character" w:customStyle="1" w:styleId="Heading8Char">
    <w:name w:val="Heading 8 Char"/>
    <w:basedOn w:val="DefaultParagraphFont"/>
    <w:link w:val="Heading8"/>
    <w:uiPriority w:val="9"/>
    <w:semiHidden/>
    <w:rsid w:val="0015443B"/>
    <w:rPr>
      <w:rFonts w:eastAsiaTheme="minorEastAsia"/>
      <w:i/>
      <w:iCs/>
      <w:snapToGrid w:val="0"/>
      <w:sz w:val="24"/>
      <w:szCs w:val="24"/>
    </w:rPr>
  </w:style>
  <w:style w:type="character" w:customStyle="1" w:styleId="Heading9Char">
    <w:name w:val="Heading 9 Char"/>
    <w:basedOn w:val="DefaultParagraphFont"/>
    <w:link w:val="Heading9"/>
    <w:uiPriority w:val="9"/>
    <w:semiHidden/>
    <w:rsid w:val="0015443B"/>
    <w:rPr>
      <w:rFonts w:asciiTheme="majorHAnsi" w:eastAsiaTheme="majorEastAsia" w:hAnsiTheme="majorHAnsi" w:cstheme="majorBidi"/>
      <w:snapToGrid w:val="0"/>
    </w:rPr>
  </w:style>
  <w:style w:type="paragraph" w:styleId="FootnoteText">
    <w:name w:val="footnote text"/>
    <w:basedOn w:val="Normal"/>
    <w:link w:val="FootnoteTextChar"/>
    <w:uiPriority w:val="99"/>
    <w:unhideWhenUsed/>
    <w:rsid w:val="001F3CBD"/>
    <w:pPr>
      <w:spacing w:after="0" w:line="240" w:lineRule="auto"/>
    </w:pPr>
    <w:rPr>
      <w:sz w:val="20"/>
      <w:szCs w:val="20"/>
    </w:rPr>
  </w:style>
  <w:style w:type="character" w:customStyle="1" w:styleId="FootnoteTextChar">
    <w:name w:val="Footnote Text Char"/>
    <w:basedOn w:val="DefaultParagraphFont"/>
    <w:link w:val="FootnoteText"/>
    <w:uiPriority w:val="99"/>
    <w:rsid w:val="001F3CBD"/>
    <w:rPr>
      <w:sz w:val="20"/>
      <w:szCs w:val="20"/>
    </w:rPr>
  </w:style>
  <w:style w:type="character" w:styleId="FootnoteReference">
    <w:name w:val="footnote reference"/>
    <w:basedOn w:val="DefaultParagraphFont"/>
    <w:semiHidden/>
    <w:unhideWhenUsed/>
    <w:rsid w:val="001F3CBD"/>
    <w:rPr>
      <w:vertAlign w:val="superscript"/>
    </w:rPr>
  </w:style>
  <w:style w:type="character" w:styleId="Hyperlink">
    <w:name w:val="Hyperlink"/>
    <w:basedOn w:val="DefaultParagraphFont"/>
    <w:uiPriority w:val="99"/>
    <w:unhideWhenUsed/>
    <w:rsid w:val="008D08B1"/>
    <w:rPr>
      <w:color w:val="0563C1" w:themeColor="hyperlink"/>
      <w:u w:val="single"/>
    </w:rPr>
  </w:style>
  <w:style w:type="character" w:styleId="FollowedHyperlink">
    <w:name w:val="FollowedHyperlink"/>
    <w:basedOn w:val="DefaultParagraphFont"/>
    <w:uiPriority w:val="99"/>
    <w:semiHidden/>
    <w:unhideWhenUsed/>
    <w:rsid w:val="0034405B"/>
    <w:rPr>
      <w:color w:val="954F72" w:themeColor="followedHyperlink"/>
      <w:u w:val="single"/>
    </w:rPr>
  </w:style>
  <w:style w:type="paragraph" w:styleId="ListParagraph">
    <w:name w:val="List Paragraph"/>
    <w:basedOn w:val="Normal"/>
    <w:uiPriority w:val="34"/>
    <w:qFormat/>
    <w:rsid w:val="008458C5"/>
    <w:pPr>
      <w:ind w:left="720"/>
      <w:contextualSpacing/>
    </w:pPr>
  </w:style>
  <w:style w:type="paragraph" w:styleId="BalloonText">
    <w:name w:val="Balloon Text"/>
    <w:basedOn w:val="Normal"/>
    <w:link w:val="BalloonTextChar"/>
    <w:uiPriority w:val="99"/>
    <w:semiHidden/>
    <w:unhideWhenUsed/>
    <w:rsid w:val="00817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A91"/>
    <w:rPr>
      <w:rFonts w:ascii="Segoe UI" w:hAnsi="Segoe UI" w:cs="Segoe UI"/>
      <w:sz w:val="18"/>
      <w:szCs w:val="18"/>
    </w:rPr>
  </w:style>
  <w:style w:type="character" w:styleId="CommentReference">
    <w:name w:val="annotation reference"/>
    <w:basedOn w:val="DefaultParagraphFont"/>
    <w:uiPriority w:val="99"/>
    <w:semiHidden/>
    <w:unhideWhenUsed/>
    <w:rsid w:val="00A11F7D"/>
    <w:rPr>
      <w:sz w:val="16"/>
      <w:szCs w:val="16"/>
    </w:rPr>
  </w:style>
  <w:style w:type="paragraph" w:styleId="CommentText">
    <w:name w:val="annotation text"/>
    <w:basedOn w:val="Normal"/>
    <w:link w:val="CommentTextChar"/>
    <w:uiPriority w:val="99"/>
    <w:semiHidden/>
    <w:unhideWhenUsed/>
    <w:rsid w:val="00A11F7D"/>
    <w:pPr>
      <w:spacing w:line="240" w:lineRule="auto"/>
    </w:pPr>
    <w:rPr>
      <w:sz w:val="20"/>
      <w:szCs w:val="20"/>
    </w:rPr>
  </w:style>
  <w:style w:type="character" w:customStyle="1" w:styleId="CommentTextChar">
    <w:name w:val="Comment Text Char"/>
    <w:basedOn w:val="DefaultParagraphFont"/>
    <w:link w:val="CommentText"/>
    <w:uiPriority w:val="99"/>
    <w:semiHidden/>
    <w:rsid w:val="00A11F7D"/>
    <w:rPr>
      <w:sz w:val="20"/>
      <w:szCs w:val="20"/>
    </w:rPr>
  </w:style>
  <w:style w:type="paragraph" w:styleId="CommentSubject">
    <w:name w:val="annotation subject"/>
    <w:basedOn w:val="CommentText"/>
    <w:next w:val="CommentText"/>
    <w:link w:val="CommentSubjectChar"/>
    <w:uiPriority w:val="99"/>
    <w:semiHidden/>
    <w:unhideWhenUsed/>
    <w:rsid w:val="00A11F7D"/>
    <w:rPr>
      <w:b/>
      <w:bCs/>
    </w:rPr>
  </w:style>
  <w:style w:type="character" w:customStyle="1" w:styleId="CommentSubjectChar">
    <w:name w:val="Comment Subject Char"/>
    <w:basedOn w:val="CommentTextChar"/>
    <w:link w:val="CommentSubject"/>
    <w:uiPriority w:val="99"/>
    <w:semiHidden/>
    <w:rsid w:val="00A11F7D"/>
    <w:rPr>
      <w:b/>
      <w:bCs/>
      <w:sz w:val="20"/>
      <w:szCs w:val="20"/>
    </w:rPr>
  </w:style>
  <w:style w:type="paragraph" w:customStyle="1" w:styleId="EndNoteBibliography">
    <w:name w:val="EndNote Bibliography"/>
    <w:basedOn w:val="Normal"/>
    <w:link w:val="EndNoteBibliographyChar"/>
    <w:rsid w:val="00D36853"/>
    <w:pPr>
      <w:spacing w:after="0" w:line="480" w:lineRule="auto"/>
      <w:jc w:val="center"/>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D36853"/>
    <w:rPr>
      <w:rFonts w:ascii="Times New Roman" w:eastAsia="Times New Roman" w:hAnsi="Times New Roman" w:cs="Times New Roman"/>
      <w:noProof/>
      <w:sz w:val="24"/>
      <w:szCs w:val="24"/>
    </w:rPr>
  </w:style>
  <w:style w:type="paragraph" w:styleId="Header">
    <w:name w:val="header"/>
    <w:basedOn w:val="Normal"/>
    <w:link w:val="HeaderChar"/>
    <w:uiPriority w:val="99"/>
    <w:unhideWhenUsed/>
    <w:rsid w:val="00093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A72"/>
  </w:style>
  <w:style w:type="paragraph" w:styleId="Footer">
    <w:name w:val="footer"/>
    <w:basedOn w:val="Normal"/>
    <w:link w:val="FooterChar"/>
    <w:uiPriority w:val="99"/>
    <w:unhideWhenUsed/>
    <w:rsid w:val="00093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A72"/>
  </w:style>
  <w:style w:type="paragraph" w:styleId="Revision">
    <w:name w:val="Revision"/>
    <w:hidden/>
    <w:uiPriority w:val="99"/>
    <w:semiHidden/>
    <w:rsid w:val="005458BF"/>
    <w:pPr>
      <w:spacing w:after="0" w:line="240" w:lineRule="auto"/>
    </w:pPr>
  </w:style>
  <w:style w:type="paragraph" w:styleId="NoSpacing">
    <w:name w:val="No Spacing"/>
    <w:uiPriority w:val="1"/>
    <w:qFormat/>
    <w:rsid w:val="00C17D9B"/>
    <w:pPr>
      <w:spacing w:after="0" w:line="240" w:lineRule="auto"/>
    </w:pPr>
  </w:style>
  <w:style w:type="character" w:styleId="UnresolvedMention">
    <w:name w:val="Unresolved Mention"/>
    <w:basedOn w:val="DefaultParagraphFont"/>
    <w:uiPriority w:val="99"/>
    <w:semiHidden/>
    <w:unhideWhenUsed/>
    <w:rsid w:val="00310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sha.gov/vpp" TargetMode="External" /><Relationship Id="rId11" Type="http://schemas.openxmlformats.org/officeDocument/2006/relationships/hyperlink" Target="https://www.osha.gov/sites/default/files/OSHA-RK-Forms-Package.pdf" TargetMode="External" /><Relationship Id="rId12" Type="http://schemas.openxmlformats.org/officeDocument/2006/relationships/hyperlink" Target="http://www.osha.gov/stateplans" TargetMode="External" /><Relationship Id="rId13" Type="http://schemas.openxmlformats.org/officeDocument/2006/relationships/hyperlink" Target="mailto:Showalter.patrick@dol.gov" TargetMode="External" /><Relationship Id="rId14" Type="http://schemas.openxmlformats.org/officeDocument/2006/relationships/hyperlink" Target="file:///C:\Users\OFarquah\Documents\Showalter.patrick@dol.gov" TargetMode="External" /><Relationship Id="rId15" Type="http://schemas.openxmlformats.org/officeDocument/2006/relationships/hyperlink" Target="mailto:Lawrence.Barnett@dol.gov" TargetMode="External" /><Relationship Id="rId16" Type="http://schemas.openxmlformats.org/officeDocument/2006/relationships/hyperlink" Target="mailto:Farquah.opeyemi@dol.gov" TargetMode="External" /><Relationship Id="rId17" Type="http://schemas.openxmlformats.org/officeDocument/2006/relationships/hyperlink" Target="mailto:love.bruce@dol.gov" TargetMode="External" /><Relationship Id="rId18" Type="http://schemas.openxmlformats.org/officeDocument/2006/relationships/hyperlink" Target="mailto:sloboda.brian.w@dol.gov" TargetMode="External" /><Relationship Id="rId19" Type="http://schemas.openxmlformats.org/officeDocument/2006/relationships/hyperlink" Target="mailto:Paul.Schlumper@innovate.gatech.edu" TargetMode="External" /><Relationship Id="rId2" Type="http://schemas.openxmlformats.org/officeDocument/2006/relationships/settings" Target="settings.xml" /><Relationship Id="rId20" Type="http://schemas.openxmlformats.org/officeDocument/2006/relationships/hyperlink" Target="mailto:james.roberts@psych.gatech.edu" TargetMode="External" /><Relationship Id="rId21" Type="http://schemas.openxmlformats.org/officeDocument/2006/relationships/hyperlink" Target="mailto:warrickb@usf.edu"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sites/default/files/enforcement/directives/CSP_02-00-00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sha.gov/sites/default/files/OSHA388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4A1D96-A990-45B0-8EB7-5E23A2C29E08}">
  <ds:schemaRefs>
    <ds:schemaRef ds:uri="http://schemas.microsoft.com/sharepoint/v3/contenttype/forms"/>
  </ds:schemaRefs>
</ds:datastoreItem>
</file>

<file path=customXml/itemProps2.xml><?xml version="1.0" encoding="utf-8"?>
<ds:datastoreItem xmlns:ds="http://schemas.openxmlformats.org/officeDocument/2006/customXml" ds:itemID="{5693B10D-3F2E-490C-80E4-2A17FDF3E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48B76-FF83-49D0-B112-63BC31117485}">
  <ds:schemaRefs>
    <ds:schemaRef ds:uri="http://schemas.openxmlformats.org/officeDocument/2006/bibliography"/>
  </ds:schemaRefs>
</ds:datastoreItem>
</file>

<file path=customXml/itemProps4.xml><?xml version="1.0" encoding="utf-8"?>
<ds:datastoreItem xmlns:ds="http://schemas.openxmlformats.org/officeDocument/2006/customXml" ds:itemID="{D393D6EA-FDE7-44B0-BD4D-18DD99A3DA4E}">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8558</Words>
  <Characters>48784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 M - OSHA</dc:creator>
  <cp:lastModifiedBy>Perryman, Seleda M - OSHA</cp:lastModifiedBy>
  <cp:revision>6</cp:revision>
  <dcterms:created xsi:type="dcterms:W3CDTF">2025-03-28T22:19:00Z</dcterms:created>
  <dcterms:modified xsi:type="dcterms:W3CDTF">2025-03-28T22:59:00Z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