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7657" w:rsidP="00C67657" w14:paraId="5B04A83E" w14:textId="7F746051">
      <w:pPr>
        <w:spacing w:line="360" w:lineRule="auto"/>
        <w:jc w:val="center"/>
        <w:rPr>
          <w:rFonts w:ascii="Arial" w:hAnsi="Arial" w:cs="Arial"/>
          <w:b/>
          <w:bCs/>
          <w:szCs w:val="22"/>
        </w:rPr>
      </w:pPr>
      <w:bookmarkStart w:id="0" w:name="_GoBack"/>
      <w:bookmarkEnd w:id="0"/>
      <w:r>
        <w:rPr>
          <w:rFonts w:ascii="Arial" w:hAnsi="Arial" w:cs="Arial"/>
          <w:b/>
          <w:bCs/>
          <w:szCs w:val="22"/>
        </w:rPr>
        <w:t xml:space="preserve">OSHA’s </w:t>
      </w:r>
      <w:r w:rsidR="001D027D">
        <w:rPr>
          <w:rFonts w:ascii="Arial" w:hAnsi="Arial" w:cs="Arial"/>
          <w:b/>
          <w:bCs/>
          <w:szCs w:val="22"/>
        </w:rPr>
        <w:t xml:space="preserve">Draft Revised </w:t>
      </w:r>
      <w:r w:rsidRPr="00C67657">
        <w:rPr>
          <w:rFonts w:ascii="Arial" w:hAnsi="Arial" w:cs="Arial"/>
          <w:b/>
          <w:bCs/>
          <w:szCs w:val="22"/>
        </w:rPr>
        <w:t>Safety and Heal</w:t>
      </w:r>
      <w:r>
        <w:rPr>
          <w:rFonts w:ascii="Arial" w:hAnsi="Arial" w:cs="Arial"/>
          <w:b/>
          <w:bCs/>
          <w:szCs w:val="22"/>
        </w:rPr>
        <w:t>th Program Assessment Worksheet</w:t>
      </w:r>
    </w:p>
    <w:p w:rsidR="00C67657" w:rsidRPr="00C67657" w:rsidP="00C67657" w14:paraId="5CB73DE5" w14:textId="77777777">
      <w:pPr>
        <w:spacing w:line="360" w:lineRule="auto"/>
        <w:jc w:val="center"/>
        <w:rPr>
          <w:rFonts w:ascii="Arial" w:hAnsi="Arial" w:cs="Arial"/>
          <w:b/>
          <w:bCs/>
          <w:szCs w:val="22"/>
        </w:rPr>
      </w:pPr>
      <w:r>
        <w:rPr>
          <w:rFonts w:ascii="Arial" w:hAnsi="Arial" w:cs="Arial"/>
          <w:b/>
          <w:bCs/>
          <w:szCs w:val="22"/>
        </w:rPr>
        <w:t xml:space="preserve">Form 33 Pilot Study Procedures </w:t>
      </w:r>
    </w:p>
    <w:p w:rsidR="00C67657" w:rsidRPr="00155CF5" w:rsidP="00C67657" w14:paraId="7CCE5F31" w14:textId="77777777">
      <w:pPr>
        <w:tabs>
          <w:tab w:val="left" w:pos="-720"/>
        </w:tabs>
        <w:suppressAutoHyphens/>
        <w:jc w:val="both"/>
        <w:rPr>
          <w:rFonts w:ascii="Times New Roman" w:hAnsi="Times New Roman"/>
          <w:spacing w:val="-3"/>
          <w:szCs w:val="24"/>
        </w:rPr>
      </w:pPr>
    </w:p>
    <w:p w:rsidR="00C67657" w:rsidRPr="0014108A" w:rsidP="00C67657" w14:paraId="1426D550" w14:textId="77777777">
      <w:pPr>
        <w:pStyle w:val="Heading1"/>
      </w:pPr>
      <w:r w:rsidRPr="00A526DF">
        <w:rPr>
          <w:sz w:val="22"/>
        </w:rPr>
        <w:t>Purpose</w:t>
      </w:r>
    </w:p>
    <w:p w:rsidR="00C67657" w:rsidRPr="00C67657" w:rsidP="007D30B8" w14:paraId="30D210F1" w14:textId="13C4427C">
      <w:pPr>
        <w:pStyle w:val="Heading2"/>
        <w:ind w:left="720" w:hanging="720"/>
      </w:pPr>
      <w:r w:rsidRPr="007D30B8">
        <w:rPr>
          <w:rFonts w:ascii="Arial" w:hAnsi="Arial" w:cs="Arial"/>
          <w:b w:val="0"/>
          <w:i w:val="0"/>
          <w:sz w:val="22"/>
          <w:szCs w:val="22"/>
        </w:rPr>
        <w:t xml:space="preserve">The purpose of this instruction is to ensure the effective and efficient collection of data in support of the Pilot </w:t>
      </w:r>
      <w:r w:rsidRPr="007D30B8" w:rsidR="007D30B8">
        <w:rPr>
          <w:rFonts w:ascii="Arial" w:hAnsi="Arial" w:cs="Arial"/>
          <w:b w:val="0"/>
          <w:i w:val="0"/>
          <w:sz w:val="22"/>
          <w:szCs w:val="22"/>
        </w:rPr>
        <w:t>S</w:t>
      </w:r>
      <w:r w:rsidRPr="007D30B8">
        <w:rPr>
          <w:rFonts w:ascii="Arial" w:hAnsi="Arial" w:cs="Arial"/>
          <w:b w:val="0"/>
          <w:i w:val="0"/>
          <w:sz w:val="22"/>
          <w:szCs w:val="22"/>
        </w:rPr>
        <w:t xml:space="preserve">tudy designed to ensure the </w:t>
      </w:r>
      <w:r w:rsidR="007D30B8">
        <w:rPr>
          <w:rFonts w:ascii="Arial" w:hAnsi="Arial" w:cs="Arial"/>
          <w:b w:val="0"/>
          <w:i w:val="0"/>
          <w:sz w:val="22"/>
          <w:szCs w:val="22"/>
        </w:rPr>
        <w:t>r</w:t>
      </w:r>
      <w:r w:rsidRPr="007D30B8">
        <w:rPr>
          <w:rFonts w:ascii="Arial" w:hAnsi="Arial" w:cs="Arial"/>
          <w:b w:val="0"/>
          <w:i w:val="0"/>
          <w:sz w:val="22"/>
          <w:szCs w:val="22"/>
        </w:rPr>
        <w:t>eliab</w:t>
      </w:r>
      <w:r w:rsidR="007D30B8">
        <w:rPr>
          <w:rFonts w:ascii="Arial" w:hAnsi="Arial" w:cs="Arial"/>
          <w:b w:val="0"/>
          <w:i w:val="0"/>
          <w:sz w:val="22"/>
          <w:szCs w:val="22"/>
        </w:rPr>
        <w:t xml:space="preserve">ility and </w:t>
      </w:r>
      <w:r w:rsidRPr="007D30B8">
        <w:rPr>
          <w:rFonts w:ascii="Arial" w:hAnsi="Arial" w:cs="Arial"/>
          <w:b w:val="0"/>
          <w:i w:val="0"/>
          <w:sz w:val="22"/>
          <w:szCs w:val="22"/>
        </w:rPr>
        <w:t>valid</w:t>
      </w:r>
      <w:r w:rsidR="007D30B8">
        <w:rPr>
          <w:rFonts w:ascii="Arial" w:hAnsi="Arial" w:cs="Arial"/>
          <w:b w:val="0"/>
          <w:i w:val="0"/>
          <w:sz w:val="22"/>
          <w:szCs w:val="22"/>
        </w:rPr>
        <w:t xml:space="preserve">ity of the </w:t>
      </w:r>
      <w:r w:rsidR="009F1A62">
        <w:rPr>
          <w:rFonts w:ascii="Arial" w:hAnsi="Arial" w:cs="Arial"/>
          <w:b w:val="0"/>
          <w:i w:val="0"/>
          <w:sz w:val="22"/>
          <w:szCs w:val="22"/>
        </w:rPr>
        <w:t>Occupational Safety and Health Administration (</w:t>
      </w:r>
      <w:r w:rsidRPr="007D30B8" w:rsidR="007D30B8">
        <w:rPr>
          <w:rFonts w:ascii="Arial" w:hAnsi="Arial" w:cs="Arial"/>
          <w:b w:val="0"/>
          <w:i w:val="0"/>
          <w:sz w:val="22"/>
          <w:szCs w:val="22"/>
        </w:rPr>
        <w:t>OSHA</w:t>
      </w:r>
      <w:r w:rsidR="009F1A62">
        <w:rPr>
          <w:rFonts w:ascii="Arial" w:hAnsi="Arial" w:cs="Arial"/>
          <w:b w:val="0"/>
          <w:i w:val="0"/>
          <w:sz w:val="22"/>
          <w:szCs w:val="22"/>
        </w:rPr>
        <w:t>)</w:t>
      </w:r>
      <w:r w:rsidRPr="007D30B8" w:rsidR="007D30B8">
        <w:rPr>
          <w:rFonts w:ascii="Arial" w:hAnsi="Arial" w:cs="Arial"/>
          <w:b w:val="0"/>
          <w:i w:val="0"/>
          <w:sz w:val="22"/>
          <w:szCs w:val="22"/>
        </w:rPr>
        <w:t xml:space="preserve"> </w:t>
      </w:r>
      <w:r w:rsidR="001D027D">
        <w:rPr>
          <w:rFonts w:ascii="Arial" w:hAnsi="Arial" w:cs="Arial"/>
          <w:b w:val="0"/>
          <w:i w:val="0"/>
          <w:sz w:val="22"/>
          <w:szCs w:val="22"/>
        </w:rPr>
        <w:t xml:space="preserve">Draft Revised </w:t>
      </w:r>
      <w:r w:rsidRPr="007D30B8" w:rsidR="007D30B8">
        <w:rPr>
          <w:rFonts w:ascii="Arial" w:hAnsi="Arial" w:cs="Arial"/>
          <w:b w:val="0"/>
          <w:i w:val="0"/>
          <w:sz w:val="22"/>
          <w:szCs w:val="22"/>
        </w:rPr>
        <w:t>Form 33</w:t>
      </w:r>
      <w:r w:rsidR="007D30B8">
        <w:rPr>
          <w:rFonts w:ascii="Arial" w:hAnsi="Arial" w:cs="Arial"/>
          <w:b w:val="0"/>
          <w:i w:val="0"/>
          <w:sz w:val="22"/>
          <w:szCs w:val="22"/>
        </w:rPr>
        <w:t xml:space="preserve"> instrument</w:t>
      </w:r>
      <w:r>
        <w:t>.</w:t>
      </w:r>
    </w:p>
    <w:p w:rsidR="00C67657" w:rsidRPr="00C67657" w:rsidP="00B40AF8" w14:paraId="05E0ADD8" w14:textId="21044F3E">
      <w:pPr>
        <w:pStyle w:val="Heading2"/>
        <w:spacing w:line="276" w:lineRule="auto"/>
        <w:ind w:left="720" w:hanging="720"/>
      </w:pPr>
      <w:r>
        <w:rPr>
          <w:rFonts w:ascii="Arial" w:hAnsi="Arial" w:cs="Arial"/>
          <w:b w:val="0"/>
          <w:i w:val="0"/>
          <w:sz w:val="22"/>
        </w:rPr>
        <w:t xml:space="preserve">The study is designed to ensure the </w:t>
      </w:r>
      <w:r w:rsidR="001D027D">
        <w:rPr>
          <w:rFonts w:ascii="Arial" w:hAnsi="Arial" w:cs="Arial"/>
          <w:b w:val="0"/>
          <w:i w:val="0"/>
          <w:sz w:val="22"/>
        </w:rPr>
        <w:t xml:space="preserve">Draft Revised </w:t>
      </w:r>
      <w:r>
        <w:rPr>
          <w:rFonts w:ascii="Arial" w:hAnsi="Arial" w:cs="Arial"/>
          <w:b w:val="0"/>
          <w:i w:val="0"/>
          <w:sz w:val="22"/>
        </w:rPr>
        <w:t>Form 33</w:t>
      </w:r>
      <w:r w:rsidR="001D027D">
        <w:rPr>
          <w:rFonts w:ascii="Arial" w:hAnsi="Arial" w:cs="Arial"/>
          <w:b w:val="0"/>
          <w:i w:val="0"/>
          <w:sz w:val="22"/>
        </w:rPr>
        <w:t xml:space="preserve"> (DRF33)</w:t>
      </w:r>
      <w:r>
        <w:rPr>
          <w:rFonts w:ascii="Arial" w:hAnsi="Arial" w:cs="Arial"/>
          <w:b w:val="0"/>
          <w:i w:val="0"/>
          <w:sz w:val="22"/>
        </w:rPr>
        <w:t xml:space="preserve"> instrument can be generalized throughout the OSHA Consultation Program</w:t>
      </w:r>
      <w:r w:rsidR="009F1A62">
        <w:rPr>
          <w:rFonts w:ascii="Arial" w:hAnsi="Arial" w:cs="Arial"/>
          <w:b w:val="0"/>
          <w:i w:val="0"/>
          <w:sz w:val="22"/>
        </w:rPr>
        <w:t>;</w:t>
      </w:r>
      <w:r>
        <w:rPr>
          <w:rFonts w:ascii="Arial" w:hAnsi="Arial" w:cs="Arial"/>
          <w:b w:val="0"/>
          <w:i w:val="0"/>
          <w:sz w:val="22"/>
        </w:rPr>
        <w:t xml:space="preserve"> across employers</w:t>
      </w:r>
      <w:r w:rsidR="009F1A62">
        <w:rPr>
          <w:rFonts w:ascii="Arial" w:hAnsi="Arial" w:cs="Arial"/>
          <w:b w:val="0"/>
          <w:i w:val="0"/>
          <w:sz w:val="22"/>
        </w:rPr>
        <w:t>’</w:t>
      </w:r>
      <w:r>
        <w:rPr>
          <w:rFonts w:ascii="Arial" w:hAnsi="Arial" w:cs="Arial"/>
          <w:b w:val="0"/>
          <w:i w:val="0"/>
          <w:sz w:val="22"/>
        </w:rPr>
        <w:t xml:space="preserve"> </w:t>
      </w:r>
      <w:r>
        <w:rPr>
          <w:rFonts w:ascii="Arial" w:hAnsi="Arial" w:cs="Arial"/>
          <w:b w:val="0"/>
          <w:i w:val="0"/>
          <w:sz w:val="22"/>
        </w:rPr>
        <w:t>sectors</w:t>
      </w:r>
      <w:r>
        <w:rPr>
          <w:rFonts w:ascii="Arial" w:hAnsi="Arial" w:cs="Arial"/>
          <w:b w:val="0"/>
          <w:i w:val="0"/>
          <w:sz w:val="22"/>
        </w:rPr>
        <w:t xml:space="preserve">, </w:t>
      </w:r>
      <w:r>
        <w:rPr>
          <w:rFonts w:ascii="Arial" w:hAnsi="Arial" w:cs="Arial"/>
          <w:b w:val="0"/>
          <w:i w:val="0"/>
          <w:sz w:val="22"/>
        </w:rPr>
        <w:t xml:space="preserve">size and </w:t>
      </w:r>
      <w:r>
        <w:rPr>
          <w:rFonts w:ascii="Arial" w:hAnsi="Arial" w:cs="Arial"/>
          <w:b w:val="0"/>
          <w:i w:val="0"/>
          <w:sz w:val="22"/>
        </w:rPr>
        <w:t>the safety and health disciplines</w:t>
      </w:r>
      <w:r>
        <w:rPr>
          <w:rFonts w:ascii="Arial" w:hAnsi="Arial" w:cs="Arial"/>
          <w:b w:val="0"/>
          <w:i w:val="0"/>
          <w:sz w:val="22"/>
        </w:rPr>
        <w:t xml:space="preserve">. </w:t>
      </w:r>
    </w:p>
    <w:p w:rsidR="00C67657" w:rsidRPr="00461126" w:rsidP="00C67657" w14:paraId="1779E51A" w14:textId="77777777">
      <w:pPr>
        <w:spacing w:line="276" w:lineRule="auto"/>
      </w:pPr>
    </w:p>
    <w:p w:rsidR="00C67657" w:rsidRPr="0009370B" w:rsidP="00C67657" w14:paraId="3A56E1AD" w14:textId="77777777">
      <w:pPr>
        <w:pStyle w:val="Heading1"/>
        <w:spacing w:line="276" w:lineRule="auto"/>
        <w:rPr>
          <w:spacing w:val="0"/>
          <w:sz w:val="22"/>
          <w:szCs w:val="28"/>
        </w:rPr>
      </w:pPr>
      <w:r>
        <w:rPr>
          <w:sz w:val="22"/>
        </w:rPr>
        <w:t xml:space="preserve">General </w:t>
      </w:r>
    </w:p>
    <w:p w:rsidR="0084053D" w:rsidRPr="0084053D" w:rsidP="00C67657" w14:paraId="321C6B69" w14:textId="77777777">
      <w:pPr>
        <w:pStyle w:val="Heading2"/>
        <w:spacing w:line="276" w:lineRule="auto"/>
        <w:ind w:left="720" w:hanging="720"/>
        <w:rPr>
          <w:rFonts w:ascii="Arial" w:hAnsi="Arial" w:cs="Arial"/>
          <w:sz w:val="24"/>
        </w:rPr>
      </w:pPr>
      <w:r w:rsidRPr="0009370B">
        <w:rPr>
          <w:rFonts w:ascii="Arial" w:hAnsi="Arial" w:cs="Arial"/>
          <w:b w:val="0"/>
          <w:i w:val="0"/>
          <w:sz w:val="22"/>
          <w:szCs w:val="22"/>
        </w:rPr>
        <w:t xml:space="preserve">The </w:t>
      </w:r>
      <w:r>
        <w:rPr>
          <w:rFonts w:ascii="Arial" w:hAnsi="Arial" w:cs="Arial"/>
          <w:b w:val="0"/>
          <w:i w:val="0"/>
          <w:sz w:val="22"/>
          <w:szCs w:val="22"/>
        </w:rPr>
        <w:t>assistance required during this data collection is voluntary in nature</w:t>
      </w:r>
      <w:r w:rsidR="006052E3">
        <w:rPr>
          <w:rFonts w:ascii="Arial" w:hAnsi="Arial" w:cs="Arial"/>
          <w:b w:val="0"/>
          <w:i w:val="0"/>
          <w:sz w:val="22"/>
          <w:szCs w:val="22"/>
        </w:rPr>
        <w:t>.</w:t>
      </w:r>
    </w:p>
    <w:p w:rsidR="00DB22E1" w:rsidRPr="005C1118" w:rsidP="00DB22E1" w14:paraId="4EB17A05" w14:textId="2C9049F9">
      <w:pPr>
        <w:pStyle w:val="Heading2"/>
        <w:spacing w:line="276" w:lineRule="auto"/>
        <w:ind w:left="720" w:hanging="720"/>
        <w:rPr>
          <w:rFonts w:ascii="Arial" w:hAnsi="Arial" w:cs="Arial"/>
          <w:b w:val="0"/>
          <w:i w:val="0"/>
          <w:sz w:val="22"/>
          <w:szCs w:val="22"/>
        </w:rPr>
      </w:pPr>
      <w:r>
        <w:rPr>
          <w:rFonts w:ascii="Arial" w:hAnsi="Arial" w:cs="Arial"/>
          <w:b w:val="0"/>
          <w:i w:val="0"/>
          <w:sz w:val="22"/>
          <w:szCs w:val="22"/>
        </w:rPr>
        <w:t xml:space="preserve">All consultation visits conducted under this effort will </w:t>
      </w:r>
      <w:r w:rsidRPr="00DB22E1">
        <w:rPr>
          <w:rFonts w:ascii="Arial" w:hAnsi="Arial" w:cs="Arial"/>
          <w:b w:val="0"/>
          <w:i w:val="0"/>
          <w:sz w:val="22"/>
          <w:szCs w:val="22"/>
        </w:rPr>
        <w:t>count towards meeting the number of consultation visits projected for the FY, in a State On-Site Consultation program’s Cooperative Agreement with OSHA</w:t>
      </w:r>
      <w:r>
        <w:rPr>
          <w:rFonts w:ascii="Arial" w:hAnsi="Arial" w:cs="Arial"/>
          <w:b w:val="0"/>
          <w:i w:val="0"/>
          <w:sz w:val="22"/>
          <w:szCs w:val="22"/>
        </w:rPr>
        <w:t xml:space="preserve">, as described in the Consultation Annual Program Plan for the Consultation program (see the Consultation Policies and Procedures Manual, </w:t>
      </w:r>
      <w:hyperlink r:id="rId9" w:history="1">
        <w:r w:rsidRPr="00E363AC">
          <w:rPr>
            <w:rStyle w:val="Hyperlink"/>
            <w:rFonts w:ascii="Arial" w:hAnsi="Arial" w:cs="Arial"/>
            <w:b w:val="0"/>
            <w:i w:val="0"/>
            <w:sz w:val="22"/>
            <w:szCs w:val="22"/>
          </w:rPr>
          <w:t>CPPM</w:t>
        </w:r>
      </w:hyperlink>
      <w:r>
        <w:rPr>
          <w:rFonts w:ascii="Arial" w:hAnsi="Arial" w:cs="Arial"/>
          <w:b w:val="0"/>
          <w:i w:val="0"/>
          <w:sz w:val="22"/>
          <w:szCs w:val="22"/>
        </w:rPr>
        <w:t xml:space="preserve">). </w:t>
      </w:r>
      <w:r w:rsidRPr="005C1118">
        <w:rPr>
          <w:rFonts w:ascii="Arial" w:hAnsi="Arial" w:cs="Arial"/>
          <w:b w:val="0"/>
          <w:i w:val="0"/>
          <w:sz w:val="22"/>
          <w:szCs w:val="22"/>
        </w:rPr>
        <w:t xml:space="preserve">Under the Cooperative Agreement, OSHA reimburses states ninety (90) percent of the budget for implementing Consultation programs. OSHA and State On-Site Consultation programs will not incur the estimated cost for participating in the Pilot Study described herein, as a separate additional cost. This is because, all consultation visits conducted will count towards meeting the number of consultation visits projected for the fiscal year, in a State On-Site Consultation program’s Cooperative Agreement (with OSHA).  </w:t>
      </w:r>
    </w:p>
    <w:p w:rsidR="0098680B" w:rsidRPr="0098680B" w:rsidP="006052E3" w14:paraId="5AA2DD7C" w14:textId="77777777">
      <w:pPr>
        <w:pStyle w:val="Heading2"/>
        <w:spacing w:line="276" w:lineRule="auto"/>
        <w:ind w:left="720" w:hanging="720"/>
        <w:rPr>
          <w:rFonts w:ascii="Arial" w:hAnsi="Arial" w:cs="Arial"/>
          <w:sz w:val="24"/>
        </w:rPr>
      </w:pPr>
      <w:r>
        <w:rPr>
          <w:rFonts w:ascii="Arial" w:hAnsi="Arial" w:cs="Arial"/>
          <w:b w:val="0"/>
          <w:i w:val="0"/>
          <w:sz w:val="22"/>
          <w:szCs w:val="22"/>
        </w:rPr>
        <w:t>The sampling effort calls for 30 consultation visits (data) in</w:t>
      </w:r>
      <w:r w:rsidR="006052E3">
        <w:rPr>
          <w:rFonts w:ascii="Arial" w:hAnsi="Arial" w:cs="Arial"/>
          <w:b w:val="0"/>
          <w:i w:val="0"/>
          <w:sz w:val="22"/>
          <w:szCs w:val="22"/>
        </w:rPr>
        <w:t xml:space="preserve"> each of </w:t>
      </w:r>
      <w:r>
        <w:rPr>
          <w:rFonts w:ascii="Arial" w:hAnsi="Arial" w:cs="Arial"/>
          <w:b w:val="0"/>
          <w:i w:val="0"/>
          <w:sz w:val="22"/>
          <w:szCs w:val="22"/>
        </w:rPr>
        <w:t>OSHA</w:t>
      </w:r>
      <w:r w:rsidR="006052E3">
        <w:rPr>
          <w:rFonts w:ascii="Arial" w:hAnsi="Arial" w:cs="Arial"/>
          <w:b w:val="0"/>
          <w:i w:val="0"/>
          <w:sz w:val="22"/>
          <w:szCs w:val="22"/>
        </w:rPr>
        <w:t>’s</w:t>
      </w:r>
      <w:r>
        <w:rPr>
          <w:rFonts w:ascii="Arial" w:hAnsi="Arial" w:cs="Arial"/>
          <w:b w:val="0"/>
          <w:i w:val="0"/>
          <w:sz w:val="22"/>
          <w:szCs w:val="22"/>
        </w:rPr>
        <w:t xml:space="preserve"> 10 Region</w:t>
      </w:r>
      <w:r w:rsidR="006052E3">
        <w:rPr>
          <w:rFonts w:ascii="Arial" w:hAnsi="Arial" w:cs="Arial"/>
          <w:b w:val="0"/>
          <w:i w:val="0"/>
          <w:sz w:val="22"/>
          <w:szCs w:val="22"/>
        </w:rPr>
        <w:t>s.</w:t>
      </w:r>
      <w:r>
        <w:t xml:space="preserve">  </w:t>
      </w:r>
    </w:p>
    <w:p w:rsidR="008644C5" w:rsidP="0098680B" w14:paraId="3517CC58" w14:textId="592CA2EE">
      <w:pPr>
        <w:pStyle w:val="Heading3"/>
      </w:pPr>
      <w:r>
        <w:t>For each of the 5 (five) industry sectors selected</w:t>
      </w:r>
      <w:r w:rsidR="007D30B8">
        <w:t xml:space="preserve"> per Region</w:t>
      </w:r>
      <w:r>
        <w:t>, t</w:t>
      </w:r>
      <w:r w:rsidR="0098680B">
        <w:t xml:space="preserve">hree </w:t>
      </w:r>
      <w:r w:rsidR="007D30B8">
        <w:t xml:space="preserve">(3) </w:t>
      </w:r>
      <w:r w:rsidR="0098680B">
        <w:t>small</w:t>
      </w:r>
      <w:r w:rsidR="00714ED9">
        <w:t>-</w:t>
      </w:r>
      <w:r w:rsidR="0098680B">
        <w:t>sized compan</w:t>
      </w:r>
      <w:r w:rsidR="007F5F24">
        <w:t>ies</w:t>
      </w:r>
      <w:r w:rsidR="0098680B">
        <w:t xml:space="preserve"> (</w:t>
      </w:r>
      <w:r w:rsidR="007F5F24">
        <w:t xml:space="preserve">i.e., </w:t>
      </w:r>
      <w:r w:rsidR="0098680B">
        <w:t>less than</w:t>
      </w:r>
      <w:r w:rsidR="006B2676">
        <w:t xml:space="preserve"> or equal to</w:t>
      </w:r>
      <w:r w:rsidR="0098680B">
        <w:t xml:space="preserve"> 25 employees</w:t>
      </w:r>
      <w:r w:rsidR="006B2676">
        <w:t xml:space="preserve"> on-site</w:t>
      </w:r>
      <w:r w:rsidR="0098680B">
        <w:t>) and t</w:t>
      </w:r>
      <w:r>
        <w:t>h</w:t>
      </w:r>
      <w:r w:rsidR="0098680B">
        <w:t>ree (3) medium</w:t>
      </w:r>
      <w:r w:rsidR="00714ED9">
        <w:t>-</w:t>
      </w:r>
      <w:r w:rsidR="0098680B">
        <w:t xml:space="preserve">sized </w:t>
      </w:r>
      <w:r w:rsidR="007F5F24">
        <w:t xml:space="preserve">companies </w:t>
      </w:r>
      <w:r w:rsidR="0098680B">
        <w:t>(</w:t>
      </w:r>
      <w:r w:rsidR="007F5F24">
        <w:t xml:space="preserve">i.e., </w:t>
      </w:r>
      <w:r w:rsidR="006B2676">
        <w:t xml:space="preserve">greater than </w:t>
      </w:r>
      <w:r w:rsidR="0098680B">
        <w:t xml:space="preserve">25 </w:t>
      </w:r>
      <w:r w:rsidR="006B2676">
        <w:t xml:space="preserve">but less than 250 </w:t>
      </w:r>
      <w:r w:rsidR="0098680B">
        <w:t xml:space="preserve">employees </w:t>
      </w:r>
      <w:r w:rsidR="006B2676">
        <w:t>on-site</w:t>
      </w:r>
      <w:r w:rsidR="0098680B">
        <w:t xml:space="preserve">) </w:t>
      </w:r>
      <w:r>
        <w:t xml:space="preserve">will be visited. </w:t>
      </w:r>
    </w:p>
    <w:p w:rsidR="00C67657" w:rsidP="0098680B" w14:paraId="6D070DD4" w14:textId="518ACCC9">
      <w:pPr>
        <w:pStyle w:val="Heading3"/>
      </w:pPr>
      <w:r>
        <w:t>Within the 30</w:t>
      </w:r>
      <w:r w:rsidR="008644C5">
        <w:t xml:space="preserve"> sampling population, </w:t>
      </w:r>
      <w:r>
        <w:t>five (</w:t>
      </w:r>
      <w:r w:rsidR="008644C5">
        <w:t>5</w:t>
      </w:r>
      <w:r>
        <w:t>)</w:t>
      </w:r>
      <w:r w:rsidR="008644C5">
        <w:t xml:space="preserve"> of the</w:t>
      </w:r>
      <w:r>
        <w:t xml:space="preserve">m </w:t>
      </w:r>
      <w:r w:rsidR="008644C5">
        <w:t xml:space="preserve">will be visited </w:t>
      </w:r>
      <w:r w:rsidR="004A2B8C">
        <w:t xml:space="preserve">simultaneously </w:t>
      </w:r>
      <w:r w:rsidR="008644C5">
        <w:t xml:space="preserve">by another consultant </w:t>
      </w:r>
      <w:r>
        <w:t xml:space="preserve">in </w:t>
      </w:r>
      <w:r w:rsidR="008644C5">
        <w:t xml:space="preserve">the same discipline.    </w:t>
      </w:r>
      <w:r w:rsidR="00081503">
        <w:t>A minimum of 2</w:t>
      </w:r>
      <w:r w:rsidR="007F5F24">
        <w:t xml:space="preserve"> consultation</w:t>
      </w:r>
      <w:r w:rsidR="00081503">
        <w:t xml:space="preserve"> visits will be conducted simultaneously by each discipline (safety or health).</w:t>
      </w:r>
    </w:p>
    <w:p w:rsidR="006F354F" w:rsidP="006F354F" w14:paraId="54DF1468" w14:textId="2F775367">
      <w:pPr>
        <w:pStyle w:val="Heading3"/>
      </w:pPr>
      <w:r w:rsidRPr="006F354F">
        <w:t xml:space="preserve">The workplaces selected for </w:t>
      </w:r>
      <w:r w:rsidR="00714ED9">
        <w:t>Pilot Study consultation</w:t>
      </w:r>
      <w:r w:rsidRPr="006F354F" w:rsidR="00714ED9">
        <w:t xml:space="preserve"> </w:t>
      </w:r>
      <w:r w:rsidRPr="006F354F">
        <w:t xml:space="preserve">visits must not have an active OSHA inspection or involvement at the time of the consultation visit and must be in business for at least 2 years.  </w:t>
      </w:r>
      <w:r w:rsidRPr="007E4887" w:rsidR="005D7C71">
        <w:t xml:space="preserve">The employer must not have an employee population of more than 250, corporate wide. </w:t>
      </w:r>
      <w:r w:rsidR="00714ED9">
        <w:t xml:space="preserve"> </w:t>
      </w:r>
      <w:r w:rsidRPr="007E4887" w:rsidR="005D7C71">
        <w:t xml:space="preserve">Each workplace </w:t>
      </w:r>
      <w:r w:rsidR="00A80300">
        <w:t>may</w:t>
      </w:r>
      <w:r w:rsidRPr="007E4887" w:rsidR="005D7C71">
        <w:t xml:space="preserve"> be asked to provide informed </w:t>
      </w:r>
      <w:r w:rsidRPr="007E4887" w:rsidR="005D7C71">
        <w:t>consent prior to participating in the study</w:t>
      </w:r>
      <w:r w:rsidR="005D7C71">
        <w:t xml:space="preserve"> (pending?)</w:t>
      </w:r>
      <w:r w:rsidRPr="007E4887" w:rsidR="005D7C71">
        <w:t>.</w:t>
      </w:r>
    </w:p>
    <w:p w:rsidR="00A80300" w:rsidRPr="00A80300" w:rsidP="00A80300" w14:paraId="0C3CA679" w14:textId="3A288A46">
      <w:pPr>
        <w:pStyle w:val="Heading3"/>
      </w:pPr>
      <w:r>
        <w:t xml:space="preserve">Consultants will receive training </w:t>
      </w:r>
      <w:r w:rsidR="001D027D">
        <w:t xml:space="preserve">on the </w:t>
      </w:r>
      <w:r w:rsidR="004012F9">
        <w:t>DRF33</w:t>
      </w:r>
      <w:r w:rsidR="006D232E">
        <w:t>, use of the data entry tool</w:t>
      </w:r>
      <w:r w:rsidR="002C1458">
        <w:t>,</w:t>
      </w:r>
      <w:r w:rsidR="004012F9">
        <w:t xml:space="preserve"> </w:t>
      </w:r>
      <w:r w:rsidR="00714ED9">
        <w:t xml:space="preserve">and the Pilot Study procedures </w:t>
      </w:r>
      <w:r w:rsidR="00772E7A">
        <w:t xml:space="preserve">and requirements </w:t>
      </w:r>
      <w:r>
        <w:t>prior to participating in the study.</w:t>
      </w:r>
    </w:p>
    <w:p w:rsidR="00C67657" w:rsidRPr="0096419F" w:rsidP="00C67657" w14:paraId="42AA7141" w14:textId="77777777"/>
    <w:p w:rsidR="00C67657" w:rsidP="00C67657" w14:paraId="1FC7B28B" w14:textId="77777777">
      <w:pPr>
        <w:pStyle w:val="Heading1"/>
      </w:pPr>
      <w:r w:rsidRPr="00B05097">
        <w:t xml:space="preserve">  </w:t>
      </w:r>
      <w:r>
        <w:t xml:space="preserve">Responsibilities </w:t>
      </w:r>
    </w:p>
    <w:p w:rsidR="00C67657" w:rsidRPr="005077DD" w:rsidP="00C67657" w14:paraId="4B192F80" w14:textId="1ABE677C">
      <w:pPr>
        <w:pStyle w:val="Heading2"/>
        <w:rPr>
          <w:rFonts w:ascii="Arial" w:hAnsi="Arial" w:cs="Arial"/>
          <w:b w:val="0"/>
          <w:i w:val="0"/>
          <w:sz w:val="18"/>
          <w:u w:val="single"/>
        </w:rPr>
      </w:pPr>
      <w:r>
        <w:rPr>
          <w:rFonts w:ascii="Arial" w:hAnsi="Arial" w:cs="Arial"/>
          <w:b w:val="0"/>
          <w:i w:val="0"/>
          <w:sz w:val="22"/>
          <w:u w:val="single"/>
        </w:rPr>
        <w:t xml:space="preserve">Pilot Study </w:t>
      </w:r>
      <w:r w:rsidRPr="005077DD">
        <w:rPr>
          <w:rFonts w:ascii="Arial" w:hAnsi="Arial" w:cs="Arial"/>
          <w:b w:val="0"/>
          <w:i w:val="0"/>
          <w:sz w:val="22"/>
          <w:u w:val="single"/>
        </w:rPr>
        <w:t>Pro</w:t>
      </w:r>
      <w:r w:rsidR="00F15E29">
        <w:rPr>
          <w:rFonts w:ascii="Arial" w:hAnsi="Arial" w:cs="Arial"/>
          <w:b w:val="0"/>
          <w:i w:val="0"/>
          <w:sz w:val="22"/>
          <w:u w:val="single"/>
        </w:rPr>
        <w:t>ject</w:t>
      </w:r>
      <w:r w:rsidRPr="005077DD">
        <w:rPr>
          <w:rFonts w:ascii="Arial" w:hAnsi="Arial" w:cs="Arial"/>
          <w:b w:val="0"/>
          <w:i w:val="0"/>
          <w:sz w:val="22"/>
          <w:u w:val="single"/>
        </w:rPr>
        <w:t xml:space="preserve"> </w:t>
      </w:r>
      <w:r>
        <w:rPr>
          <w:rFonts w:ascii="Arial" w:hAnsi="Arial" w:cs="Arial"/>
          <w:b w:val="0"/>
          <w:i w:val="0"/>
          <w:sz w:val="22"/>
          <w:u w:val="single"/>
        </w:rPr>
        <w:t xml:space="preserve">Manager/Team </w:t>
      </w:r>
      <w:r>
        <w:rPr>
          <w:rFonts w:ascii="Arial" w:hAnsi="Arial" w:cs="Arial"/>
          <w:b w:val="0"/>
          <w:i w:val="0"/>
          <w:sz w:val="22"/>
          <w:u w:val="single"/>
        </w:rPr>
        <w:t xml:space="preserve"> </w:t>
      </w:r>
    </w:p>
    <w:p w:rsidR="00C67657" w:rsidRPr="006052E3" w:rsidP="00C67657" w14:paraId="20401366" w14:textId="77777777">
      <w:pPr>
        <w:pStyle w:val="Heading3"/>
        <w:spacing w:line="276" w:lineRule="auto"/>
        <w:rPr>
          <w:sz w:val="18"/>
          <w:u w:val="single"/>
        </w:rPr>
      </w:pPr>
      <w:r w:rsidRPr="006052E3">
        <w:t xml:space="preserve">Will identify the </w:t>
      </w:r>
      <w:r>
        <w:t>five (5)</w:t>
      </w:r>
      <w:r w:rsidRPr="006052E3">
        <w:t xml:space="preserve"> </w:t>
      </w:r>
      <w:r>
        <w:t xml:space="preserve">industry </w:t>
      </w:r>
      <w:r w:rsidRPr="006052E3">
        <w:t xml:space="preserve">sectors </w:t>
      </w:r>
      <w:r>
        <w:t>that will be involved in the study.</w:t>
      </w:r>
    </w:p>
    <w:p w:rsidR="006052E3" w:rsidP="00C67657" w14:paraId="5534F7FC" w14:textId="3FE8E6B6">
      <w:pPr>
        <w:pStyle w:val="Heading3"/>
        <w:spacing w:line="276" w:lineRule="auto"/>
      </w:pPr>
      <w:r>
        <w:t xml:space="preserve">Coordinate the collection and </w:t>
      </w:r>
      <w:r w:rsidR="009B0CEA">
        <w:t>quality</w:t>
      </w:r>
      <w:r>
        <w:t xml:space="preserve"> of the data in </w:t>
      </w:r>
      <w:r w:rsidR="001D027D">
        <w:t>the DRF33</w:t>
      </w:r>
      <w:r w:rsidR="007F5F24">
        <w:t xml:space="preserve"> in </w:t>
      </w:r>
      <w:r>
        <w:t xml:space="preserve">the preferred </w:t>
      </w:r>
      <w:r w:rsidR="009B0CEA">
        <w:t>data acquisition tool</w:t>
      </w:r>
      <w:r>
        <w:t>.</w:t>
      </w:r>
    </w:p>
    <w:p w:rsidR="007F5F24" w:rsidP="00C67657" w14:paraId="6C1A66C5" w14:textId="1DC4FE3D">
      <w:pPr>
        <w:pStyle w:val="Heading3"/>
        <w:spacing w:line="276" w:lineRule="auto"/>
      </w:pPr>
      <w:r w:rsidRPr="004E703C">
        <w:t>Arrange for the training of the consultants</w:t>
      </w:r>
      <w:r>
        <w:t xml:space="preserve"> volunteered by the Consultation Program Managers (CPMs) to conduct consultation visits</w:t>
      </w:r>
      <w:r w:rsidRPr="004E703C">
        <w:t xml:space="preserve"> in each Region.</w:t>
      </w:r>
      <w:r>
        <w:t xml:space="preserve"> </w:t>
      </w:r>
    </w:p>
    <w:p w:rsidR="006052E3" w:rsidRPr="004E703C" w:rsidP="00C67657" w14:paraId="4BE586CE" w14:textId="105C5300">
      <w:pPr>
        <w:pStyle w:val="Heading3"/>
        <w:spacing w:line="276" w:lineRule="auto"/>
      </w:pPr>
      <w:r>
        <w:t>Coordinate with OSHA to</w:t>
      </w:r>
      <w:r w:rsidR="009F1A62">
        <w:t xml:space="preserve"> assess training and</w:t>
      </w:r>
      <w:r>
        <w:t xml:space="preserve"> announce the training details </w:t>
      </w:r>
      <w:r w:rsidR="009F1A62">
        <w:t xml:space="preserve">for </w:t>
      </w:r>
      <w:r>
        <w:t>Pilot Study</w:t>
      </w:r>
      <w:r w:rsidR="009F1A62">
        <w:t xml:space="preserve"> participants</w:t>
      </w:r>
      <w:r>
        <w:t>.</w:t>
      </w:r>
      <w:r w:rsidRPr="004E703C">
        <w:t xml:space="preserve"> </w:t>
      </w:r>
    </w:p>
    <w:p w:rsidR="006052E3" w:rsidRPr="00714ED9" w:rsidP="00714ED9" w14:paraId="3F7174C3" w14:textId="68325D79">
      <w:pPr>
        <w:pStyle w:val="Heading2"/>
        <w:rPr>
          <w:rFonts w:ascii="Courier New" w:eastAsia="Times New Roman" w:hAnsi="Courier New" w:cs="Times New Roman"/>
          <w:b w:val="0"/>
          <w:bCs w:val="0"/>
          <w:i w:val="0"/>
          <w:iCs w:val="0"/>
          <w:sz w:val="24"/>
          <w:szCs w:val="20"/>
        </w:rPr>
      </w:pPr>
      <w:r w:rsidRPr="00714ED9">
        <w:rPr>
          <w:rFonts w:ascii="Arial" w:hAnsi="Arial" w:cs="Arial"/>
          <w:b w:val="0"/>
          <w:i w:val="0"/>
          <w:sz w:val="22"/>
          <w:u w:val="single"/>
        </w:rPr>
        <w:t>OSHCON</w:t>
      </w:r>
      <w:r>
        <w:rPr>
          <w:rStyle w:val="FootnoteReference"/>
          <w:rFonts w:ascii="Arial" w:hAnsi="Arial" w:cs="Arial"/>
          <w:b w:val="0"/>
          <w:i w:val="0"/>
          <w:sz w:val="22"/>
          <w:u w:val="single"/>
        </w:rPr>
        <w:footnoteReference w:id="2"/>
      </w:r>
      <w:r w:rsidRPr="00714ED9">
        <w:rPr>
          <w:rFonts w:ascii="Arial" w:hAnsi="Arial" w:cs="Arial"/>
          <w:b w:val="0"/>
          <w:i w:val="0"/>
          <w:sz w:val="22"/>
          <w:u w:val="single"/>
        </w:rPr>
        <w:t xml:space="preserve"> </w:t>
      </w:r>
      <w:r w:rsidRPr="00714ED9" w:rsidR="009F1A62">
        <w:rPr>
          <w:rFonts w:ascii="Arial" w:hAnsi="Arial" w:cs="Arial"/>
          <w:b w:val="0"/>
          <w:i w:val="0"/>
          <w:sz w:val="22"/>
          <w:u w:val="single"/>
        </w:rPr>
        <w:t xml:space="preserve">Board Regional </w:t>
      </w:r>
      <w:r w:rsidRPr="00714ED9">
        <w:rPr>
          <w:rFonts w:ascii="Arial" w:hAnsi="Arial" w:cs="Arial"/>
          <w:b w:val="0"/>
          <w:i w:val="0"/>
          <w:sz w:val="22"/>
          <w:u w:val="single"/>
        </w:rPr>
        <w:t>Representative</w:t>
      </w:r>
      <w:r w:rsidRPr="00714ED9" w:rsidR="009F1A62">
        <w:rPr>
          <w:rFonts w:ascii="Arial" w:hAnsi="Arial" w:cs="Arial"/>
          <w:b w:val="0"/>
          <w:i w:val="0"/>
          <w:sz w:val="22"/>
          <w:u w:val="single"/>
        </w:rPr>
        <w:t>s</w:t>
      </w:r>
      <w:r w:rsidRPr="00714ED9">
        <w:rPr>
          <w:rFonts w:ascii="Arial" w:hAnsi="Arial" w:cs="Arial"/>
          <w:b w:val="0"/>
          <w:i w:val="0"/>
          <w:sz w:val="22"/>
          <w:u w:val="single"/>
        </w:rPr>
        <w:t xml:space="preserve"> </w:t>
      </w:r>
    </w:p>
    <w:p w:rsidR="006052E3" w:rsidP="006052E3" w14:paraId="7E993434" w14:textId="6F9FC755">
      <w:pPr>
        <w:pStyle w:val="Heading3"/>
        <w:rPr>
          <w:rFonts w:eastAsia="Times New Roman"/>
        </w:rPr>
      </w:pPr>
      <w:r>
        <w:rPr>
          <w:rFonts w:eastAsia="Times New Roman"/>
        </w:rPr>
        <w:t>Promote the intent of the Pilot Study throughout the</w:t>
      </w:r>
      <w:r w:rsidR="0098680B">
        <w:rPr>
          <w:rFonts w:eastAsia="Times New Roman"/>
        </w:rPr>
        <w:t xml:space="preserve">ir respective </w:t>
      </w:r>
      <w:r>
        <w:rPr>
          <w:rFonts w:eastAsia="Times New Roman"/>
        </w:rPr>
        <w:t>Region</w:t>
      </w:r>
      <w:r w:rsidR="0098680B">
        <w:rPr>
          <w:rFonts w:eastAsia="Times New Roman"/>
        </w:rPr>
        <w:t>s</w:t>
      </w:r>
      <w:r w:rsidR="008644C5">
        <w:rPr>
          <w:rFonts w:eastAsia="Times New Roman"/>
        </w:rPr>
        <w:t xml:space="preserve"> which is expected to run f</w:t>
      </w:r>
      <w:r w:rsidR="0098680B">
        <w:rPr>
          <w:rFonts w:eastAsia="Times New Roman"/>
        </w:rPr>
        <w:t>r</w:t>
      </w:r>
      <w:r w:rsidR="008644C5">
        <w:rPr>
          <w:rFonts w:eastAsia="Times New Roman"/>
        </w:rPr>
        <w:t>o</w:t>
      </w:r>
      <w:r w:rsidR="0098680B">
        <w:rPr>
          <w:rFonts w:eastAsia="Times New Roman"/>
        </w:rPr>
        <w:t xml:space="preserve">m </w:t>
      </w:r>
      <w:r w:rsidR="007D06EF">
        <w:rPr>
          <w:rFonts w:eastAsia="Times New Roman"/>
        </w:rPr>
        <w:t>May</w:t>
      </w:r>
      <w:r w:rsidR="008644C5">
        <w:rPr>
          <w:rFonts w:eastAsia="Times New Roman"/>
        </w:rPr>
        <w:t xml:space="preserve"> </w:t>
      </w:r>
      <w:r w:rsidR="0098680B">
        <w:rPr>
          <w:rFonts w:eastAsia="Times New Roman"/>
        </w:rPr>
        <w:t>202</w:t>
      </w:r>
      <w:r w:rsidR="007D06EF">
        <w:rPr>
          <w:rFonts w:eastAsia="Times New Roman"/>
        </w:rPr>
        <w:t>2</w:t>
      </w:r>
      <w:r w:rsidR="0098680B">
        <w:rPr>
          <w:rFonts w:eastAsia="Times New Roman"/>
        </w:rPr>
        <w:t xml:space="preserve"> to Sep </w:t>
      </w:r>
      <w:r w:rsidR="007D06EF">
        <w:rPr>
          <w:rFonts w:eastAsia="Times New Roman"/>
        </w:rPr>
        <w:t>2022</w:t>
      </w:r>
      <w:r w:rsidR="0098680B">
        <w:rPr>
          <w:rFonts w:eastAsia="Times New Roman"/>
        </w:rPr>
        <w:t>.</w:t>
      </w:r>
      <w:r>
        <w:rPr>
          <w:rFonts w:eastAsia="Times New Roman"/>
        </w:rPr>
        <w:t xml:space="preserve"> </w:t>
      </w:r>
    </w:p>
    <w:p w:rsidR="00854AD3" w:rsidRPr="00854AD3" w:rsidP="00854AD3" w14:paraId="5674A726" w14:textId="689E9ACD">
      <w:pPr>
        <w:pStyle w:val="Heading3"/>
        <w:rPr>
          <w:rFonts w:eastAsia="Times New Roman"/>
        </w:rPr>
      </w:pPr>
      <w:r>
        <w:rPr>
          <w:rFonts w:eastAsia="Times New Roman"/>
        </w:rPr>
        <w:t xml:space="preserve">Select </w:t>
      </w:r>
      <w:r w:rsidR="0098680B">
        <w:rPr>
          <w:rFonts w:eastAsia="Times New Roman"/>
        </w:rPr>
        <w:t xml:space="preserve">Consultation </w:t>
      </w:r>
      <w:r w:rsidR="009F1A62">
        <w:rPr>
          <w:rFonts w:eastAsia="Times New Roman"/>
        </w:rPr>
        <w:t>p</w:t>
      </w:r>
      <w:r>
        <w:rPr>
          <w:rFonts w:eastAsia="Times New Roman"/>
        </w:rPr>
        <w:t>rograms</w:t>
      </w:r>
      <w:r w:rsidR="006052E3">
        <w:rPr>
          <w:rFonts w:eastAsia="Times New Roman"/>
        </w:rPr>
        <w:t xml:space="preserve"> that represent a diverse characteristic of </w:t>
      </w:r>
      <w:r w:rsidR="009F1A62">
        <w:rPr>
          <w:rFonts w:eastAsia="Times New Roman"/>
        </w:rPr>
        <w:t xml:space="preserve">each </w:t>
      </w:r>
      <w:r w:rsidR="006052E3">
        <w:rPr>
          <w:rFonts w:eastAsia="Times New Roman"/>
        </w:rPr>
        <w:t xml:space="preserve">Region, </w:t>
      </w:r>
      <w:r>
        <w:rPr>
          <w:rFonts w:eastAsia="Times New Roman"/>
        </w:rPr>
        <w:t xml:space="preserve">in other words </w:t>
      </w:r>
      <w:r w:rsidR="006052E3">
        <w:rPr>
          <w:rFonts w:eastAsia="Times New Roman"/>
        </w:rPr>
        <w:t>do</w:t>
      </w:r>
      <w:r w:rsidR="009F1A62">
        <w:rPr>
          <w:rFonts w:eastAsia="Times New Roman"/>
        </w:rPr>
        <w:t xml:space="preserve"> </w:t>
      </w:r>
      <w:r w:rsidR="006052E3">
        <w:rPr>
          <w:rFonts w:eastAsia="Times New Roman"/>
        </w:rPr>
        <w:t>n</w:t>
      </w:r>
      <w:r w:rsidR="009F1A62">
        <w:rPr>
          <w:rFonts w:eastAsia="Times New Roman"/>
        </w:rPr>
        <w:t>o</w:t>
      </w:r>
      <w:r w:rsidR="006052E3">
        <w:rPr>
          <w:rFonts w:eastAsia="Times New Roman"/>
        </w:rPr>
        <w:t xml:space="preserve">t </w:t>
      </w:r>
      <w:r>
        <w:rPr>
          <w:rFonts w:eastAsia="Times New Roman"/>
        </w:rPr>
        <w:t>assign all 30 consultat</w:t>
      </w:r>
      <w:r w:rsidR="009F1A62">
        <w:rPr>
          <w:rFonts w:eastAsia="Times New Roman"/>
        </w:rPr>
        <w:t>ion</w:t>
      </w:r>
      <w:r>
        <w:rPr>
          <w:rFonts w:eastAsia="Times New Roman"/>
        </w:rPr>
        <w:t xml:space="preserve"> visits to one program. </w:t>
      </w:r>
      <w:r w:rsidR="00876D8E">
        <w:rPr>
          <w:rFonts w:eastAsia="Times New Roman"/>
        </w:rPr>
        <w:t xml:space="preserve">  </w:t>
      </w:r>
    </w:p>
    <w:p w:rsidR="004D7D82" w:rsidP="00876D8E" w14:paraId="543D4B2C" w14:textId="1021086B">
      <w:pPr>
        <w:pStyle w:val="Heading3"/>
        <w:rPr>
          <w:rFonts w:eastAsia="Times New Roman"/>
        </w:rPr>
      </w:pPr>
      <w:r>
        <w:rPr>
          <w:rFonts w:eastAsia="Times New Roman"/>
        </w:rPr>
        <w:t xml:space="preserve">Ensure all consultation visits </w:t>
      </w:r>
      <w:r w:rsidR="008644C5">
        <w:rPr>
          <w:rFonts w:eastAsia="Times New Roman"/>
        </w:rPr>
        <w:t xml:space="preserve">performed under this </w:t>
      </w:r>
      <w:r>
        <w:rPr>
          <w:rFonts w:eastAsia="Times New Roman"/>
        </w:rPr>
        <w:t xml:space="preserve">Pilot Study in the Region meet the threshold and criteria established in the design. </w:t>
      </w:r>
      <w:r w:rsidR="009F1A62">
        <w:rPr>
          <w:rFonts w:eastAsia="Times New Roman"/>
        </w:rPr>
        <w:t xml:space="preserve">Use the </w:t>
      </w:r>
      <w:r>
        <w:rPr>
          <w:rFonts w:eastAsia="Times New Roman"/>
        </w:rPr>
        <w:t xml:space="preserve">following </w:t>
      </w:r>
      <w:r w:rsidR="008644C5">
        <w:rPr>
          <w:rFonts w:eastAsia="Times New Roman"/>
        </w:rPr>
        <w:t xml:space="preserve">spreadsheet </w:t>
      </w:r>
      <w:r w:rsidR="00651773">
        <w:rPr>
          <w:rFonts w:eastAsia="Times New Roman"/>
        </w:rPr>
        <w:t xml:space="preserve">at Table 1 </w:t>
      </w:r>
      <w:r w:rsidR="009F1A62">
        <w:rPr>
          <w:rFonts w:eastAsia="Times New Roman"/>
        </w:rPr>
        <w:t>to show progress</w:t>
      </w:r>
      <w:r>
        <w:rPr>
          <w:rFonts w:eastAsia="Times New Roman"/>
        </w:rPr>
        <w:t>:</w:t>
      </w:r>
    </w:p>
    <w:p w:rsidR="00651773" w:rsidRPr="00651773" w:rsidP="00410450" w14:paraId="4E79C62D" w14:textId="77777777">
      <w:pPr>
        <w:spacing w:before="120" w:after="120"/>
        <w:rPr>
          <w:rFonts w:ascii="Arial" w:hAnsi="Arial" w:cs="Arial"/>
          <w:b/>
          <w:sz w:val="20"/>
        </w:rPr>
      </w:pPr>
      <w:r w:rsidRPr="00651773">
        <w:rPr>
          <w:rFonts w:ascii="Arial" w:hAnsi="Arial" w:cs="Arial"/>
          <w:b/>
          <w:sz w:val="20"/>
        </w:rPr>
        <w:t xml:space="preserve">Table 1: </w:t>
      </w:r>
      <w:r>
        <w:rPr>
          <w:rFonts w:ascii="Arial" w:hAnsi="Arial" w:cs="Arial"/>
          <w:b/>
          <w:sz w:val="20"/>
        </w:rPr>
        <w:t>Consultation Visits Sampling Points</w:t>
      </w:r>
    </w:p>
    <w:tbl>
      <w:tblPr>
        <w:tblStyle w:val="TableGrid"/>
        <w:tblW w:w="0" w:type="auto"/>
        <w:tblLook w:val="04A0"/>
      </w:tblPr>
      <w:tblGrid>
        <w:gridCol w:w="989"/>
        <w:gridCol w:w="857"/>
        <w:gridCol w:w="1019"/>
        <w:gridCol w:w="857"/>
        <w:gridCol w:w="1019"/>
        <w:gridCol w:w="857"/>
        <w:gridCol w:w="1019"/>
        <w:gridCol w:w="857"/>
        <w:gridCol w:w="1019"/>
        <w:gridCol w:w="857"/>
      </w:tblGrid>
      <w:tr w14:paraId="3D19A8DF" w14:textId="77777777" w:rsidTr="009204A5">
        <w:tblPrEx>
          <w:tblW w:w="0" w:type="auto"/>
          <w:tblLook w:val="04A0"/>
        </w:tblPrEx>
        <w:tc>
          <w:tcPr>
            <w:tcW w:w="1846" w:type="dxa"/>
            <w:gridSpan w:val="2"/>
            <w:shd w:val="clear" w:color="auto" w:fill="D0CECE" w:themeFill="background2" w:themeFillShade="E6"/>
          </w:tcPr>
          <w:p w:rsidR="00876D8E" w:rsidRPr="004B782D" w:rsidP="00876D8E" w14:paraId="30B49B78" w14:textId="77777777">
            <w:pPr>
              <w:jc w:val="center"/>
              <w:rPr>
                <w:rFonts w:ascii="Arial" w:hAnsi="Arial" w:cs="Arial"/>
                <w:sz w:val="20"/>
              </w:rPr>
            </w:pPr>
            <w:r w:rsidRPr="004B782D">
              <w:rPr>
                <w:rFonts w:ascii="Arial" w:hAnsi="Arial" w:cs="Arial"/>
                <w:sz w:val="20"/>
              </w:rPr>
              <w:t>Industry #1</w:t>
            </w:r>
          </w:p>
        </w:tc>
        <w:tc>
          <w:tcPr>
            <w:tcW w:w="1876" w:type="dxa"/>
            <w:gridSpan w:val="2"/>
            <w:shd w:val="clear" w:color="auto" w:fill="D0CECE" w:themeFill="background2" w:themeFillShade="E6"/>
          </w:tcPr>
          <w:p w:rsidR="00876D8E" w:rsidRPr="004B782D" w:rsidP="00876D8E" w14:paraId="1BBD0C62" w14:textId="77777777">
            <w:pPr>
              <w:jc w:val="center"/>
              <w:rPr>
                <w:rFonts w:ascii="Arial" w:hAnsi="Arial" w:cs="Arial"/>
                <w:sz w:val="20"/>
              </w:rPr>
            </w:pPr>
            <w:r w:rsidRPr="004B782D">
              <w:rPr>
                <w:rFonts w:ascii="Arial" w:hAnsi="Arial" w:cs="Arial"/>
                <w:sz w:val="20"/>
              </w:rPr>
              <w:t>Industry # 2</w:t>
            </w:r>
          </w:p>
        </w:tc>
        <w:tc>
          <w:tcPr>
            <w:tcW w:w="1876" w:type="dxa"/>
            <w:gridSpan w:val="2"/>
            <w:shd w:val="clear" w:color="auto" w:fill="D0CECE" w:themeFill="background2" w:themeFillShade="E6"/>
          </w:tcPr>
          <w:p w:rsidR="00876D8E" w:rsidRPr="004B782D" w:rsidP="00876D8E" w14:paraId="3E90D183" w14:textId="77777777">
            <w:pPr>
              <w:jc w:val="center"/>
              <w:rPr>
                <w:rFonts w:ascii="Arial" w:hAnsi="Arial" w:cs="Arial"/>
                <w:sz w:val="20"/>
              </w:rPr>
            </w:pPr>
            <w:r w:rsidRPr="004B782D">
              <w:rPr>
                <w:rFonts w:ascii="Arial" w:hAnsi="Arial" w:cs="Arial"/>
                <w:sz w:val="20"/>
              </w:rPr>
              <w:t>Industry # 3</w:t>
            </w:r>
          </w:p>
        </w:tc>
        <w:tc>
          <w:tcPr>
            <w:tcW w:w="1876" w:type="dxa"/>
            <w:gridSpan w:val="2"/>
            <w:shd w:val="clear" w:color="auto" w:fill="D0CECE" w:themeFill="background2" w:themeFillShade="E6"/>
          </w:tcPr>
          <w:p w:rsidR="00876D8E" w:rsidRPr="004B782D" w:rsidP="00876D8E" w14:paraId="54C2541F" w14:textId="77777777">
            <w:pPr>
              <w:jc w:val="center"/>
              <w:rPr>
                <w:rFonts w:ascii="Arial" w:hAnsi="Arial" w:cs="Arial"/>
                <w:sz w:val="20"/>
              </w:rPr>
            </w:pPr>
            <w:r w:rsidRPr="004B782D">
              <w:rPr>
                <w:rFonts w:ascii="Arial" w:hAnsi="Arial" w:cs="Arial"/>
                <w:sz w:val="20"/>
              </w:rPr>
              <w:t>Industry # 4</w:t>
            </w:r>
            <w:r w:rsidRPr="004B782D" w:rsidR="00F44614">
              <w:rPr>
                <w:rFonts w:ascii="Arial" w:hAnsi="Arial" w:cs="Arial"/>
                <w:sz w:val="20"/>
              </w:rPr>
              <w:t xml:space="preserve"> </w:t>
            </w:r>
            <w:r w:rsidRPr="004B782D">
              <w:rPr>
                <w:rFonts w:ascii="Arial" w:hAnsi="Arial" w:cs="Arial"/>
                <w:sz w:val="20"/>
              </w:rPr>
              <w:t xml:space="preserve"> </w:t>
            </w:r>
          </w:p>
        </w:tc>
        <w:tc>
          <w:tcPr>
            <w:tcW w:w="1876" w:type="dxa"/>
            <w:gridSpan w:val="2"/>
            <w:shd w:val="clear" w:color="auto" w:fill="D0CECE" w:themeFill="background2" w:themeFillShade="E6"/>
          </w:tcPr>
          <w:p w:rsidR="00876D8E" w:rsidRPr="004B782D" w:rsidP="00876D8E" w14:paraId="3E2218AE" w14:textId="77777777">
            <w:pPr>
              <w:jc w:val="center"/>
              <w:rPr>
                <w:rFonts w:ascii="Arial" w:hAnsi="Arial" w:cs="Arial"/>
                <w:sz w:val="20"/>
              </w:rPr>
            </w:pPr>
            <w:r w:rsidRPr="004B782D">
              <w:rPr>
                <w:rFonts w:ascii="Arial" w:hAnsi="Arial" w:cs="Arial"/>
                <w:sz w:val="20"/>
              </w:rPr>
              <w:t>Industry # 5</w:t>
            </w:r>
            <w:r w:rsidRPr="004B782D" w:rsidR="00F44614">
              <w:rPr>
                <w:rFonts w:ascii="Arial" w:hAnsi="Arial" w:cs="Arial"/>
                <w:sz w:val="20"/>
              </w:rPr>
              <w:t xml:space="preserve"> </w:t>
            </w:r>
          </w:p>
        </w:tc>
      </w:tr>
      <w:tr w14:paraId="124CC86A" w14:textId="77777777" w:rsidTr="009204A5">
        <w:tblPrEx>
          <w:tblW w:w="0" w:type="auto"/>
          <w:tblLook w:val="04A0"/>
        </w:tblPrEx>
        <w:trPr>
          <w:trHeight w:val="54"/>
        </w:trPr>
        <w:tc>
          <w:tcPr>
            <w:tcW w:w="989" w:type="dxa"/>
            <w:shd w:val="clear" w:color="auto" w:fill="D0CECE" w:themeFill="background2" w:themeFillShade="E6"/>
          </w:tcPr>
          <w:p w:rsidR="008644C5" w:rsidRPr="008644C5" w:rsidP="008644C5" w14:paraId="1C704ECD" w14:textId="77777777">
            <w:pPr>
              <w:jc w:val="center"/>
              <w:rPr>
                <w:rFonts w:ascii="Arial" w:hAnsi="Arial" w:cs="Arial"/>
                <w:i/>
                <w:sz w:val="20"/>
              </w:rPr>
            </w:pPr>
            <w:r w:rsidRPr="008644C5">
              <w:rPr>
                <w:rFonts w:ascii="Arial" w:hAnsi="Arial" w:cs="Arial"/>
                <w:i/>
                <w:sz w:val="18"/>
              </w:rPr>
              <w:t>Small Size</w:t>
            </w:r>
          </w:p>
        </w:tc>
        <w:tc>
          <w:tcPr>
            <w:tcW w:w="857" w:type="dxa"/>
            <w:shd w:val="clear" w:color="auto" w:fill="D0CECE" w:themeFill="background2" w:themeFillShade="E6"/>
          </w:tcPr>
          <w:p w:rsidR="008644C5" w:rsidRPr="008644C5" w:rsidP="008644C5" w14:paraId="1B8BD582" w14:textId="77777777">
            <w:pPr>
              <w:jc w:val="center"/>
              <w:rPr>
                <w:rFonts w:ascii="Arial" w:hAnsi="Arial" w:cs="Arial"/>
                <w:i/>
                <w:sz w:val="20"/>
              </w:rPr>
            </w:pPr>
            <w:r w:rsidRPr="008644C5">
              <w:rPr>
                <w:rFonts w:ascii="Arial" w:hAnsi="Arial" w:cs="Arial"/>
                <w:i/>
                <w:sz w:val="18"/>
              </w:rPr>
              <w:t>Medium  Size</w:t>
            </w:r>
          </w:p>
        </w:tc>
        <w:tc>
          <w:tcPr>
            <w:tcW w:w="1019" w:type="dxa"/>
            <w:shd w:val="clear" w:color="auto" w:fill="D0CECE" w:themeFill="background2" w:themeFillShade="E6"/>
          </w:tcPr>
          <w:p w:rsidR="008644C5" w:rsidRPr="008644C5" w:rsidP="008644C5" w14:paraId="5E8A9732" w14:textId="77777777">
            <w:pPr>
              <w:jc w:val="center"/>
              <w:rPr>
                <w:rFonts w:ascii="Arial" w:hAnsi="Arial" w:cs="Arial"/>
                <w:i/>
                <w:sz w:val="20"/>
              </w:rPr>
            </w:pPr>
            <w:r w:rsidRPr="008644C5">
              <w:rPr>
                <w:rFonts w:ascii="Arial" w:hAnsi="Arial" w:cs="Arial"/>
                <w:i/>
                <w:sz w:val="20"/>
              </w:rPr>
              <w:t>Small Size</w:t>
            </w:r>
          </w:p>
        </w:tc>
        <w:tc>
          <w:tcPr>
            <w:tcW w:w="857" w:type="dxa"/>
            <w:shd w:val="clear" w:color="auto" w:fill="D0CECE" w:themeFill="background2" w:themeFillShade="E6"/>
          </w:tcPr>
          <w:p w:rsidR="008644C5" w:rsidRPr="008644C5" w:rsidP="008644C5" w14:paraId="05D73122" w14:textId="77777777">
            <w:pPr>
              <w:jc w:val="center"/>
              <w:rPr>
                <w:i/>
              </w:rPr>
            </w:pPr>
            <w:r w:rsidRPr="008644C5">
              <w:rPr>
                <w:rFonts w:ascii="Arial" w:hAnsi="Arial" w:cs="Arial"/>
                <w:i/>
                <w:sz w:val="18"/>
              </w:rPr>
              <w:t>Medium  Size</w:t>
            </w:r>
          </w:p>
        </w:tc>
        <w:tc>
          <w:tcPr>
            <w:tcW w:w="1019" w:type="dxa"/>
            <w:shd w:val="clear" w:color="auto" w:fill="D0CECE" w:themeFill="background2" w:themeFillShade="E6"/>
          </w:tcPr>
          <w:p w:rsidR="008644C5" w:rsidRPr="008644C5" w:rsidP="008644C5" w14:paraId="2B84A245" w14:textId="77777777">
            <w:pPr>
              <w:jc w:val="center"/>
              <w:rPr>
                <w:rFonts w:ascii="Arial" w:hAnsi="Arial" w:cs="Arial"/>
                <w:i/>
                <w:sz w:val="20"/>
              </w:rPr>
            </w:pPr>
            <w:r w:rsidRPr="008644C5">
              <w:rPr>
                <w:rFonts w:ascii="Arial" w:hAnsi="Arial" w:cs="Arial"/>
                <w:i/>
                <w:sz w:val="20"/>
              </w:rPr>
              <w:t>Small Size</w:t>
            </w:r>
          </w:p>
        </w:tc>
        <w:tc>
          <w:tcPr>
            <w:tcW w:w="857" w:type="dxa"/>
            <w:shd w:val="clear" w:color="auto" w:fill="D0CECE" w:themeFill="background2" w:themeFillShade="E6"/>
          </w:tcPr>
          <w:p w:rsidR="008644C5" w:rsidRPr="008644C5" w:rsidP="008644C5" w14:paraId="1A51FE65" w14:textId="77777777">
            <w:pPr>
              <w:jc w:val="center"/>
              <w:rPr>
                <w:i/>
              </w:rPr>
            </w:pPr>
            <w:r w:rsidRPr="008644C5">
              <w:rPr>
                <w:rFonts w:ascii="Arial" w:hAnsi="Arial" w:cs="Arial"/>
                <w:i/>
                <w:sz w:val="18"/>
              </w:rPr>
              <w:t>Medium  Size</w:t>
            </w:r>
          </w:p>
        </w:tc>
        <w:tc>
          <w:tcPr>
            <w:tcW w:w="1019" w:type="dxa"/>
            <w:shd w:val="clear" w:color="auto" w:fill="D0CECE" w:themeFill="background2" w:themeFillShade="E6"/>
          </w:tcPr>
          <w:p w:rsidR="008644C5" w:rsidRPr="008644C5" w:rsidP="008644C5" w14:paraId="56992D8D" w14:textId="77777777">
            <w:pPr>
              <w:jc w:val="center"/>
              <w:rPr>
                <w:rFonts w:ascii="Arial" w:hAnsi="Arial" w:cs="Arial"/>
                <w:i/>
                <w:sz w:val="20"/>
              </w:rPr>
            </w:pPr>
            <w:r w:rsidRPr="008644C5">
              <w:rPr>
                <w:rFonts w:ascii="Arial" w:hAnsi="Arial" w:cs="Arial"/>
                <w:i/>
                <w:sz w:val="20"/>
              </w:rPr>
              <w:t>Small Size</w:t>
            </w:r>
          </w:p>
        </w:tc>
        <w:tc>
          <w:tcPr>
            <w:tcW w:w="857" w:type="dxa"/>
            <w:shd w:val="clear" w:color="auto" w:fill="D0CECE" w:themeFill="background2" w:themeFillShade="E6"/>
          </w:tcPr>
          <w:p w:rsidR="008644C5" w:rsidRPr="008644C5" w:rsidP="008644C5" w14:paraId="4D75514A" w14:textId="77777777">
            <w:pPr>
              <w:jc w:val="center"/>
              <w:rPr>
                <w:i/>
              </w:rPr>
            </w:pPr>
            <w:r w:rsidRPr="008644C5">
              <w:rPr>
                <w:rFonts w:ascii="Arial" w:hAnsi="Arial" w:cs="Arial"/>
                <w:i/>
                <w:sz w:val="18"/>
              </w:rPr>
              <w:t>Medium  Size</w:t>
            </w:r>
          </w:p>
        </w:tc>
        <w:tc>
          <w:tcPr>
            <w:tcW w:w="1019" w:type="dxa"/>
            <w:shd w:val="clear" w:color="auto" w:fill="D0CECE" w:themeFill="background2" w:themeFillShade="E6"/>
          </w:tcPr>
          <w:p w:rsidR="008644C5" w:rsidRPr="008644C5" w:rsidP="008644C5" w14:paraId="28BC6045" w14:textId="77777777">
            <w:pPr>
              <w:jc w:val="center"/>
              <w:rPr>
                <w:rFonts w:ascii="Arial" w:hAnsi="Arial" w:cs="Arial"/>
                <w:i/>
                <w:sz w:val="20"/>
              </w:rPr>
            </w:pPr>
            <w:r w:rsidRPr="008644C5">
              <w:rPr>
                <w:rFonts w:ascii="Arial" w:hAnsi="Arial" w:cs="Arial"/>
                <w:i/>
                <w:sz w:val="20"/>
              </w:rPr>
              <w:t>Small Size</w:t>
            </w:r>
          </w:p>
        </w:tc>
        <w:tc>
          <w:tcPr>
            <w:tcW w:w="857" w:type="dxa"/>
            <w:shd w:val="clear" w:color="auto" w:fill="D0CECE" w:themeFill="background2" w:themeFillShade="E6"/>
          </w:tcPr>
          <w:p w:rsidR="008644C5" w:rsidRPr="008644C5" w:rsidP="008644C5" w14:paraId="5DC60F7B" w14:textId="77777777">
            <w:pPr>
              <w:jc w:val="center"/>
              <w:rPr>
                <w:i/>
              </w:rPr>
            </w:pPr>
            <w:r w:rsidRPr="008644C5">
              <w:rPr>
                <w:rFonts w:ascii="Arial" w:hAnsi="Arial" w:cs="Arial"/>
                <w:i/>
                <w:sz w:val="18"/>
              </w:rPr>
              <w:t>Medium  Size</w:t>
            </w:r>
          </w:p>
        </w:tc>
      </w:tr>
      <w:tr w14:paraId="36D3E208" w14:textId="77777777" w:rsidTr="009204A5">
        <w:tblPrEx>
          <w:tblW w:w="0" w:type="auto"/>
          <w:tblLook w:val="04A0"/>
        </w:tblPrEx>
        <w:trPr>
          <w:trHeight w:val="51"/>
        </w:trPr>
        <w:tc>
          <w:tcPr>
            <w:tcW w:w="989" w:type="dxa"/>
          </w:tcPr>
          <w:p w:rsidR="008644C5" w:rsidP="008644C5" w14:paraId="26B13F1C" w14:textId="77777777"/>
        </w:tc>
        <w:tc>
          <w:tcPr>
            <w:tcW w:w="857" w:type="dxa"/>
          </w:tcPr>
          <w:p w:rsidR="008644C5" w:rsidP="008644C5" w14:paraId="78CEDC47" w14:textId="77777777"/>
        </w:tc>
        <w:tc>
          <w:tcPr>
            <w:tcW w:w="1019" w:type="dxa"/>
          </w:tcPr>
          <w:p w:rsidR="008644C5" w:rsidP="008644C5" w14:paraId="32E57818" w14:textId="77777777"/>
        </w:tc>
        <w:tc>
          <w:tcPr>
            <w:tcW w:w="857" w:type="dxa"/>
          </w:tcPr>
          <w:p w:rsidR="008644C5" w:rsidP="008644C5" w14:paraId="283D0491" w14:textId="77777777"/>
        </w:tc>
        <w:tc>
          <w:tcPr>
            <w:tcW w:w="1019" w:type="dxa"/>
          </w:tcPr>
          <w:p w:rsidR="008644C5" w:rsidP="008644C5" w14:paraId="47E4EBF8" w14:textId="77777777"/>
        </w:tc>
        <w:tc>
          <w:tcPr>
            <w:tcW w:w="857" w:type="dxa"/>
          </w:tcPr>
          <w:p w:rsidR="008644C5" w:rsidP="008644C5" w14:paraId="343D52E6" w14:textId="77777777"/>
        </w:tc>
        <w:tc>
          <w:tcPr>
            <w:tcW w:w="1019" w:type="dxa"/>
          </w:tcPr>
          <w:p w:rsidR="008644C5" w:rsidP="008644C5" w14:paraId="2FA2182C" w14:textId="77777777"/>
        </w:tc>
        <w:tc>
          <w:tcPr>
            <w:tcW w:w="857" w:type="dxa"/>
          </w:tcPr>
          <w:p w:rsidR="008644C5" w:rsidP="008644C5" w14:paraId="788628EC" w14:textId="77777777"/>
        </w:tc>
        <w:tc>
          <w:tcPr>
            <w:tcW w:w="1019" w:type="dxa"/>
          </w:tcPr>
          <w:p w:rsidR="008644C5" w:rsidP="008644C5" w14:paraId="4DDCD6E0" w14:textId="77777777"/>
        </w:tc>
        <w:tc>
          <w:tcPr>
            <w:tcW w:w="857" w:type="dxa"/>
          </w:tcPr>
          <w:p w:rsidR="008644C5" w:rsidP="008644C5" w14:paraId="2C2C3401" w14:textId="77777777"/>
        </w:tc>
      </w:tr>
      <w:tr w14:paraId="46D5F4AA" w14:textId="77777777" w:rsidTr="009204A5">
        <w:tblPrEx>
          <w:tblW w:w="0" w:type="auto"/>
          <w:tblLook w:val="04A0"/>
        </w:tblPrEx>
        <w:trPr>
          <w:trHeight w:val="51"/>
        </w:trPr>
        <w:tc>
          <w:tcPr>
            <w:tcW w:w="989" w:type="dxa"/>
          </w:tcPr>
          <w:p w:rsidR="008644C5" w:rsidP="008644C5" w14:paraId="7993144F" w14:textId="77777777"/>
        </w:tc>
        <w:tc>
          <w:tcPr>
            <w:tcW w:w="857" w:type="dxa"/>
          </w:tcPr>
          <w:p w:rsidR="008644C5" w:rsidP="008644C5" w14:paraId="1A7F1EE0" w14:textId="77777777"/>
        </w:tc>
        <w:tc>
          <w:tcPr>
            <w:tcW w:w="1019" w:type="dxa"/>
          </w:tcPr>
          <w:p w:rsidR="008644C5" w:rsidP="008644C5" w14:paraId="19D03ABD" w14:textId="77777777"/>
        </w:tc>
        <w:tc>
          <w:tcPr>
            <w:tcW w:w="857" w:type="dxa"/>
          </w:tcPr>
          <w:p w:rsidR="008644C5" w:rsidP="008644C5" w14:paraId="646A2373" w14:textId="77777777"/>
        </w:tc>
        <w:tc>
          <w:tcPr>
            <w:tcW w:w="1019" w:type="dxa"/>
          </w:tcPr>
          <w:p w:rsidR="008644C5" w:rsidP="008644C5" w14:paraId="56DED4DB" w14:textId="77777777"/>
        </w:tc>
        <w:tc>
          <w:tcPr>
            <w:tcW w:w="857" w:type="dxa"/>
          </w:tcPr>
          <w:p w:rsidR="008644C5" w:rsidP="008644C5" w14:paraId="3D98CCD8" w14:textId="77777777"/>
        </w:tc>
        <w:tc>
          <w:tcPr>
            <w:tcW w:w="1019" w:type="dxa"/>
          </w:tcPr>
          <w:p w:rsidR="008644C5" w:rsidP="008644C5" w14:paraId="29F75AE7" w14:textId="77777777"/>
        </w:tc>
        <w:tc>
          <w:tcPr>
            <w:tcW w:w="857" w:type="dxa"/>
          </w:tcPr>
          <w:p w:rsidR="008644C5" w:rsidP="008644C5" w14:paraId="116720FE" w14:textId="77777777"/>
        </w:tc>
        <w:tc>
          <w:tcPr>
            <w:tcW w:w="1019" w:type="dxa"/>
          </w:tcPr>
          <w:p w:rsidR="008644C5" w:rsidP="008644C5" w14:paraId="3C697848" w14:textId="77777777"/>
        </w:tc>
        <w:tc>
          <w:tcPr>
            <w:tcW w:w="857" w:type="dxa"/>
          </w:tcPr>
          <w:p w:rsidR="008644C5" w:rsidP="008644C5" w14:paraId="35382AFD" w14:textId="77777777"/>
        </w:tc>
      </w:tr>
      <w:tr w14:paraId="76EBE5A7" w14:textId="77777777" w:rsidTr="009204A5">
        <w:tblPrEx>
          <w:tblW w:w="0" w:type="auto"/>
          <w:tblLook w:val="04A0"/>
        </w:tblPrEx>
        <w:trPr>
          <w:trHeight w:val="51"/>
        </w:trPr>
        <w:tc>
          <w:tcPr>
            <w:tcW w:w="989" w:type="dxa"/>
          </w:tcPr>
          <w:p w:rsidR="008644C5" w:rsidP="008644C5" w14:paraId="191805E9" w14:textId="77777777"/>
        </w:tc>
        <w:tc>
          <w:tcPr>
            <w:tcW w:w="857" w:type="dxa"/>
          </w:tcPr>
          <w:p w:rsidR="008644C5" w:rsidP="008644C5" w14:paraId="49A7818D" w14:textId="77777777"/>
        </w:tc>
        <w:tc>
          <w:tcPr>
            <w:tcW w:w="1019" w:type="dxa"/>
          </w:tcPr>
          <w:p w:rsidR="008644C5" w:rsidP="008644C5" w14:paraId="3A21EA1F" w14:textId="77777777"/>
        </w:tc>
        <w:tc>
          <w:tcPr>
            <w:tcW w:w="857" w:type="dxa"/>
          </w:tcPr>
          <w:p w:rsidR="008644C5" w:rsidP="008644C5" w14:paraId="421F7051" w14:textId="77777777"/>
        </w:tc>
        <w:tc>
          <w:tcPr>
            <w:tcW w:w="1019" w:type="dxa"/>
          </w:tcPr>
          <w:p w:rsidR="008644C5" w:rsidP="008644C5" w14:paraId="4B24B116" w14:textId="77777777"/>
        </w:tc>
        <w:tc>
          <w:tcPr>
            <w:tcW w:w="857" w:type="dxa"/>
          </w:tcPr>
          <w:p w:rsidR="008644C5" w:rsidP="008644C5" w14:paraId="59AA74C7" w14:textId="77777777"/>
        </w:tc>
        <w:tc>
          <w:tcPr>
            <w:tcW w:w="1019" w:type="dxa"/>
          </w:tcPr>
          <w:p w:rsidR="008644C5" w:rsidP="008644C5" w14:paraId="7B4EE3AF" w14:textId="77777777"/>
        </w:tc>
        <w:tc>
          <w:tcPr>
            <w:tcW w:w="857" w:type="dxa"/>
          </w:tcPr>
          <w:p w:rsidR="008644C5" w:rsidP="008644C5" w14:paraId="1C81B846" w14:textId="77777777"/>
        </w:tc>
        <w:tc>
          <w:tcPr>
            <w:tcW w:w="1019" w:type="dxa"/>
          </w:tcPr>
          <w:p w:rsidR="008644C5" w:rsidP="008644C5" w14:paraId="3787071C" w14:textId="77777777"/>
        </w:tc>
        <w:tc>
          <w:tcPr>
            <w:tcW w:w="857" w:type="dxa"/>
          </w:tcPr>
          <w:p w:rsidR="008644C5" w:rsidP="008644C5" w14:paraId="5228810E" w14:textId="77777777"/>
        </w:tc>
      </w:tr>
      <w:tr w14:paraId="7C13BB3F" w14:textId="77777777" w:rsidTr="008C57B4">
        <w:tblPrEx>
          <w:tblW w:w="0" w:type="auto"/>
          <w:tblLook w:val="04A0"/>
        </w:tblPrEx>
        <w:trPr>
          <w:trHeight w:val="51"/>
        </w:trPr>
        <w:tc>
          <w:tcPr>
            <w:tcW w:w="9350" w:type="dxa"/>
            <w:gridSpan w:val="10"/>
          </w:tcPr>
          <w:p w:rsidR="009204A5" w:rsidRPr="009204A5" w:rsidP="009204A5" w14:paraId="52D62344" w14:textId="77777777">
            <w:pPr>
              <w:rPr>
                <w:rFonts w:ascii="Arial" w:hAnsi="Arial" w:cs="Arial"/>
                <w:sz w:val="18"/>
              </w:rPr>
            </w:pPr>
            <w:r w:rsidRPr="009204A5">
              <w:rPr>
                <w:rFonts w:ascii="Arial" w:hAnsi="Arial" w:cs="Arial"/>
                <w:sz w:val="18"/>
              </w:rPr>
              <w:t xml:space="preserve">* Note:  Five </w:t>
            </w:r>
            <w:r>
              <w:rPr>
                <w:rFonts w:ascii="Arial" w:hAnsi="Arial" w:cs="Arial"/>
                <w:sz w:val="18"/>
              </w:rPr>
              <w:t xml:space="preserve">(5) </w:t>
            </w:r>
            <w:r w:rsidRPr="009204A5">
              <w:rPr>
                <w:rFonts w:ascii="Arial" w:hAnsi="Arial" w:cs="Arial"/>
                <w:sz w:val="18"/>
              </w:rPr>
              <w:t xml:space="preserve">of these visits </w:t>
            </w:r>
            <w:r>
              <w:rPr>
                <w:rFonts w:ascii="Arial" w:hAnsi="Arial" w:cs="Arial"/>
                <w:sz w:val="18"/>
              </w:rPr>
              <w:t xml:space="preserve">can be conducted by two (2) different consultants in the same discipline.  </w:t>
            </w:r>
          </w:p>
        </w:tc>
      </w:tr>
    </w:tbl>
    <w:p w:rsidR="009204A5" w:rsidP="009204A5" w14:paraId="1C034E09" w14:textId="40183561">
      <w:pPr>
        <w:pStyle w:val="Heading3"/>
        <w:rPr>
          <w:rFonts w:eastAsia="Times New Roman"/>
        </w:rPr>
      </w:pPr>
      <w:r>
        <w:rPr>
          <w:rFonts w:eastAsia="Times New Roman"/>
        </w:rPr>
        <w:t xml:space="preserve">After </w:t>
      </w:r>
      <w:r w:rsidR="005D57B9">
        <w:rPr>
          <w:rFonts w:eastAsia="Times New Roman"/>
        </w:rPr>
        <w:t xml:space="preserve">this table is completed, the OSHCON </w:t>
      </w:r>
      <w:r w:rsidR="009F1A62">
        <w:rPr>
          <w:rFonts w:eastAsia="Times New Roman"/>
        </w:rPr>
        <w:t xml:space="preserve">Board Regional </w:t>
      </w:r>
      <w:r w:rsidR="005D57B9">
        <w:rPr>
          <w:rFonts w:eastAsia="Times New Roman"/>
        </w:rPr>
        <w:t>Representative will forward to t</w:t>
      </w:r>
      <w:r>
        <w:rPr>
          <w:rFonts w:eastAsia="Times New Roman"/>
        </w:rPr>
        <w:t>he Pilot Study Pro</w:t>
      </w:r>
      <w:r w:rsidR="00F15E29">
        <w:rPr>
          <w:rFonts w:eastAsia="Times New Roman"/>
        </w:rPr>
        <w:t>ject</w:t>
      </w:r>
      <w:r>
        <w:rPr>
          <w:rFonts w:eastAsia="Times New Roman"/>
        </w:rPr>
        <w:t xml:space="preserve"> Manager. </w:t>
      </w:r>
    </w:p>
    <w:p w:rsidR="004D7D82" w:rsidRPr="004D7D82" w:rsidP="004D7D82" w14:paraId="45D56358" w14:textId="33A598B9">
      <w:pPr>
        <w:pStyle w:val="Heading2"/>
        <w:rPr>
          <w:rFonts w:ascii="Arial" w:eastAsia="Times New Roman" w:hAnsi="Arial" w:cs="Arial"/>
          <w:b w:val="0"/>
          <w:i w:val="0"/>
          <w:sz w:val="22"/>
          <w:u w:val="single"/>
        </w:rPr>
      </w:pPr>
      <w:r>
        <w:rPr>
          <w:rFonts w:ascii="Arial" w:eastAsia="Times New Roman" w:hAnsi="Arial" w:cs="Arial"/>
          <w:b w:val="0"/>
          <w:i w:val="0"/>
          <w:sz w:val="22"/>
          <w:u w:val="single"/>
        </w:rPr>
        <w:t xml:space="preserve">Consultation </w:t>
      </w:r>
      <w:r w:rsidRPr="004D7D82">
        <w:rPr>
          <w:rFonts w:ascii="Arial" w:eastAsia="Times New Roman" w:hAnsi="Arial" w:cs="Arial"/>
          <w:b w:val="0"/>
          <w:i w:val="0"/>
          <w:sz w:val="22"/>
          <w:u w:val="single"/>
        </w:rPr>
        <w:t>Program Managers</w:t>
      </w:r>
    </w:p>
    <w:p w:rsidR="00742A26" w:rsidRPr="00742A26" w:rsidP="00742A26" w14:paraId="26510A07" w14:textId="37E968C6">
      <w:pPr>
        <w:pStyle w:val="Heading3"/>
        <w:rPr>
          <w:rFonts w:eastAsia="Times New Roman"/>
        </w:rPr>
      </w:pPr>
      <w:r>
        <w:rPr>
          <w:rFonts w:eastAsia="Times New Roman"/>
        </w:rPr>
        <w:t xml:space="preserve">Develop a marketing campaign towards the five (5) industry sectors identified in the sampling plan. </w:t>
      </w:r>
      <w:r w:rsidRPr="00742A26">
        <w:rPr>
          <w:rFonts w:eastAsia="Times New Roman"/>
        </w:rPr>
        <w:t xml:space="preserve">Ensure only those establishments are captured in </w:t>
      </w:r>
      <w:r>
        <w:rPr>
          <w:rFonts w:eastAsia="Times New Roman"/>
        </w:rPr>
        <w:t>data analys</w:t>
      </w:r>
      <w:r w:rsidR="007D06EF">
        <w:rPr>
          <w:rFonts w:eastAsia="Times New Roman"/>
        </w:rPr>
        <w:t>e</w:t>
      </w:r>
      <w:r>
        <w:rPr>
          <w:rFonts w:eastAsia="Times New Roman"/>
        </w:rPr>
        <w:t>s</w:t>
      </w:r>
      <w:r w:rsidRPr="00742A26">
        <w:rPr>
          <w:rFonts w:eastAsia="Times New Roman"/>
        </w:rPr>
        <w:t>.</w:t>
      </w:r>
      <w:r w:rsidRPr="007D06EF" w:rsidR="007D06EF">
        <w:rPr>
          <w:rFonts w:ascii="Courier New" w:eastAsia="Times New Roman" w:hAnsi="Courier New" w:cs="Times New Roman"/>
          <w:bCs w:val="0"/>
          <w:sz w:val="24"/>
          <w:szCs w:val="20"/>
        </w:rPr>
        <w:t xml:space="preserve"> </w:t>
      </w:r>
      <w:r w:rsidRPr="007D06EF" w:rsidR="007D06EF">
        <w:rPr>
          <w:rFonts w:eastAsia="Times New Roman"/>
        </w:rPr>
        <w:t>Marketing strategies are routinely utilized by State On-Site Consultation programs and fully funded under the Cooperative Agreement with OSHA</w:t>
      </w:r>
      <w:r w:rsidR="007D06EF">
        <w:rPr>
          <w:rFonts w:eastAsia="Times New Roman"/>
        </w:rPr>
        <w:t xml:space="preserve">. </w:t>
      </w:r>
      <w:r w:rsidRPr="007D06EF" w:rsidR="007D06EF">
        <w:rPr>
          <w:rFonts w:eastAsia="Times New Roman"/>
        </w:rPr>
        <w:t xml:space="preserve">These strategies include dissemination of Consultation program newsletters to businesses within the state, </w:t>
      </w:r>
      <w:r w:rsidR="008D2C0D">
        <w:rPr>
          <w:rFonts w:eastAsia="Times New Roman"/>
        </w:rPr>
        <w:t xml:space="preserve">presentations at safety and health meetings, </w:t>
      </w:r>
      <w:r w:rsidRPr="007D06EF" w:rsidR="007D06EF">
        <w:rPr>
          <w:rFonts w:eastAsia="Times New Roman"/>
        </w:rPr>
        <w:t xml:space="preserve">and promotion of consultation services on Consultation programs web pages, state social media platforms, and by state agencies such as Workers Compensation Offices.  Some states also offer incentives such as workers compensation discounts to employers who use consultation services. </w:t>
      </w:r>
      <w:r w:rsidRPr="00742A26">
        <w:rPr>
          <w:rFonts w:eastAsia="Times New Roman"/>
        </w:rPr>
        <w:t xml:space="preserve">   </w:t>
      </w:r>
    </w:p>
    <w:p w:rsidR="00F62297" w:rsidP="00F62297" w14:paraId="0DFA66F8" w14:textId="07B7C6AA">
      <w:pPr>
        <w:pStyle w:val="Heading3"/>
        <w:rPr>
          <w:rFonts w:eastAsia="Times New Roman"/>
        </w:rPr>
      </w:pPr>
      <w:r>
        <w:rPr>
          <w:rFonts w:eastAsia="Times New Roman"/>
        </w:rPr>
        <w:t xml:space="preserve">Follow </w:t>
      </w:r>
      <w:r w:rsidR="00C80ED4">
        <w:rPr>
          <w:rFonts w:eastAsia="Times New Roman"/>
        </w:rPr>
        <w:t xml:space="preserve">the policies and procedures specified in the CPPM and </w:t>
      </w:r>
      <w:r>
        <w:rPr>
          <w:rFonts w:eastAsia="Times New Roman"/>
        </w:rPr>
        <w:t xml:space="preserve">your Internal Quality </w:t>
      </w:r>
      <w:r w:rsidR="009F1A62">
        <w:rPr>
          <w:rFonts w:eastAsia="Times New Roman"/>
        </w:rPr>
        <w:t xml:space="preserve">Assurance </w:t>
      </w:r>
      <w:r>
        <w:rPr>
          <w:rFonts w:eastAsia="Times New Roman"/>
        </w:rPr>
        <w:t xml:space="preserve">Procedures (IQAP) </w:t>
      </w:r>
      <w:r w:rsidR="009F1A62">
        <w:rPr>
          <w:rFonts w:eastAsia="Times New Roman"/>
        </w:rPr>
        <w:t xml:space="preserve">when </w:t>
      </w:r>
      <w:r>
        <w:rPr>
          <w:rFonts w:eastAsia="Times New Roman"/>
        </w:rPr>
        <w:t>conduct</w:t>
      </w:r>
      <w:r>
        <w:rPr>
          <w:rFonts w:eastAsia="Times New Roman"/>
        </w:rPr>
        <w:t xml:space="preserve">ing your consultation visits.  </w:t>
      </w:r>
    </w:p>
    <w:p w:rsidR="00F62297" w:rsidP="00F62297" w14:paraId="5A4CE2F4" w14:textId="77777777">
      <w:pPr>
        <w:pStyle w:val="Heading3"/>
        <w:rPr>
          <w:rFonts w:eastAsia="Times New Roman"/>
        </w:rPr>
      </w:pPr>
      <w:r w:rsidRPr="00F62297">
        <w:rPr>
          <w:rFonts w:eastAsia="Times New Roman"/>
        </w:rPr>
        <w:t xml:space="preserve">Ensure there is a </w:t>
      </w:r>
      <w:r w:rsidRPr="00F62297" w:rsidR="009204A5">
        <w:rPr>
          <w:rFonts w:eastAsia="Times New Roman"/>
        </w:rPr>
        <w:t>fair</w:t>
      </w:r>
      <w:r w:rsidR="009F095C">
        <w:rPr>
          <w:rFonts w:eastAsia="Times New Roman"/>
        </w:rPr>
        <w:t>/equal</w:t>
      </w:r>
      <w:r w:rsidRPr="00F62297" w:rsidR="009204A5">
        <w:rPr>
          <w:rFonts w:eastAsia="Times New Roman"/>
        </w:rPr>
        <w:t xml:space="preserve"> </w:t>
      </w:r>
      <w:r w:rsidRPr="00F62297">
        <w:rPr>
          <w:rFonts w:eastAsia="Times New Roman"/>
        </w:rPr>
        <w:t>mix of both disciplines, safety and health, when coordinating your consultation visits.</w:t>
      </w:r>
    </w:p>
    <w:p w:rsidR="00F62297" w:rsidP="00F62297" w14:paraId="52AB8095" w14:textId="6CC004A4">
      <w:pPr>
        <w:pStyle w:val="Heading3"/>
        <w:rPr>
          <w:rFonts w:eastAsia="Times New Roman"/>
        </w:rPr>
      </w:pPr>
      <w:r w:rsidRPr="00F62297">
        <w:rPr>
          <w:rFonts w:eastAsia="Times New Roman"/>
          <w:b/>
        </w:rPr>
        <w:t>Ensure all 47</w:t>
      </w:r>
      <w:r w:rsidRPr="00F62297" w:rsidR="004D7D82">
        <w:rPr>
          <w:rFonts w:eastAsia="Times New Roman"/>
          <w:b/>
        </w:rPr>
        <w:t xml:space="preserve"> attributes of the </w:t>
      </w:r>
      <w:r w:rsidRPr="00F62297">
        <w:rPr>
          <w:rFonts w:eastAsia="Times New Roman"/>
          <w:b/>
        </w:rPr>
        <w:t xml:space="preserve">Draft Revised </w:t>
      </w:r>
      <w:r w:rsidRPr="00F62297" w:rsidR="004D7D82">
        <w:rPr>
          <w:rFonts w:eastAsia="Times New Roman"/>
          <w:b/>
        </w:rPr>
        <w:t xml:space="preserve">OSHA </w:t>
      </w:r>
      <w:r w:rsidRPr="00F62297" w:rsidR="003B229F">
        <w:rPr>
          <w:rFonts w:eastAsia="Times New Roman"/>
          <w:b/>
        </w:rPr>
        <w:t>Form 33 are addressed and given a rating</w:t>
      </w:r>
      <w:r w:rsidRPr="00F62297" w:rsidR="00742A26">
        <w:rPr>
          <w:rFonts w:eastAsia="Times New Roman"/>
          <w:b/>
        </w:rPr>
        <w:t>.</w:t>
      </w:r>
      <w:r w:rsidRPr="00F62297" w:rsidR="004D7D82">
        <w:rPr>
          <w:rFonts w:eastAsia="Times New Roman"/>
        </w:rPr>
        <w:t xml:space="preserve"> </w:t>
      </w:r>
    </w:p>
    <w:p w:rsidR="00A5487E" w:rsidP="009B653C" w14:paraId="1870BB15" w14:textId="487F87DA">
      <w:pPr>
        <w:pStyle w:val="Heading3"/>
        <w:rPr>
          <w:rFonts w:eastAsia="Times New Roman"/>
        </w:rPr>
      </w:pPr>
      <w:r w:rsidRPr="00A5487E">
        <w:rPr>
          <w:rFonts w:eastAsia="Times New Roman"/>
        </w:rPr>
        <w:t xml:space="preserve">To the extent possible, </w:t>
      </w:r>
      <w:r>
        <w:rPr>
          <w:rFonts w:eastAsia="Times New Roman"/>
        </w:rPr>
        <w:t>work with the</w:t>
      </w:r>
      <w:r w:rsidR="00A31F5E">
        <w:rPr>
          <w:rFonts w:eastAsia="Times New Roman"/>
        </w:rPr>
        <w:t xml:space="preserve"> OSHCON Board</w:t>
      </w:r>
      <w:r>
        <w:rPr>
          <w:rFonts w:eastAsia="Times New Roman"/>
        </w:rPr>
        <w:t xml:space="preserve"> Regional Rep</w:t>
      </w:r>
      <w:r w:rsidR="00B57DAE">
        <w:rPr>
          <w:rFonts w:eastAsia="Times New Roman"/>
        </w:rPr>
        <w:t>resentative</w:t>
      </w:r>
      <w:r>
        <w:rPr>
          <w:rFonts w:eastAsia="Times New Roman"/>
        </w:rPr>
        <w:t xml:space="preserve"> to </w:t>
      </w:r>
      <w:r w:rsidRPr="00A5487E">
        <w:rPr>
          <w:rFonts w:eastAsia="Times New Roman"/>
        </w:rPr>
        <w:t>e</w:t>
      </w:r>
      <w:r w:rsidRPr="00A5487E" w:rsidR="004D7D82">
        <w:rPr>
          <w:rFonts w:eastAsia="Times New Roman"/>
        </w:rPr>
        <w:t xml:space="preserve">nsure </w:t>
      </w:r>
      <w:r w:rsidR="00F62E69">
        <w:rPr>
          <w:rFonts w:eastAsia="Times New Roman"/>
        </w:rPr>
        <w:t xml:space="preserve">data collection from companies with </w:t>
      </w:r>
      <w:r w:rsidRPr="00A5487E" w:rsidR="004D7D82">
        <w:rPr>
          <w:rFonts w:eastAsia="Times New Roman"/>
        </w:rPr>
        <w:t xml:space="preserve">an even distribution of </w:t>
      </w:r>
      <w:r w:rsidR="00F62E69">
        <w:rPr>
          <w:rFonts w:eastAsia="Times New Roman"/>
        </w:rPr>
        <w:t>small</w:t>
      </w:r>
      <w:r w:rsidR="006B2676">
        <w:rPr>
          <w:rFonts w:eastAsia="Times New Roman"/>
        </w:rPr>
        <w:t>-</w:t>
      </w:r>
      <w:r w:rsidR="00F62E69">
        <w:rPr>
          <w:rFonts w:eastAsia="Times New Roman"/>
        </w:rPr>
        <w:t xml:space="preserve"> </w:t>
      </w:r>
      <w:r w:rsidRPr="006B2676" w:rsidR="006B2676">
        <w:rPr>
          <w:rFonts w:eastAsia="Times New Roman"/>
        </w:rPr>
        <w:t>(i.e., less than or equal to 25 employees on-site)</w:t>
      </w:r>
      <w:r w:rsidR="006B2676">
        <w:rPr>
          <w:rFonts w:eastAsia="Times New Roman"/>
        </w:rPr>
        <w:t xml:space="preserve"> </w:t>
      </w:r>
      <w:r w:rsidR="00F62E69">
        <w:rPr>
          <w:rFonts w:eastAsia="Times New Roman"/>
        </w:rPr>
        <w:t>and medium</w:t>
      </w:r>
      <w:r w:rsidR="006B2676">
        <w:rPr>
          <w:rFonts w:eastAsia="Times New Roman"/>
        </w:rPr>
        <w:t>-</w:t>
      </w:r>
      <w:r w:rsidRPr="00A5487E" w:rsidR="004D7D82">
        <w:rPr>
          <w:rFonts w:eastAsia="Times New Roman"/>
        </w:rPr>
        <w:t>size</w:t>
      </w:r>
      <w:r w:rsidR="00F62E69">
        <w:rPr>
          <w:rFonts w:eastAsia="Times New Roman"/>
        </w:rPr>
        <w:t xml:space="preserve">d businesses </w:t>
      </w:r>
      <w:r w:rsidRPr="006B2676" w:rsidR="006B2676">
        <w:rPr>
          <w:rFonts w:eastAsia="Times New Roman"/>
        </w:rPr>
        <w:t>(i.e., greater than 25 but less than 250 employees on-site)</w:t>
      </w:r>
      <w:r w:rsidRPr="00A5487E" w:rsidR="00742A26">
        <w:rPr>
          <w:rFonts w:eastAsia="Times New Roman"/>
        </w:rPr>
        <w:t>.</w:t>
      </w:r>
      <w:r w:rsidRPr="00A5487E" w:rsidR="00207FCF">
        <w:rPr>
          <w:rFonts w:eastAsia="Times New Roman"/>
        </w:rPr>
        <w:t xml:space="preserve">  This is especially important for the simultaneous </w:t>
      </w:r>
      <w:r w:rsidR="00B57DAE">
        <w:rPr>
          <w:rFonts w:eastAsia="Times New Roman"/>
        </w:rPr>
        <w:t xml:space="preserve">consultation </w:t>
      </w:r>
      <w:r w:rsidRPr="00A5487E" w:rsidR="00207FCF">
        <w:rPr>
          <w:rFonts w:eastAsia="Times New Roman"/>
        </w:rPr>
        <w:t>visits</w:t>
      </w:r>
      <w:r w:rsidR="006B2676">
        <w:rPr>
          <w:rFonts w:eastAsia="Times New Roman"/>
        </w:rPr>
        <w:t>.</w:t>
      </w:r>
    </w:p>
    <w:p w:rsidR="003B229F" w:rsidRPr="00A5487E" w:rsidP="009B653C" w14:paraId="37C5DE22" w14:textId="24537FC5">
      <w:pPr>
        <w:pStyle w:val="Heading3"/>
        <w:rPr>
          <w:rFonts w:eastAsia="Times New Roman"/>
        </w:rPr>
      </w:pPr>
      <w:r w:rsidRPr="00A5487E">
        <w:rPr>
          <w:rFonts w:eastAsia="Times New Roman"/>
        </w:rPr>
        <w:t xml:space="preserve">Ensure all attributes in the </w:t>
      </w:r>
      <w:r w:rsidR="001D027D">
        <w:rPr>
          <w:rFonts w:eastAsia="Times New Roman"/>
        </w:rPr>
        <w:t>DRF33</w:t>
      </w:r>
      <w:r w:rsidRPr="00A5487E" w:rsidR="009204A5">
        <w:rPr>
          <w:rFonts w:eastAsia="Times New Roman"/>
        </w:rPr>
        <w:t xml:space="preserve"> </w:t>
      </w:r>
      <w:r w:rsidRPr="00A5487E">
        <w:rPr>
          <w:rFonts w:eastAsia="Times New Roman"/>
        </w:rPr>
        <w:t xml:space="preserve">are </w:t>
      </w:r>
      <w:r w:rsidR="00B57DAE">
        <w:rPr>
          <w:rFonts w:eastAsia="Times New Roman"/>
        </w:rPr>
        <w:t>assessed</w:t>
      </w:r>
      <w:r w:rsidRPr="00A5487E" w:rsidR="00B57DAE">
        <w:rPr>
          <w:rFonts w:eastAsia="Times New Roman"/>
        </w:rPr>
        <w:t xml:space="preserve"> </w:t>
      </w:r>
      <w:r w:rsidRPr="00A5487E" w:rsidR="00E641F4">
        <w:rPr>
          <w:rFonts w:eastAsia="Times New Roman"/>
        </w:rPr>
        <w:t xml:space="preserve">by the consultant </w:t>
      </w:r>
      <w:r w:rsidR="006F354F">
        <w:rPr>
          <w:rFonts w:eastAsia="Times New Roman"/>
        </w:rPr>
        <w:t xml:space="preserve">and entered </w:t>
      </w:r>
      <w:r w:rsidRPr="00A5487E" w:rsidR="00E641F4">
        <w:rPr>
          <w:rFonts w:eastAsia="Times New Roman"/>
        </w:rPr>
        <w:t>in the data acquisition tool</w:t>
      </w:r>
      <w:r w:rsidR="00144CFF">
        <w:rPr>
          <w:rFonts w:eastAsia="Times New Roman"/>
        </w:rPr>
        <w:t xml:space="preserve"> (i.e., findings, recommendations, and ratings)</w:t>
      </w:r>
      <w:r w:rsidRPr="00A5487E" w:rsidR="00E641F4">
        <w:rPr>
          <w:rFonts w:eastAsia="Times New Roman"/>
        </w:rPr>
        <w:t>.</w:t>
      </w:r>
      <w:r w:rsidRPr="00A5487E" w:rsidR="009204A5">
        <w:rPr>
          <w:rFonts w:eastAsia="Times New Roman"/>
        </w:rPr>
        <w:t xml:space="preserve"> </w:t>
      </w:r>
    </w:p>
    <w:p w:rsidR="00E641F4" w:rsidRPr="00E641F4" w:rsidP="00E641F4" w14:paraId="3CE79F76" w14:textId="77777777"/>
    <w:p w:rsidR="003B229F" w:rsidP="003B229F" w14:paraId="1CDD34EE" w14:textId="77777777">
      <w:pPr>
        <w:pStyle w:val="Heading1"/>
      </w:pPr>
      <w:r>
        <w:t xml:space="preserve">Process </w:t>
      </w:r>
    </w:p>
    <w:p w:rsidR="009F095C" w:rsidRPr="009F095C" w:rsidP="009F095C" w14:paraId="6D4457BD" w14:textId="16AF8109">
      <w:pPr>
        <w:pStyle w:val="Heading2"/>
        <w:rPr>
          <w:rFonts w:ascii="Arial" w:hAnsi="Arial"/>
          <w:b w:val="0"/>
          <w:i w:val="0"/>
          <w:iCs w:val="0"/>
          <w:sz w:val="22"/>
          <w:szCs w:val="26"/>
        </w:rPr>
      </w:pPr>
      <w:r w:rsidRPr="009F095C">
        <w:rPr>
          <w:rFonts w:ascii="Arial" w:hAnsi="Arial" w:cs="Arial"/>
          <w:b w:val="0"/>
          <w:i w:val="0"/>
          <w:sz w:val="22"/>
        </w:rPr>
        <w:t>Assignments of a particular Consultation Visit should begin during the 2</w:t>
      </w:r>
      <w:r w:rsidRPr="00F62E69">
        <w:rPr>
          <w:rFonts w:ascii="Arial" w:hAnsi="Arial" w:cs="Arial"/>
          <w:b w:val="0"/>
          <w:i w:val="0"/>
          <w:sz w:val="22"/>
        </w:rPr>
        <w:t>nd</w:t>
      </w:r>
      <w:r w:rsidRPr="009F095C">
        <w:rPr>
          <w:rFonts w:ascii="Arial" w:hAnsi="Arial" w:cs="Arial"/>
          <w:b w:val="0"/>
          <w:i w:val="0"/>
          <w:sz w:val="22"/>
        </w:rPr>
        <w:t xml:space="preserve"> Q</w:t>
      </w:r>
      <w:r w:rsidR="00F62E69">
        <w:rPr>
          <w:rFonts w:ascii="Arial" w:hAnsi="Arial" w:cs="Arial"/>
          <w:b w:val="0"/>
          <w:i w:val="0"/>
          <w:sz w:val="22"/>
        </w:rPr>
        <w:t xml:space="preserve">uarter </w:t>
      </w:r>
      <w:r w:rsidR="00451662">
        <w:rPr>
          <w:rFonts w:ascii="Arial" w:hAnsi="Arial" w:cs="Arial"/>
          <w:b w:val="0"/>
          <w:i w:val="0"/>
          <w:sz w:val="22"/>
        </w:rPr>
        <w:t xml:space="preserve">of </w:t>
      </w:r>
      <w:r w:rsidRPr="009F095C" w:rsidR="00451662">
        <w:rPr>
          <w:rFonts w:ascii="Arial" w:hAnsi="Arial" w:cs="Arial"/>
          <w:b w:val="0"/>
          <w:i w:val="0"/>
          <w:sz w:val="22"/>
        </w:rPr>
        <w:t>Fiscal</w:t>
      </w:r>
      <w:r w:rsidR="00F62E69">
        <w:rPr>
          <w:rFonts w:ascii="Arial" w:hAnsi="Arial" w:cs="Arial"/>
          <w:b w:val="0"/>
          <w:i w:val="0"/>
          <w:sz w:val="22"/>
        </w:rPr>
        <w:t xml:space="preserve"> </w:t>
      </w:r>
      <w:r w:rsidRPr="009F095C">
        <w:rPr>
          <w:rFonts w:ascii="Arial" w:hAnsi="Arial" w:cs="Arial"/>
          <w:b w:val="0"/>
          <w:i w:val="0"/>
          <w:sz w:val="22"/>
        </w:rPr>
        <w:t>Y</w:t>
      </w:r>
      <w:r w:rsidR="00F62E69">
        <w:rPr>
          <w:rFonts w:ascii="Arial" w:hAnsi="Arial" w:cs="Arial"/>
          <w:b w:val="0"/>
          <w:i w:val="0"/>
          <w:sz w:val="22"/>
        </w:rPr>
        <w:t>ear 20</w:t>
      </w:r>
      <w:r w:rsidRPr="009F095C">
        <w:rPr>
          <w:rFonts w:ascii="Arial" w:hAnsi="Arial" w:cs="Arial"/>
          <w:b w:val="0"/>
          <w:i w:val="0"/>
          <w:sz w:val="22"/>
        </w:rPr>
        <w:t>2</w:t>
      </w:r>
      <w:r w:rsidR="00144CFF">
        <w:rPr>
          <w:rFonts w:ascii="Arial" w:hAnsi="Arial" w:cs="Arial"/>
          <w:b w:val="0"/>
          <w:i w:val="0"/>
          <w:sz w:val="22"/>
        </w:rPr>
        <w:t>2</w:t>
      </w:r>
      <w:r w:rsidRPr="009F095C">
        <w:rPr>
          <w:rFonts w:ascii="Arial" w:hAnsi="Arial" w:cs="Arial"/>
          <w:b w:val="0"/>
          <w:i w:val="0"/>
          <w:sz w:val="22"/>
        </w:rPr>
        <w:t xml:space="preserve"> and can</w:t>
      </w:r>
      <w:r w:rsidRPr="009F095C">
        <w:rPr>
          <w:rFonts w:ascii="Arial" w:hAnsi="Arial"/>
          <w:b w:val="0"/>
          <w:i w:val="0"/>
          <w:iCs w:val="0"/>
          <w:sz w:val="22"/>
          <w:szCs w:val="26"/>
        </w:rPr>
        <w:t xml:space="preserve"> </w:t>
      </w:r>
      <w:r w:rsidRPr="009F095C">
        <w:rPr>
          <w:rFonts w:ascii="Arial" w:hAnsi="Arial" w:cs="Arial"/>
          <w:b w:val="0"/>
          <w:i w:val="0"/>
          <w:sz w:val="22"/>
        </w:rPr>
        <w:t>be accomplished by:</w:t>
      </w:r>
    </w:p>
    <w:p w:rsidR="00667776" w:rsidP="009F095C" w14:paraId="71E6E039" w14:textId="561A4075">
      <w:pPr>
        <w:pStyle w:val="Heading3"/>
      </w:pPr>
      <w:r>
        <w:t xml:space="preserve">Sharing the consultation visit sampling tool with the various </w:t>
      </w:r>
      <w:r w:rsidR="00B57DAE">
        <w:t>C</w:t>
      </w:r>
      <w:r>
        <w:t>PMs in the Region to s</w:t>
      </w:r>
      <w:r w:rsidR="00410450">
        <w:t>olicit</w:t>
      </w:r>
      <w:r>
        <w:t xml:space="preserve"> </w:t>
      </w:r>
      <w:r>
        <w:t xml:space="preserve">their </w:t>
      </w:r>
      <w:r w:rsidR="00410450">
        <w:t xml:space="preserve">feedback on their likelihood of being able to conduct </w:t>
      </w:r>
      <w:r>
        <w:t xml:space="preserve">the required </w:t>
      </w:r>
      <w:r w:rsidR="00410450">
        <w:t>consultation visits in the select industry and size</w:t>
      </w:r>
      <w:r w:rsidR="001B40C1">
        <w:t xml:space="preserve"> (active)</w:t>
      </w:r>
      <w:r>
        <w:t xml:space="preserve"> OR</w:t>
      </w:r>
    </w:p>
    <w:p w:rsidR="00410450" w:rsidP="0050502E" w14:paraId="4134E092" w14:textId="35A30BA9">
      <w:pPr>
        <w:pStyle w:val="Heading3"/>
        <w:spacing w:line="276" w:lineRule="auto"/>
      </w:pPr>
      <w:r>
        <w:t xml:space="preserve">Issuing a data call each month to determine which </w:t>
      </w:r>
      <w:r w:rsidR="00B57DAE">
        <w:t>C</w:t>
      </w:r>
      <w:r>
        <w:t xml:space="preserve">PM has received </w:t>
      </w:r>
      <w:r w:rsidR="00F62E69">
        <w:t xml:space="preserve">employers’ </w:t>
      </w:r>
      <w:r>
        <w:t>request</w:t>
      </w:r>
      <w:r w:rsidR="00F62E69">
        <w:t>s</w:t>
      </w:r>
      <w:r>
        <w:t xml:space="preserve"> </w:t>
      </w:r>
      <w:r w:rsidR="00B57DAE">
        <w:t xml:space="preserve">for consultation </w:t>
      </w:r>
      <w:r>
        <w:t>visits from the required industry sector</w:t>
      </w:r>
      <w:r w:rsidR="001B40C1">
        <w:t xml:space="preserve"> (passive)</w:t>
      </w:r>
      <w:r>
        <w:t xml:space="preserve">.  </w:t>
      </w:r>
    </w:p>
    <w:p w:rsidR="00667776" w:rsidP="0050502E" w14:paraId="2498103E" w14:textId="0EAB79D9">
      <w:pPr>
        <w:pStyle w:val="Heading3"/>
        <w:spacing w:line="276" w:lineRule="auto"/>
      </w:pPr>
      <w:r>
        <w:t xml:space="preserve">The </w:t>
      </w:r>
      <w:r w:rsidR="00B57DAE">
        <w:t>C</w:t>
      </w:r>
      <w:r>
        <w:t>PMs indicating a higher probability of obtaining and conducting the consultation visits will be given the assignment or the assignments can be issued as reques</w:t>
      </w:r>
      <w:r w:rsidR="0050502E">
        <w:t>t</w:t>
      </w:r>
      <w:r w:rsidR="00B57DAE">
        <w:t>s</w:t>
      </w:r>
      <w:r>
        <w:t xml:space="preserve"> trickle in to the various </w:t>
      </w:r>
      <w:r w:rsidR="00B57DAE">
        <w:t>C</w:t>
      </w:r>
      <w:r>
        <w:t xml:space="preserve">PMs. </w:t>
      </w:r>
    </w:p>
    <w:p w:rsidR="0050502E" w:rsidP="0050502E" w14:paraId="78B3CDC5" w14:textId="77777777">
      <w:pPr>
        <w:pStyle w:val="Heading2"/>
        <w:spacing w:line="276" w:lineRule="auto"/>
        <w:rPr>
          <w:rFonts w:ascii="Arial" w:hAnsi="Arial" w:cs="Arial"/>
          <w:b w:val="0"/>
          <w:i w:val="0"/>
          <w:sz w:val="22"/>
        </w:rPr>
      </w:pPr>
      <w:r>
        <w:rPr>
          <w:rFonts w:ascii="Arial" w:hAnsi="Arial" w:cs="Arial"/>
          <w:b w:val="0"/>
          <w:i w:val="0"/>
          <w:sz w:val="22"/>
        </w:rPr>
        <w:t>Any c</w:t>
      </w:r>
      <w:r w:rsidRPr="00667776" w:rsidR="00C95E31">
        <w:rPr>
          <w:rFonts w:ascii="Arial" w:hAnsi="Arial" w:cs="Arial"/>
          <w:b w:val="0"/>
          <w:i w:val="0"/>
          <w:sz w:val="22"/>
        </w:rPr>
        <w:t>onsultant</w:t>
      </w:r>
      <w:r>
        <w:rPr>
          <w:rFonts w:ascii="Arial" w:hAnsi="Arial" w:cs="Arial"/>
          <w:b w:val="0"/>
          <w:i w:val="0"/>
          <w:sz w:val="22"/>
        </w:rPr>
        <w:t xml:space="preserve"> that would ordinarily be assigned to a consultation visit, by reason of their discipline, expertise, past client or geographical area, can be used for this project. </w:t>
      </w:r>
    </w:p>
    <w:p w:rsidR="001B40C1" w:rsidP="0050502E" w14:paraId="24EA0810" w14:textId="3664DCD7">
      <w:pPr>
        <w:pStyle w:val="Heading2"/>
        <w:spacing w:line="276" w:lineRule="auto"/>
        <w:rPr>
          <w:rFonts w:ascii="Arial" w:hAnsi="Arial" w:cs="Arial"/>
          <w:b w:val="0"/>
          <w:i w:val="0"/>
          <w:sz w:val="22"/>
        </w:rPr>
      </w:pPr>
      <w:r>
        <w:rPr>
          <w:rFonts w:ascii="Arial" w:hAnsi="Arial" w:cs="Arial"/>
          <w:b w:val="0"/>
          <w:i w:val="0"/>
          <w:sz w:val="22"/>
        </w:rPr>
        <w:t>Where duplicate consultation visit</w:t>
      </w:r>
      <w:r w:rsidR="00B57DAE">
        <w:rPr>
          <w:rFonts w:ascii="Arial" w:hAnsi="Arial" w:cs="Arial"/>
          <w:b w:val="0"/>
          <w:i w:val="0"/>
          <w:sz w:val="22"/>
        </w:rPr>
        <w:t>s</w:t>
      </w:r>
      <w:r>
        <w:rPr>
          <w:rFonts w:ascii="Arial" w:hAnsi="Arial" w:cs="Arial"/>
          <w:b w:val="0"/>
          <w:i w:val="0"/>
          <w:sz w:val="22"/>
        </w:rPr>
        <w:t xml:space="preserve"> are required (5 per Region), </w:t>
      </w:r>
      <w:r w:rsidR="00B57DAE">
        <w:rPr>
          <w:rFonts w:ascii="Arial" w:hAnsi="Arial" w:cs="Arial"/>
          <w:b w:val="0"/>
          <w:i w:val="0"/>
          <w:sz w:val="22"/>
        </w:rPr>
        <w:t>C</w:t>
      </w:r>
      <w:r>
        <w:rPr>
          <w:rFonts w:ascii="Arial" w:hAnsi="Arial" w:cs="Arial"/>
          <w:b w:val="0"/>
          <w:i w:val="0"/>
          <w:sz w:val="22"/>
        </w:rPr>
        <w:t xml:space="preserve">PMs can use the accompanied visit requirement of </w:t>
      </w:r>
      <w:r>
        <w:rPr>
          <w:rFonts w:ascii="Arial" w:hAnsi="Arial" w:cs="Arial"/>
          <w:b w:val="0"/>
          <w:i w:val="0"/>
          <w:sz w:val="22"/>
        </w:rPr>
        <w:t xml:space="preserve">the </w:t>
      </w:r>
      <w:r w:rsidR="00B57DAE">
        <w:rPr>
          <w:rFonts w:ascii="Arial" w:hAnsi="Arial" w:cs="Arial"/>
          <w:b w:val="0"/>
          <w:i w:val="0"/>
          <w:sz w:val="22"/>
        </w:rPr>
        <w:t xml:space="preserve">Consultation Policies and Procedures Manual </w:t>
      </w:r>
      <w:r w:rsidR="00B57DAE">
        <w:rPr>
          <w:rFonts w:ascii="Arial" w:hAnsi="Arial" w:cs="Arial"/>
          <w:b w:val="0"/>
          <w:i w:val="0"/>
          <w:sz w:val="22"/>
        </w:rPr>
        <w:t>(</w:t>
      </w:r>
      <w:r>
        <w:rPr>
          <w:rFonts w:ascii="Arial" w:hAnsi="Arial" w:cs="Arial"/>
          <w:b w:val="0"/>
          <w:i w:val="0"/>
          <w:sz w:val="22"/>
        </w:rPr>
        <w:t>CPPM</w:t>
      </w:r>
      <w:r w:rsidR="00B57DAE">
        <w:rPr>
          <w:rFonts w:ascii="Arial" w:hAnsi="Arial" w:cs="Arial"/>
          <w:b w:val="0"/>
          <w:i w:val="0"/>
          <w:sz w:val="22"/>
        </w:rPr>
        <w:t>)</w:t>
      </w:r>
      <w:r>
        <w:rPr>
          <w:rFonts w:ascii="Arial" w:hAnsi="Arial" w:cs="Arial"/>
          <w:b w:val="0"/>
          <w:i w:val="0"/>
          <w:sz w:val="22"/>
        </w:rPr>
        <w:t xml:space="preserve">, </w:t>
      </w:r>
      <w:r>
        <w:rPr>
          <w:rFonts w:ascii="Arial" w:hAnsi="Arial" w:cs="Arial"/>
          <w:b w:val="0"/>
          <w:i w:val="0"/>
          <w:sz w:val="22"/>
        </w:rPr>
        <w:t xml:space="preserve">with the following exception: </w:t>
      </w:r>
    </w:p>
    <w:p w:rsidR="001B40C1" w:rsidP="001B40C1" w14:paraId="41440D47" w14:textId="77777777">
      <w:pPr>
        <w:pStyle w:val="Heading3"/>
      </w:pPr>
      <w:r>
        <w:t>Both c</w:t>
      </w:r>
      <w:r w:rsidR="0050502E">
        <w:t xml:space="preserve">onsultants will be the same discipline (safety or health) and </w:t>
      </w:r>
    </w:p>
    <w:p w:rsidR="0098680B" w:rsidRPr="0050502E" w:rsidP="001B40C1" w14:paraId="6ABE30DC" w14:textId="19FF4554">
      <w:pPr>
        <w:pStyle w:val="Heading3"/>
      </w:pPr>
      <w:r>
        <w:t xml:space="preserve">Both </w:t>
      </w:r>
      <w:r w:rsidR="0050502E">
        <w:t xml:space="preserve">will enter their own unique respective </w:t>
      </w:r>
      <w:r w:rsidR="001D027D">
        <w:t>DRF33</w:t>
      </w:r>
      <w:r>
        <w:t xml:space="preserve"> </w:t>
      </w:r>
      <w:r w:rsidR="00B57DAE">
        <w:t xml:space="preserve">findings, recommendations, and </w:t>
      </w:r>
      <w:r w:rsidR="0050502E">
        <w:t>ratings in the</w:t>
      </w:r>
      <w:r w:rsidR="00B36CAA">
        <w:t xml:space="preserve"> data acquisition tool.</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4210582"/>
      <w:docPartObj>
        <w:docPartGallery w:val="Page Numbers (Bottom of Page)"/>
        <w:docPartUnique/>
      </w:docPartObj>
    </w:sdtPr>
    <w:sdtEndPr>
      <w:rPr>
        <w:rFonts w:ascii="Arial" w:hAnsi="Arial" w:cs="Arial"/>
        <w:noProof/>
        <w:sz w:val="20"/>
      </w:rPr>
    </w:sdtEndPr>
    <w:sdtContent>
      <w:p w:rsidR="007E4887" w:rsidRPr="00AA3B27" w14:paraId="6F7609CE" w14:textId="7DB0DFF2">
        <w:pPr>
          <w:pStyle w:val="Footer"/>
          <w:jc w:val="center"/>
          <w:rPr>
            <w:rFonts w:ascii="Arial" w:hAnsi="Arial" w:cs="Arial"/>
            <w:sz w:val="20"/>
          </w:rPr>
        </w:pPr>
        <w:r w:rsidRPr="00AA3B27">
          <w:rPr>
            <w:rFonts w:ascii="Arial" w:hAnsi="Arial" w:cs="Arial"/>
            <w:sz w:val="20"/>
          </w:rPr>
          <w:fldChar w:fldCharType="begin"/>
        </w:r>
        <w:r w:rsidRPr="00AA3B27">
          <w:rPr>
            <w:rFonts w:ascii="Arial" w:hAnsi="Arial" w:cs="Arial"/>
            <w:sz w:val="20"/>
          </w:rPr>
          <w:instrText xml:space="preserve"> PAGE   \* MERGEFORMAT </w:instrText>
        </w:r>
        <w:r w:rsidRPr="00AA3B27">
          <w:rPr>
            <w:rFonts w:ascii="Arial" w:hAnsi="Arial" w:cs="Arial"/>
            <w:sz w:val="20"/>
          </w:rPr>
          <w:fldChar w:fldCharType="separate"/>
        </w:r>
        <w:r w:rsidR="00723487">
          <w:rPr>
            <w:rFonts w:ascii="Arial" w:hAnsi="Arial" w:cs="Arial"/>
            <w:noProof/>
            <w:sz w:val="20"/>
          </w:rPr>
          <w:t>1</w:t>
        </w:r>
        <w:r w:rsidRPr="00AA3B27">
          <w:rPr>
            <w:rFonts w:ascii="Arial" w:hAnsi="Arial" w:cs="Arial"/>
            <w:noProof/>
            <w:sz w:val="20"/>
          </w:rPr>
          <w:fldChar w:fldCharType="end"/>
        </w:r>
      </w:p>
    </w:sdtContent>
  </w:sdt>
  <w:p w:rsidR="007E4887" w14:paraId="611D0E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D7666" w:rsidP="007E4887" w14:paraId="6CD600C9" w14:textId="77777777">
      <w:r>
        <w:separator/>
      </w:r>
    </w:p>
  </w:footnote>
  <w:footnote w:type="continuationSeparator" w:id="1">
    <w:p w:rsidR="005D7666" w:rsidP="007E4887" w14:paraId="5065B637" w14:textId="77777777">
      <w:r>
        <w:continuationSeparator/>
      </w:r>
    </w:p>
  </w:footnote>
  <w:footnote w:id="2">
    <w:p w:rsidR="00714ED9" w:rsidRPr="00714ED9" w:rsidP="00714ED9" w14:paraId="6F38DBDF" w14:textId="77777777">
      <w:pPr>
        <w:pStyle w:val="FootnoteText"/>
        <w:rPr>
          <w:rFonts w:ascii="Arial" w:hAnsi="Arial" w:cs="Arial"/>
        </w:rPr>
      </w:pPr>
      <w:r w:rsidRPr="00714ED9">
        <w:rPr>
          <w:rStyle w:val="FootnoteReference"/>
          <w:rFonts w:ascii="Arial" w:hAnsi="Arial" w:cs="Arial"/>
        </w:rPr>
        <w:footnoteRef/>
      </w:r>
      <w:r w:rsidRPr="00714ED9">
        <w:rPr>
          <w:rFonts w:ascii="Arial" w:hAnsi="Arial" w:cs="Arial"/>
        </w:rPr>
        <w:t xml:space="preserve"> </w:t>
      </w:r>
      <w:r w:rsidRPr="00714ED9">
        <w:rPr>
          <w:rFonts w:ascii="Arial" w:hAnsi="Arial" w:cs="Arial"/>
          <w:i/>
          <w:u w:val="single"/>
        </w:rPr>
        <w:t>The National Association of Occupational Safety and Health Consultation Programs (OSHCON);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656B9C"/>
    <w:multiLevelType w:val="multilevel"/>
    <w:tmpl w:val="40788E60"/>
    <w:lvl w:ilvl="0">
      <w:start w:val="1"/>
      <w:numFmt w:val="decimal"/>
      <w:pStyle w:val="Heading1"/>
      <w:lvlText w:val="%1"/>
      <w:lvlJc w:val="left"/>
      <w:pPr>
        <w:ind w:left="432" w:hanging="432"/>
      </w:pPr>
      <w:rPr>
        <w:sz w:val="22"/>
      </w:rPr>
    </w:lvl>
    <w:lvl w:ilvl="1">
      <w:start w:val="1"/>
      <w:numFmt w:val="decimal"/>
      <w:pStyle w:val="Heading2"/>
      <w:lvlText w:val="%1.%2"/>
      <w:lvlJc w:val="left"/>
      <w:pPr>
        <w:ind w:left="576" w:hanging="576"/>
      </w:pPr>
      <w:rPr>
        <w:rFonts w:ascii="Arial" w:hAnsi="Arial" w:cs="Arial" w:hint="default"/>
        <w:b w:val="0"/>
        <w:i w:val="0"/>
        <w:sz w:val="22"/>
      </w:rPr>
    </w:lvl>
    <w:lvl w:ilvl="2">
      <w:start w:val="1"/>
      <w:numFmt w:val="decimal"/>
      <w:pStyle w:val="Heading3"/>
      <w:lvlText w:val="%1.%2.%3"/>
      <w:lvlJc w:val="left"/>
      <w:pPr>
        <w:ind w:left="720" w:hanging="720"/>
      </w:pPr>
      <w:rPr>
        <w:rFonts w:ascii="Arial" w:hAnsi="Arial" w:cs="Arial" w:hint="default"/>
        <w:b w:val="0"/>
        <w:i w:val="0"/>
        <w:sz w:val="22"/>
      </w:rPr>
    </w:lvl>
    <w:lvl w:ilvl="3">
      <w:start w:val="1"/>
      <w:numFmt w:val="decimal"/>
      <w:pStyle w:val="Heading4"/>
      <w:lvlText w:val="%1.%2.%3.%4"/>
      <w:lvlJc w:val="left"/>
      <w:pPr>
        <w:ind w:left="864" w:hanging="864"/>
      </w:pPr>
      <w:rPr>
        <w:rFonts w:ascii="Arial" w:hAnsi="Arial" w:cs="Arial" w:hint="default"/>
        <w:sz w:val="22"/>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57"/>
    <w:rsid w:val="000008E0"/>
    <w:rsid w:val="00052A1D"/>
    <w:rsid w:val="00081503"/>
    <w:rsid w:val="0009370B"/>
    <w:rsid w:val="00104180"/>
    <w:rsid w:val="0014108A"/>
    <w:rsid w:val="00144CFF"/>
    <w:rsid w:val="00155CF5"/>
    <w:rsid w:val="001A0E05"/>
    <w:rsid w:val="001B40C1"/>
    <w:rsid w:val="001D027D"/>
    <w:rsid w:val="00207FCF"/>
    <w:rsid w:val="002C1458"/>
    <w:rsid w:val="0036784E"/>
    <w:rsid w:val="00373AF6"/>
    <w:rsid w:val="0037510F"/>
    <w:rsid w:val="003B229F"/>
    <w:rsid w:val="004012F9"/>
    <w:rsid w:val="00410450"/>
    <w:rsid w:val="00451662"/>
    <w:rsid w:val="00461126"/>
    <w:rsid w:val="00495BE1"/>
    <w:rsid w:val="004A2B8C"/>
    <w:rsid w:val="004B782D"/>
    <w:rsid w:val="004D7D82"/>
    <w:rsid w:val="004E703C"/>
    <w:rsid w:val="004F4168"/>
    <w:rsid w:val="0050502E"/>
    <w:rsid w:val="005077DD"/>
    <w:rsid w:val="00524BDD"/>
    <w:rsid w:val="00546A1A"/>
    <w:rsid w:val="005567F1"/>
    <w:rsid w:val="00595FA6"/>
    <w:rsid w:val="005C1118"/>
    <w:rsid w:val="005D57B9"/>
    <w:rsid w:val="005D7666"/>
    <w:rsid w:val="005D7C71"/>
    <w:rsid w:val="006052E3"/>
    <w:rsid w:val="0064048E"/>
    <w:rsid w:val="00651773"/>
    <w:rsid w:val="00667776"/>
    <w:rsid w:val="006B2676"/>
    <w:rsid w:val="006B3070"/>
    <w:rsid w:val="006D232E"/>
    <w:rsid w:val="006F354F"/>
    <w:rsid w:val="00714ED9"/>
    <w:rsid w:val="00723487"/>
    <w:rsid w:val="00742A26"/>
    <w:rsid w:val="00766087"/>
    <w:rsid w:val="00772E7A"/>
    <w:rsid w:val="007D06EF"/>
    <w:rsid w:val="007D30B8"/>
    <w:rsid w:val="007E4887"/>
    <w:rsid w:val="007F5F24"/>
    <w:rsid w:val="0084053D"/>
    <w:rsid w:val="00841106"/>
    <w:rsid w:val="00854AD3"/>
    <w:rsid w:val="008644C5"/>
    <w:rsid w:val="00876D8E"/>
    <w:rsid w:val="00882B1F"/>
    <w:rsid w:val="008D2C0D"/>
    <w:rsid w:val="009204A5"/>
    <w:rsid w:val="0094130D"/>
    <w:rsid w:val="0096419F"/>
    <w:rsid w:val="009738F4"/>
    <w:rsid w:val="009860AE"/>
    <w:rsid w:val="0098680B"/>
    <w:rsid w:val="009B0CEA"/>
    <w:rsid w:val="009B15C4"/>
    <w:rsid w:val="009B653C"/>
    <w:rsid w:val="009F095C"/>
    <w:rsid w:val="009F1A62"/>
    <w:rsid w:val="00A31F5E"/>
    <w:rsid w:val="00A526DF"/>
    <w:rsid w:val="00A5487E"/>
    <w:rsid w:val="00A80300"/>
    <w:rsid w:val="00A87CE2"/>
    <w:rsid w:val="00A90EB6"/>
    <w:rsid w:val="00AA3B27"/>
    <w:rsid w:val="00B05097"/>
    <w:rsid w:val="00B36CAA"/>
    <w:rsid w:val="00B40AF8"/>
    <w:rsid w:val="00B57DAE"/>
    <w:rsid w:val="00B607B1"/>
    <w:rsid w:val="00BD2B9B"/>
    <w:rsid w:val="00C67657"/>
    <w:rsid w:val="00C80ED4"/>
    <w:rsid w:val="00C95E31"/>
    <w:rsid w:val="00CB0339"/>
    <w:rsid w:val="00CD1B4E"/>
    <w:rsid w:val="00CF0965"/>
    <w:rsid w:val="00DB22E1"/>
    <w:rsid w:val="00DC7B94"/>
    <w:rsid w:val="00DE1C24"/>
    <w:rsid w:val="00E363AC"/>
    <w:rsid w:val="00E641F4"/>
    <w:rsid w:val="00E7618C"/>
    <w:rsid w:val="00F15E29"/>
    <w:rsid w:val="00F44614"/>
    <w:rsid w:val="00F62297"/>
    <w:rsid w:val="00F62E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24BD27"/>
  <w15:chartTrackingRefBased/>
  <w15:docId w15:val="{909C69C4-6DF6-4899-A717-D07BDF2C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657"/>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C67657"/>
    <w:pPr>
      <w:keepNext/>
      <w:numPr>
        <w:numId w:val="1"/>
      </w:numPr>
      <w:tabs>
        <w:tab w:val="left" w:pos="-720"/>
      </w:tabs>
      <w:suppressAutoHyphens/>
      <w:jc w:val="both"/>
      <w:outlineLvl w:val="0"/>
    </w:pPr>
    <w:rPr>
      <w:rFonts w:ascii="Arial" w:hAnsi="Arial"/>
      <w:b/>
      <w:spacing w:val="-3"/>
    </w:rPr>
  </w:style>
  <w:style w:type="paragraph" w:styleId="Heading2">
    <w:name w:val="heading 2"/>
    <w:basedOn w:val="Normal"/>
    <w:next w:val="Normal"/>
    <w:link w:val="Heading2Char"/>
    <w:uiPriority w:val="9"/>
    <w:unhideWhenUsed/>
    <w:qFormat/>
    <w:rsid w:val="00C67657"/>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C67657"/>
    <w:pPr>
      <w:keepNext/>
      <w:numPr>
        <w:ilvl w:val="2"/>
        <w:numId w:val="1"/>
      </w:numPr>
      <w:spacing w:before="240" w:after="60"/>
      <w:outlineLvl w:val="2"/>
    </w:pPr>
    <w:rPr>
      <w:rFonts w:ascii="Arial" w:hAnsi="Arial" w:eastAsiaTheme="majorEastAsia" w:cstheme="majorBidi"/>
      <w:bCs/>
      <w:sz w:val="22"/>
      <w:szCs w:val="26"/>
    </w:rPr>
  </w:style>
  <w:style w:type="paragraph" w:styleId="Heading4">
    <w:name w:val="heading 4"/>
    <w:basedOn w:val="Normal"/>
    <w:next w:val="Normal"/>
    <w:link w:val="Heading4Char"/>
    <w:uiPriority w:val="9"/>
    <w:unhideWhenUsed/>
    <w:qFormat/>
    <w:rsid w:val="00C67657"/>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67657"/>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C67657"/>
    <w:pPr>
      <w:numPr>
        <w:ilvl w:val="5"/>
        <w:numId w:val="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C67657"/>
    <w:pPr>
      <w:numPr>
        <w:ilvl w:val="6"/>
        <w:numId w:val="1"/>
      </w:num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C67657"/>
    <w:pPr>
      <w:numPr>
        <w:ilvl w:val="7"/>
        <w:numId w:val="1"/>
      </w:num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C67657"/>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657"/>
    <w:rPr>
      <w:rFonts w:ascii="Arial" w:eastAsia="Times New Roman" w:hAnsi="Arial" w:cs="Times New Roman"/>
      <w:b/>
      <w:snapToGrid w:val="0"/>
      <w:spacing w:val="-3"/>
      <w:sz w:val="24"/>
      <w:szCs w:val="20"/>
    </w:rPr>
  </w:style>
  <w:style w:type="character" w:customStyle="1" w:styleId="Heading2Char">
    <w:name w:val="Heading 2 Char"/>
    <w:basedOn w:val="DefaultParagraphFont"/>
    <w:link w:val="Heading2"/>
    <w:uiPriority w:val="9"/>
    <w:rsid w:val="00C67657"/>
    <w:rPr>
      <w:rFonts w:asciiTheme="majorHAnsi" w:eastAsiaTheme="majorEastAsia" w:hAnsiTheme="majorHAnsi" w:cstheme="majorBidi"/>
      <w:b/>
      <w:bCs/>
      <w:i/>
      <w:iCs/>
      <w:snapToGrid w:val="0"/>
      <w:sz w:val="28"/>
      <w:szCs w:val="28"/>
    </w:rPr>
  </w:style>
  <w:style w:type="character" w:customStyle="1" w:styleId="Heading3Char">
    <w:name w:val="Heading 3 Char"/>
    <w:basedOn w:val="DefaultParagraphFont"/>
    <w:link w:val="Heading3"/>
    <w:uiPriority w:val="9"/>
    <w:rsid w:val="00C67657"/>
    <w:rPr>
      <w:rFonts w:ascii="Arial" w:hAnsi="Arial" w:eastAsiaTheme="majorEastAsia" w:cstheme="majorBidi"/>
      <w:bCs/>
      <w:snapToGrid w:val="0"/>
      <w:szCs w:val="26"/>
    </w:rPr>
  </w:style>
  <w:style w:type="character" w:customStyle="1" w:styleId="Heading4Char">
    <w:name w:val="Heading 4 Char"/>
    <w:basedOn w:val="DefaultParagraphFont"/>
    <w:link w:val="Heading4"/>
    <w:uiPriority w:val="9"/>
    <w:rsid w:val="00C67657"/>
    <w:rPr>
      <w:rFonts w:eastAsiaTheme="minorEastAsia"/>
      <w:b/>
      <w:bCs/>
      <w:snapToGrid w:val="0"/>
      <w:sz w:val="28"/>
      <w:szCs w:val="28"/>
    </w:rPr>
  </w:style>
  <w:style w:type="character" w:customStyle="1" w:styleId="Heading5Char">
    <w:name w:val="Heading 5 Char"/>
    <w:basedOn w:val="DefaultParagraphFont"/>
    <w:link w:val="Heading5"/>
    <w:uiPriority w:val="9"/>
    <w:semiHidden/>
    <w:rsid w:val="00C67657"/>
    <w:rPr>
      <w:rFonts w:eastAsiaTheme="minorEastAsia"/>
      <w:b/>
      <w:bCs/>
      <w:i/>
      <w:iCs/>
      <w:snapToGrid w:val="0"/>
      <w:sz w:val="26"/>
      <w:szCs w:val="26"/>
    </w:rPr>
  </w:style>
  <w:style w:type="character" w:customStyle="1" w:styleId="Heading6Char">
    <w:name w:val="Heading 6 Char"/>
    <w:basedOn w:val="DefaultParagraphFont"/>
    <w:link w:val="Heading6"/>
    <w:uiPriority w:val="9"/>
    <w:semiHidden/>
    <w:rsid w:val="00C67657"/>
    <w:rPr>
      <w:rFonts w:eastAsiaTheme="minorEastAsia"/>
      <w:b/>
      <w:bCs/>
      <w:snapToGrid w:val="0"/>
    </w:rPr>
  </w:style>
  <w:style w:type="character" w:customStyle="1" w:styleId="Heading7Char">
    <w:name w:val="Heading 7 Char"/>
    <w:basedOn w:val="DefaultParagraphFont"/>
    <w:link w:val="Heading7"/>
    <w:uiPriority w:val="9"/>
    <w:semiHidden/>
    <w:rsid w:val="00C67657"/>
    <w:rPr>
      <w:rFonts w:eastAsiaTheme="minorEastAsia"/>
      <w:snapToGrid w:val="0"/>
      <w:sz w:val="24"/>
      <w:szCs w:val="24"/>
    </w:rPr>
  </w:style>
  <w:style w:type="character" w:customStyle="1" w:styleId="Heading8Char">
    <w:name w:val="Heading 8 Char"/>
    <w:basedOn w:val="DefaultParagraphFont"/>
    <w:link w:val="Heading8"/>
    <w:uiPriority w:val="9"/>
    <w:semiHidden/>
    <w:rsid w:val="00C67657"/>
    <w:rPr>
      <w:rFonts w:eastAsiaTheme="minorEastAsia"/>
      <w:i/>
      <w:iCs/>
      <w:snapToGrid w:val="0"/>
      <w:sz w:val="24"/>
      <w:szCs w:val="24"/>
    </w:rPr>
  </w:style>
  <w:style w:type="character" w:customStyle="1" w:styleId="Heading9Char">
    <w:name w:val="Heading 9 Char"/>
    <w:basedOn w:val="DefaultParagraphFont"/>
    <w:link w:val="Heading9"/>
    <w:uiPriority w:val="9"/>
    <w:semiHidden/>
    <w:rsid w:val="00C67657"/>
    <w:rPr>
      <w:rFonts w:asciiTheme="majorHAnsi" w:eastAsiaTheme="majorEastAsia" w:hAnsiTheme="majorHAnsi" w:cstheme="majorBidi"/>
      <w:snapToGrid w:val="0"/>
    </w:rPr>
  </w:style>
  <w:style w:type="table" w:styleId="TableGrid">
    <w:name w:val="Table Grid"/>
    <w:basedOn w:val="TableNormal"/>
    <w:uiPriority w:val="39"/>
    <w:rsid w:val="0087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4A5"/>
    <w:pPr>
      <w:ind w:left="720"/>
      <w:contextualSpacing/>
    </w:pPr>
  </w:style>
  <w:style w:type="paragraph" w:styleId="BalloonText">
    <w:name w:val="Balloon Text"/>
    <w:basedOn w:val="Normal"/>
    <w:link w:val="BalloonTextChar"/>
    <w:uiPriority w:val="99"/>
    <w:semiHidden/>
    <w:unhideWhenUsed/>
    <w:rsid w:val="006F3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54F"/>
    <w:rPr>
      <w:rFonts w:ascii="Segoe UI" w:eastAsia="Times New Roman" w:hAnsi="Segoe UI" w:cs="Segoe UI"/>
      <w:snapToGrid w:val="0"/>
      <w:sz w:val="18"/>
      <w:szCs w:val="18"/>
    </w:rPr>
  </w:style>
  <w:style w:type="paragraph" w:styleId="Header">
    <w:name w:val="header"/>
    <w:basedOn w:val="Normal"/>
    <w:link w:val="HeaderChar"/>
    <w:uiPriority w:val="99"/>
    <w:unhideWhenUsed/>
    <w:rsid w:val="007E4887"/>
    <w:pPr>
      <w:tabs>
        <w:tab w:val="center" w:pos="4680"/>
        <w:tab w:val="right" w:pos="9360"/>
      </w:tabs>
    </w:pPr>
  </w:style>
  <w:style w:type="character" w:customStyle="1" w:styleId="HeaderChar">
    <w:name w:val="Header Char"/>
    <w:basedOn w:val="DefaultParagraphFont"/>
    <w:link w:val="Header"/>
    <w:uiPriority w:val="99"/>
    <w:rsid w:val="007E4887"/>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7E4887"/>
    <w:pPr>
      <w:tabs>
        <w:tab w:val="center" w:pos="4680"/>
        <w:tab w:val="right" w:pos="9360"/>
      </w:tabs>
    </w:pPr>
  </w:style>
  <w:style w:type="character" w:customStyle="1" w:styleId="FooterChar">
    <w:name w:val="Footer Char"/>
    <w:basedOn w:val="DefaultParagraphFont"/>
    <w:link w:val="Footer"/>
    <w:uiPriority w:val="99"/>
    <w:rsid w:val="007E4887"/>
    <w:rPr>
      <w:rFonts w:ascii="Courier New" w:eastAsia="Times New Roman" w:hAnsi="Courier New" w:cs="Times New Roman"/>
      <w:snapToGrid w:val="0"/>
      <w:sz w:val="24"/>
      <w:szCs w:val="20"/>
    </w:rPr>
  </w:style>
  <w:style w:type="paragraph" w:styleId="FootnoteText">
    <w:name w:val="footnote text"/>
    <w:basedOn w:val="Normal"/>
    <w:link w:val="FootnoteTextChar"/>
    <w:uiPriority w:val="99"/>
    <w:semiHidden/>
    <w:unhideWhenUsed/>
    <w:rsid w:val="00714ED9"/>
    <w:rPr>
      <w:sz w:val="20"/>
    </w:rPr>
  </w:style>
  <w:style w:type="character" w:customStyle="1" w:styleId="FootnoteTextChar">
    <w:name w:val="Footnote Text Char"/>
    <w:basedOn w:val="DefaultParagraphFont"/>
    <w:link w:val="FootnoteText"/>
    <w:uiPriority w:val="99"/>
    <w:semiHidden/>
    <w:rsid w:val="00714ED9"/>
    <w:rPr>
      <w:rFonts w:ascii="Courier New" w:eastAsia="Times New Roman" w:hAnsi="Courier New" w:cs="Times New Roman"/>
      <w:snapToGrid w:val="0"/>
      <w:sz w:val="20"/>
      <w:szCs w:val="20"/>
    </w:rPr>
  </w:style>
  <w:style w:type="character" w:styleId="FootnoteReference">
    <w:name w:val="footnote reference"/>
    <w:basedOn w:val="DefaultParagraphFont"/>
    <w:uiPriority w:val="99"/>
    <w:semiHidden/>
    <w:unhideWhenUsed/>
    <w:rsid w:val="00714ED9"/>
    <w:rPr>
      <w:vertAlign w:val="superscript"/>
    </w:rPr>
  </w:style>
  <w:style w:type="character" w:styleId="Hyperlink">
    <w:name w:val="Hyperlink"/>
    <w:basedOn w:val="DefaultParagraphFont"/>
    <w:uiPriority w:val="99"/>
    <w:unhideWhenUsed/>
    <w:rsid w:val="00E363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sha.gov/sites/default/files/enforcement/directives/CSP_02-00-00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1164bb308baf4a353706e1edfea7b89f">
  <xsd:schema xmlns:xsd="http://www.w3.org/2001/XMLSchema" xmlns:xs="http://www.w3.org/2001/XMLSchema" xmlns:p="http://schemas.microsoft.com/office/2006/metadata/properties" xmlns:ns3="bff4c704-432d-4070-8c1d-cb7493b0e4fc" targetNamespace="http://schemas.microsoft.com/office/2006/metadata/properties" ma:root="true" ma:fieldsID="49486856f7cdee7251f84200a780d501"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69C8-82AA-4091-B283-DFE63718DA3C}">
  <ds:schemaRefs>
    <ds:schemaRef ds:uri="http://schemas.microsoft.com/sharepoint/v3/contenttype/forms"/>
  </ds:schemaRefs>
</ds:datastoreItem>
</file>

<file path=customXml/itemProps2.xml><?xml version="1.0" encoding="utf-8"?>
<ds:datastoreItem xmlns:ds="http://schemas.openxmlformats.org/officeDocument/2006/customXml" ds:itemID="{2314B5FD-CBC2-4809-8313-F13DF76D46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C36A71-B152-4F5C-9BF8-271239DB7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38E18-BA9B-463B-90CE-12DF5E37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Warrick, Brian</dc:creator>
  <cp:lastModifiedBy>Perryman, Seleda M - OSHA</cp:lastModifiedBy>
  <cp:revision>2</cp:revision>
  <dcterms:created xsi:type="dcterms:W3CDTF">2021-07-26T12:50:00Z</dcterms:created>
  <dcterms:modified xsi:type="dcterms:W3CDTF">2021-07-26T12:50:00Z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