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E60F16" w:rsidP="00116CD5" w14:paraId="402DED79" w14:textId="77777777">
      <w:pPr>
        <w:widowControl/>
        <w:tabs>
          <w:tab w:val="left" w:pos="720"/>
        </w:tabs>
        <w:ind w:left="720" w:hanging="1440"/>
        <w:jc w:val="center"/>
        <w:rPr>
          <w:rFonts w:ascii="Times New Roman" w:hAnsi="Times New Roman"/>
          <w:b/>
          <w:bCs/>
        </w:rPr>
      </w:pPr>
    </w:p>
    <w:p w:rsidR="00690F56" w:rsidRPr="00E60F16" w:rsidP="00116CD5" w14:paraId="3CFC11B9" w14:textId="2B791E40">
      <w:pPr>
        <w:widowControl/>
        <w:tabs>
          <w:tab w:val="left" w:pos="720"/>
        </w:tabs>
        <w:ind w:left="720" w:hanging="1440"/>
        <w:jc w:val="center"/>
        <w:rPr>
          <w:rFonts w:ascii="Times New Roman" w:hAnsi="Times New Roman"/>
          <w:b/>
          <w:bCs/>
        </w:rPr>
      </w:pPr>
      <w:r w:rsidRPr="00E60F16">
        <w:rPr>
          <w:rFonts w:ascii="Times New Roman" w:hAnsi="Times New Roman"/>
          <w:b/>
          <w:bCs/>
        </w:rPr>
        <w:t xml:space="preserve">SUPPORTING STATEMENT </w:t>
      </w:r>
      <w:r w:rsidR="00761800">
        <w:rPr>
          <w:rFonts w:ascii="Times New Roman" w:hAnsi="Times New Roman"/>
          <w:b/>
          <w:bCs/>
        </w:rPr>
        <w:t xml:space="preserve">A </w:t>
      </w:r>
      <w:r w:rsidRPr="00E60F16">
        <w:rPr>
          <w:rFonts w:ascii="Times New Roman" w:hAnsi="Times New Roman"/>
          <w:b/>
          <w:bCs/>
        </w:rPr>
        <w:t>FOR</w:t>
      </w:r>
    </w:p>
    <w:p w:rsidR="00F150DD" w:rsidRPr="00E60F16" w:rsidP="00116CD5" w14:paraId="2D40CD16" w14:textId="77777777">
      <w:pPr>
        <w:widowControl/>
        <w:tabs>
          <w:tab w:val="left" w:pos="720"/>
        </w:tabs>
        <w:ind w:left="720" w:hanging="1440"/>
        <w:jc w:val="center"/>
        <w:rPr>
          <w:rFonts w:ascii="Times New Roman" w:hAnsi="Times New Roman"/>
          <w:b/>
          <w:bCs/>
        </w:rPr>
      </w:pPr>
    </w:p>
    <w:p w:rsidR="00380C85" w:rsidRPr="00E60F16" w:rsidP="009B63A7" w14:paraId="2A088788" w14:textId="77777777">
      <w:pPr>
        <w:widowControl/>
        <w:rPr>
          <w:rFonts w:ascii="Times New Roman" w:hAnsi="Times New Roman"/>
          <w:b/>
          <w:bCs/>
        </w:rPr>
      </w:pPr>
      <w:r w:rsidRPr="00F15A7B">
        <w:rPr>
          <w:rFonts w:ascii="Times New Roman" w:hAnsi="Times New Roman"/>
          <w:b/>
          <w:bCs/>
        </w:rPr>
        <w:t xml:space="preserve"> </w:t>
      </w:r>
      <w:r w:rsidRPr="00E60F16" w:rsidR="00406FFC">
        <w:rPr>
          <w:rFonts w:ascii="Times New Roman" w:hAnsi="Times New Roman"/>
          <w:b/>
          <w:bCs/>
        </w:rPr>
        <w:t>PILOT STUDY</w:t>
      </w:r>
      <w:r w:rsidRPr="00E60F16" w:rsidR="009C6367">
        <w:rPr>
          <w:rFonts w:ascii="Times New Roman" w:hAnsi="Times New Roman"/>
          <w:b/>
          <w:bCs/>
        </w:rPr>
        <w:t xml:space="preserve"> </w:t>
      </w:r>
      <w:r w:rsidRPr="00E60F16" w:rsidR="00406FFC">
        <w:rPr>
          <w:rFonts w:ascii="Times New Roman" w:hAnsi="Times New Roman"/>
          <w:b/>
          <w:bCs/>
        </w:rPr>
        <w:t xml:space="preserve">AND PROSPECTIVE ANALYSIS </w:t>
      </w:r>
      <w:r w:rsidRPr="00E60F16" w:rsidR="009C6367">
        <w:rPr>
          <w:rFonts w:ascii="Times New Roman" w:hAnsi="Times New Roman"/>
          <w:b/>
          <w:bCs/>
        </w:rPr>
        <w:t>OF</w:t>
      </w:r>
      <w:r w:rsidRPr="00E60F16">
        <w:rPr>
          <w:rFonts w:ascii="Times New Roman" w:hAnsi="Times New Roman"/>
          <w:b/>
          <w:bCs/>
        </w:rPr>
        <w:t xml:space="preserve"> THE </w:t>
      </w:r>
      <w:r w:rsidRPr="00E60F16" w:rsidR="00C5258F">
        <w:rPr>
          <w:rFonts w:ascii="Times New Roman" w:hAnsi="Times New Roman"/>
          <w:b/>
          <w:bCs/>
        </w:rPr>
        <w:t>DRAFT REVISED</w:t>
      </w:r>
      <w:r w:rsidRPr="00E60F16" w:rsidR="00F150DD">
        <w:rPr>
          <w:rFonts w:ascii="Times New Roman" w:hAnsi="Times New Roman"/>
          <w:b/>
          <w:bCs/>
        </w:rPr>
        <w:t xml:space="preserve"> </w:t>
      </w:r>
      <w:r w:rsidRPr="00E60F16" w:rsidR="00933AC3">
        <w:rPr>
          <w:rFonts w:ascii="Times New Roman" w:hAnsi="Times New Roman"/>
          <w:b/>
          <w:bCs/>
        </w:rPr>
        <w:t>FORM 33</w:t>
      </w:r>
      <w:r w:rsidRPr="00E60F16" w:rsidR="00F150DD">
        <w:rPr>
          <w:rFonts w:ascii="Times New Roman" w:hAnsi="Times New Roman"/>
          <w:b/>
          <w:bCs/>
        </w:rPr>
        <w:t>, S</w:t>
      </w:r>
      <w:r w:rsidRPr="00E60F16" w:rsidR="009C6367">
        <w:rPr>
          <w:rFonts w:ascii="Times New Roman" w:hAnsi="Times New Roman"/>
          <w:b/>
          <w:bCs/>
        </w:rPr>
        <w:t>AFETY AND HEALTH PROGRAM</w:t>
      </w:r>
      <w:r w:rsidRPr="00E60F16" w:rsidR="00C5258F">
        <w:rPr>
          <w:rFonts w:ascii="Times New Roman" w:hAnsi="Times New Roman"/>
          <w:b/>
          <w:bCs/>
        </w:rPr>
        <w:t xml:space="preserve"> ASSES</w:t>
      </w:r>
      <w:r w:rsidRPr="00E60F16" w:rsidR="0072642F">
        <w:rPr>
          <w:rFonts w:ascii="Times New Roman" w:hAnsi="Times New Roman"/>
          <w:b/>
          <w:bCs/>
        </w:rPr>
        <w:t>S</w:t>
      </w:r>
      <w:r w:rsidRPr="00E60F16" w:rsidR="00C5258F">
        <w:rPr>
          <w:rFonts w:ascii="Times New Roman" w:hAnsi="Times New Roman"/>
          <w:b/>
          <w:bCs/>
        </w:rPr>
        <w:t xml:space="preserve">MENT WORKSHEET </w:t>
      </w:r>
    </w:p>
    <w:p w:rsidR="003136CA" w:rsidRPr="00E60F16" w14:paraId="24442B46" w14:textId="20B07242">
      <w:pPr>
        <w:widowControl/>
        <w:jc w:val="center"/>
        <w:rPr>
          <w:rFonts w:ascii="Times New Roman" w:hAnsi="Times New Roman"/>
          <w:b/>
          <w:bCs/>
        </w:rPr>
      </w:pPr>
      <w:r w:rsidRPr="00E60F16">
        <w:rPr>
          <w:rFonts w:ascii="Times New Roman" w:hAnsi="Times New Roman"/>
          <w:b/>
          <w:bCs/>
        </w:rPr>
        <w:t xml:space="preserve">OMB </w:t>
      </w:r>
      <w:r w:rsidRPr="00E60F16" w:rsidR="00425F01">
        <w:rPr>
          <w:rFonts w:ascii="Times New Roman" w:hAnsi="Times New Roman"/>
          <w:b/>
          <w:bCs/>
        </w:rPr>
        <w:t>CONTROL</w:t>
      </w:r>
      <w:r w:rsidRPr="00E60F16">
        <w:rPr>
          <w:rFonts w:ascii="Times New Roman" w:hAnsi="Times New Roman"/>
          <w:b/>
          <w:bCs/>
        </w:rPr>
        <w:t xml:space="preserve"> </w:t>
      </w:r>
      <w:r w:rsidRPr="00E60F16" w:rsidR="00425F01">
        <w:rPr>
          <w:rFonts w:ascii="Times New Roman" w:hAnsi="Times New Roman"/>
          <w:b/>
          <w:bCs/>
        </w:rPr>
        <w:t>NUMBER</w:t>
      </w:r>
      <w:r w:rsidRPr="00E60F16">
        <w:rPr>
          <w:rFonts w:ascii="Times New Roman" w:hAnsi="Times New Roman"/>
          <w:b/>
          <w:bCs/>
        </w:rPr>
        <w:t xml:space="preserve">  1218-0</w:t>
      </w:r>
      <w:r w:rsidRPr="00E60F16" w:rsidR="00B950A8">
        <w:rPr>
          <w:rFonts w:ascii="Times New Roman" w:hAnsi="Times New Roman"/>
          <w:b/>
          <w:bCs/>
        </w:rPr>
        <w:t>280</w:t>
      </w:r>
      <w:r w:rsidRPr="00E60F16" w:rsidR="0037197C">
        <w:rPr>
          <w:rFonts w:ascii="Times New Roman" w:hAnsi="Times New Roman"/>
          <w:b/>
          <w:bCs/>
        </w:rPr>
        <w:t xml:space="preserve"> </w:t>
      </w:r>
      <w:r w:rsidR="00060C3A">
        <w:rPr>
          <w:rFonts w:ascii="Times New Roman" w:hAnsi="Times New Roman"/>
          <w:b/>
          <w:bCs/>
        </w:rPr>
        <w:t>(</w:t>
      </w:r>
      <w:r w:rsidR="00761800">
        <w:rPr>
          <w:rFonts w:ascii="Times New Roman" w:hAnsi="Times New Roman"/>
          <w:b/>
          <w:bCs/>
        </w:rPr>
        <w:t xml:space="preserve">April </w:t>
      </w:r>
      <w:r w:rsidR="00060C3A">
        <w:rPr>
          <w:rFonts w:ascii="Times New Roman" w:hAnsi="Times New Roman"/>
          <w:b/>
          <w:bCs/>
        </w:rPr>
        <w:t>202</w:t>
      </w:r>
      <w:r w:rsidR="008F37BD">
        <w:rPr>
          <w:rFonts w:ascii="Times New Roman" w:hAnsi="Times New Roman"/>
          <w:b/>
          <w:bCs/>
        </w:rPr>
        <w:t>5</w:t>
      </w:r>
      <w:r w:rsidR="00060C3A">
        <w:rPr>
          <w:rFonts w:ascii="Times New Roman" w:hAnsi="Times New Roman"/>
          <w:b/>
          <w:bCs/>
        </w:rPr>
        <w:t>)</w:t>
      </w:r>
    </w:p>
    <w:p w:rsidR="00A10441" w:rsidRPr="00E60F16" w:rsidP="00761800" w14:paraId="48484EB3" w14:textId="743497CC">
      <w:pPr>
        <w:widowControl/>
        <w:tabs>
          <w:tab w:val="center" w:pos="4680"/>
        </w:tabs>
        <w:rPr>
          <w:rFonts w:ascii="Times New Roman" w:hAnsi="Times New Roman"/>
          <w:b/>
          <w:bCs/>
        </w:rPr>
      </w:pPr>
      <w:r w:rsidRPr="00E60F16">
        <w:rPr>
          <w:rFonts w:ascii="Times New Roman" w:hAnsi="Times New Roman"/>
        </w:rPr>
        <w:tab/>
      </w:r>
    </w:p>
    <w:p w:rsidR="00116CD5" w:rsidRPr="00E60F16" w:rsidP="00116CD5" w14:paraId="190009D6" w14:textId="77777777">
      <w:pPr>
        <w:widowControl/>
        <w:jc w:val="center"/>
        <w:rPr>
          <w:rFonts w:ascii="Times New Roman" w:hAnsi="Times New Roman"/>
          <w:b/>
          <w:bCs/>
        </w:rPr>
      </w:pPr>
    </w:p>
    <w:p w:rsidR="00530EBD" w:rsidRPr="00E60F16" w:rsidP="00116CD5" w14:paraId="3186244B" w14:textId="77777777">
      <w:pPr>
        <w:widowControl/>
        <w:jc w:val="center"/>
        <w:rPr>
          <w:rFonts w:ascii="Times New Roman" w:hAnsi="Times New Roman"/>
          <w:bCs/>
        </w:rPr>
      </w:pPr>
    </w:p>
    <w:p w:rsidR="00B161C8" w:rsidP="00B161C8" w14:paraId="022B2B04" w14:textId="77777777">
      <w:pPr>
        <w:rPr>
          <w:rFonts w:ascii="Times New Roman" w:hAnsi="Times New Roman"/>
        </w:rPr>
      </w:pPr>
      <w:r w:rsidRPr="5786DFDC">
        <w:rPr>
          <w:rFonts w:ascii="Times New Roman" w:hAnsi="Times New Roman"/>
        </w:rPr>
        <w:t>This is a request to extend a currently approved data collection.</w:t>
      </w:r>
    </w:p>
    <w:p w:rsidR="00B161C8" w:rsidRPr="00316F74" w:rsidP="00B161C8" w14:paraId="4D1DDCCB" w14:textId="77777777">
      <w:pPr>
        <w:rPr>
          <w:rFonts w:ascii="Times New Roman" w:hAnsi="Times New Roman"/>
        </w:rPr>
      </w:pPr>
    </w:p>
    <w:p w:rsidR="00B161C8" w:rsidRPr="00E60F16" w:rsidP="00690F56" w14:paraId="0DAC3543" w14:textId="77777777">
      <w:pPr>
        <w:widowControl/>
        <w:rPr>
          <w:rFonts w:ascii="Times New Roman" w:hAnsi="Times New Roman"/>
          <w:b/>
          <w:bCs/>
        </w:rPr>
      </w:pPr>
    </w:p>
    <w:p w:rsidR="00690F56" w:rsidRPr="00E60F16" w:rsidP="00242CA0" w14:paraId="228409D5" w14:textId="77777777">
      <w:pPr>
        <w:widowControl/>
        <w:numPr>
          <w:ilvl w:val="0"/>
          <w:numId w:val="8"/>
        </w:numPr>
        <w:ind w:left="540" w:hanging="450"/>
        <w:rPr>
          <w:rFonts w:ascii="Times New Roman" w:hAnsi="Times New Roman"/>
          <w:b/>
          <w:bCs/>
        </w:rPr>
      </w:pPr>
      <w:r w:rsidRPr="00E60F16">
        <w:rPr>
          <w:rFonts w:ascii="Times New Roman" w:hAnsi="Times New Roman"/>
          <w:b/>
          <w:bCs/>
        </w:rPr>
        <w:t>JUSTIFICATION</w:t>
      </w:r>
    </w:p>
    <w:p w:rsidR="00690F56" w:rsidRPr="00E60F16" w:rsidP="00690F56" w14:paraId="3E79F696" w14:textId="77777777">
      <w:pPr>
        <w:widowControl/>
        <w:rPr>
          <w:rFonts w:ascii="Times New Roman" w:hAnsi="Times New Roman"/>
          <w:b/>
          <w:bCs/>
        </w:rPr>
      </w:pPr>
    </w:p>
    <w:p w:rsidR="00690F56" w:rsidRPr="00E60F16" w:rsidP="000E01FA" w14:paraId="67F5B9E6" w14:textId="77777777">
      <w:pPr>
        <w:pStyle w:val="ListParagraph"/>
        <w:widowControl/>
        <w:numPr>
          <w:ilvl w:val="0"/>
          <w:numId w:val="14"/>
        </w:numPr>
        <w:rPr>
          <w:rFonts w:ascii="Times New Roman" w:hAnsi="Times New Roman"/>
          <w:b/>
          <w:bCs/>
        </w:rPr>
      </w:pPr>
      <w:r w:rsidRPr="00E60F16">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3E2A" w:rsidRPr="00E60F16" w:rsidP="00273E2A" w14:paraId="58E98B7D" w14:textId="77777777">
      <w:pPr>
        <w:rPr>
          <w:rFonts w:ascii="Times New Roman" w:hAnsi="Times New Roman"/>
        </w:rPr>
      </w:pPr>
    </w:p>
    <w:p w:rsidR="00185066" w:rsidRPr="00E60F16" w:rsidP="00185066" w14:paraId="12991992" w14:textId="77777777">
      <w:pPr>
        <w:pStyle w:val="ListParagraph"/>
        <w:rPr>
          <w:rFonts w:ascii="Times New Roman" w:hAnsi="Times New Roman"/>
          <w:b/>
          <w:bCs/>
        </w:rPr>
      </w:pPr>
      <w:r w:rsidRPr="00E60F16">
        <w:rPr>
          <w:rFonts w:ascii="Times New Roman" w:hAnsi="Times New Roman"/>
          <w:b/>
          <w:bCs/>
        </w:rPr>
        <w:t>BACKGROUND</w:t>
      </w:r>
    </w:p>
    <w:p w:rsidR="00185066" w:rsidRPr="00E60F16" w:rsidP="00185066" w14:paraId="1676C3BE" w14:textId="77777777">
      <w:pPr>
        <w:ind w:left="720"/>
        <w:rPr>
          <w:rFonts w:ascii="Times New Roman" w:hAnsi="Times New Roman"/>
        </w:rPr>
      </w:pPr>
    </w:p>
    <w:p w:rsidR="00185066" w:rsidRPr="00E60F16" w:rsidP="00185066" w14:paraId="6540115C" w14:textId="77777777">
      <w:pPr>
        <w:ind w:left="720"/>
        <w:rPr>
          <w:rFonts w:ascii="Times New Roman" w:hAnsi="Times New Roman"/>
        </w:rPr>
      </w:pPr>
      <w:r w:rsidRPr="00E60F16">
        <w:rPr>
          <w:rFonts w:ascii="Times New Roman" w:hAnsi="Times New Roman"/>
        </w:rPr>
        <w:t xml:space="preserve">29 CFR Part 1908, Consultation Agreements, contains requirements for Cooperative Agreements between states and the federal OSHA under sections 21(c) of the Occupational Safety and Health Act of 1970 (the Act; 29 U.S.C. 651 et seq.) and section 21(d), the OSHA Compliance Assistance Authorization Act of 1998 (which amends the Act) under which OSHA will utilize state personnel (consultants) to provide consultative services to small- and medium-sized businesses, through the On-Site Consultation programs established by U.S. states and territories.  </w:t>
      </w:r>
    </w:p>
    <w:p w:rsidR="00185066" w:rsidRPr="00E60F16" w:rsidP="00185066" w14:paraId="65E6DF3F" w14:textId="77777777">
      <w:pPr>
        <w:ind w:left="720"/>
        <w:rPr>
          <w:rFonts w:ascii="Times New Roman" w:hAnsi="Times New Roman"/>
        </w:rPr>
      </w:pPr>
    </w:p>
    <w:p w:rsidR="00185066" w:rsidRPr="00E60F16" w:rsidP="00185066" w14:paraId="650F5225" w14:textId="77777777">
      <w:pPr>
        <w:ind w:left="720"/>
        <w:rPr>
          <w:rFonts w:ascii="Times New Roman" w:hAnsi="Times New Roman"/>
        </w:rPr>
      </w:pPr>
      <w:r w:rsidRPr="00E60F16">
        <w:rPr>
          <w:rFonts w:ascii="Times New Roman" w:hAnsi="Times New Roman"/>
        </w:rPr>
        <w:t xml:space="preserve">The OSHA On-Site Consultation Program is administered by the Agency’s Directorate of Cooperative and State Programs (DCSP), Office of Small Business Assistance (OSBA).  OSHA provides guidance to state On-Site Consultation programs, through the OSHA Consultation Policies and Procedures Manual (CPPM), </w:t>
      </w:r>
      <w:hyperlink r:id="rId9" w:history="1">
        <w:r w:rsidRPr="00E60F16">
          <w:rPr>
            <w:rStyle w:val="Hyperlink"/>
            <w:rFonts w:ascii="Times New Roman" w:hAnsi="Times New Roman"/>
          </w:rPr>
          <w:t>CSP 02-00-005</w:t>
        </w:r>
      </w:hyperlink>
      <w:r w:rsidRPr="00E60F16">
        <w:rPr>
          <w:rFonts w:ascii="Times New Roman" w:hAnsi="Times New Roman"/>
        </w:rPr>
        <w:t xml:space="preserve">, September 29, 2023.  The CPPM complies with the requirements of </w:t>
      </w:r>
      <w:hyperlink r:id="rId10" w:history="1">
        <w:r w:rsidRPr="00E60F16">
          <w:rPr>
            <w:rStyle w:val="Hyperlink"/>
            <w:rFonts w:ascii="Times New Roman" w:hAnsi="Times New Roman"/>
          </w:rPr>
          <w:t>29 CFR 1908</w:t>
        </w:r>
      </w:hyperlink>
      <w:r w:rsidRPr="00E60F16">
        <w:rPr>
          <w:rFonts w:ascii="Times New Roman" w:hAnsi="Times New Roman"/>
        </w:rPr>
        <w:t xml:space="preserve"> to specify the framework for administering and managing the OSHA On-Site Consultation Program, and to establish policies and procedures.</w:t>
      </w:r>
    </w:p>
    <w:p w:rsidR="00185066" w:rsidRPr="00E60F16" w:rsidP="00185066" w14:paraId="17CF429D" w14:textId="77777777">
      <w:pPr>
        <w:ind w:left="720"/>
        <w:rPr>
          <w:rFonts w:ascii="Times New Roman" w:hAnsi="Times New Roman"/>
        </w:rPr>
      </w:pPr>
    </w:p>
    <w:p w:rsidR="00185066" w:rsidRPr="00E60F16" w:rsidP="00185066" w14:paraId="053B4D77" w14:textId="77777777">
      <w:pPr>
        <w:ind w:left="720"/>
        <w:rPr>
          <w:rFonts w:ascii="Times New Roman" w:hAnsi="Times New Roman"/>
        </w:rPr>
      </w:pPr>
      <w:r w:rsidRPr="00E60F16">
        <w:rPr>
          <w:rFonts w:ascii="Times New Roman" w:hAnsi="Times New Roman"/>
        </w:rPr>
        <w:t xml:space="preserve">On-Site Consultation programs located within state agencies or universities employ consultants to provide consultative services to employers, off-site or on-site at their workplaces.  Employers can voluntarily contact their state On-Site Consultation program to request no-cost consultative services provided by consultants to assist with improving occupational safety and health conditions.  These include </w:t>
      </w:r>
      <w:r w:rsidR="008959B0">
        <w:rPr>
          <w:rFonts w:ascii="Times New Roman" w:hAnsi="Times New Roman"/>
        </w:rPr>
        <w:t>workplace consultation visits involving</w:t>
      </w:r>
      <w:r w:rsidRPr="00E60F16">
        <w:rPr>
          <w:rFonts w:ascii="Times New Roman" w:hAnsi="Times New Roman"/>
        </w:rPr>
        <w:t xml:space="preserve"> hazard assessments, SHP assessments, and/or training.  Consultants also provide compliance assistance services to employers (e.g., via phone, email, presentations).</w:t>
      </w:r>
    </w:p>
    <w:p w:rsidR="00185066" w:rsidRPr="00E60F16" w:rsidP="00185066" w14:paraId="4F178C32" w14:textId="77777777">
      <w:pPr>
        <w:ind w:left="720"/>
        <w:rPr>
          <w:rFonts w:ascii="Times New Roman" w:hAnsi="Times New Roman"/>
        </w:rPr>
      </w:pPr>
    </w:p>
    <w:p w:rsidR="00185066" w:rsidRPr="00E60F16" w:rsidP="00185066" w14:paraId="556A3C52" w14:textId="77777777">
      <w:pPr>
        <w:ind w:left="720"/>
        <w:rPr>
          <w:rFonts w:ascii="Times New Roman" w:hAnsi="Times New Roman"/>
        </w:rPr>
      </w:pPr>
      <w:r w:rsidRPr="00E60F16">
        <w:rPr>
          <w:rFonts w:ascii="Times New Roman" w:hAnsi="Times New Roman"/>
        </w:rPr>
        <w:t xml:space="preserve">29 CFR 1908.1(a) specifies that consultative </w:t>
      </w:r>
      <w:r w:rsidRPr="00E60F16">
        <w:rPr>
          <w:rFonts w:ascii="Times New Roman" w:hAnsi="Times New Roman"/>
          <w:lang w:val="en"/>
        </w:rPr>
        <w:t xml:space="preserve">services “will be made available at no cost to employers to assist them in </w:t>
      </w:r>
      <w:r w:rsidRPr="00E60F16">
        <w:rPr>
          <w:rFonts w:ascii="Times New Roman" w:hAnsi="Times New Roman"/>
          <w:i/>
          <w:lang w:val="en"/>
        </w:rPr>
        <w:t>establishing effective occupational SHPs</w:t>
      </w:r>
      <w:r w:rsidRPr="00E60F16">
        <w:rPr>
          <w:rFonts w:ascii="Times New Roman" w:hAnsi="Times New Roman"/>
          <w:lang w:val="en"/>
        </w:rPr>
        <w:t xml:space="preserve"> for providing employment and places of employment that are safe and healthful.  The overall goal [of SHPs] is to prevent the occurrence of injuries and illnesses that may result from exposure to hazardous workplace conditions and from hazardous work practices.”  </w:t>
      </w:r>
    </w:p>
    <w:p w:rsidR="00185066" w:rsidRPr="00E60F16" w:rsidP="00185066" w14:paraId="6798EDAE" w14:textId="77777777">
      <w:pPr>
        <w:rPr>
          <w:rFonts w:ascii="Times New Roman" w:hAnsi="Times New Roman"/>
        </w:rPr>
      </w:pPr>
    </w:p>
    <w:p w:rsidR="00185066" w:rsidRPr="00E60F16" w:rsidP="00185066" w14:paraId="70E30885" w14:textId="77777777">
      <w:pPr>
        <w:pStyle w:val="ListParagraph"/>
        <w:rPr>
          <w:rFonts w:ascii="Times New Roman" w:hAnsi="Times New Roman"/>
        </w:rPr>
      </w:pPr>
      <w:r w:rsidRPr="00E60F16">
        <w:rPr>
          <w:rFonts w:ascii="Times New Roman" w:hAnsi="Times New Roman"/>
        </w:rPr>
        <w:t>Consequently, OSHA adopted the 1989 SHP Management Guidelines to develop the current Form 33 and its Attributes Reference Guide (ARG).  The current Form 33 is used by state On-Site Consultation programs to conduct workplace SHP assessments of small- and medium-sized businesses</w:t>
      </w:r>
      <w:r w:rsidR="008959B0">
        <w:rPr>
          <w:rFonts w:ascii="Times New Roman" w:hAnsi="Times New Roman"/>
        </w:rPr>
        <w:t>, summarize findings,</w:t>
      </w:r>
      <w:r w:rsidRPr="00E60F16">
        <w:rPr>
          <w:rFonts w:ascii="Times New Roman" w:hAnsi="Times New Roman"/>
        </w:rPr>
        <w:t xml:space="preserve"> and give recommendations for corrective actions or continuous improvement to employers.  The worksheet is comprised of 58 attributes (i.e., assessment criteria).  The attributes are characteristics of SHPs used to assess the level of an employer’s SHP development and implementation.  The current ARG provides descriptions of some of the 58 attributes or assessment criteria in Form 33.  </w:t>
      </w:r>
    </w:p>
    <w:p w:rsidR="00185066" w:rsidRPr="00E60F16" w:rsidP="00185066" w14:paraId="50CACE20" w14:textId="77777777">
      <w:pPr>
        <w:pStyle w:val="ListParagraph"/>
        <w:rPr>
          <w:rFonts w:ascii="Times New Roman" w:hAnsi="Times New Roman"/>
        </w:rPr>
      </w:pPr>
    </w:p>
    <w:p w:rsidR="00185066" w:rsidRPr="00E60F16" w:rsidP="00185066" w14:paraId="0F528C8D" w14:textId="77777777">
      <w:pPr>
        <w:pStyle w:val="ListParagraph"/>
        <w:rPr>
          <w:rFonts w:ascii="Times New Roman" w:hAnsi="Times New Roman"/>
          <w:lang w:val="en"/>
        </w:rPr>
      </w:pPr>
      <w:r w:rsidRPr="00E60F16">
        <w:rPr>
          <w:rFonts w:ascii="Times New Roman" w:hAnsi="Times New Roman"/>
        </w:rPr>
        <w:t>In October 2016, OSHA replaced the 1989 SHP Management Guidelines with the Recommended Practices (RPs) for SHPs (</w:t>
      </w:r>
      <w:hyperlink r:id="rId11" w:history="1">
        <w:r w:rsidRPr="00E60F16">
          <w:rPr>
            <w:rStyle w:val="Hyperlink"/>
            <w:rFonts w:ascii="Times New Roman" w:hAnsi="Times New Roman"/>
          </w:rPr>
          <w:t>RP for SHPs</w:t>
        </w:r>
      </w:hyperlink>
      <w:r w:rsidRPr="00E60F16">
        <w:rPr>
          <w:rFonts w:ascii="Times New Roman" w:hAnsi="Times New Roman"/>
        </w:rPr>
        <w:t xml:space="preserve">).  Subsequently, OSHA executed the OSHA Form 33 Revision Project to align Form 33 and the ARG with the RP for SHPs, and incorporate additional improvement measures.  </w:t>
      </w:r>
    </w:p>
    <w:p w:rsidR="00185066" w:rsidRPr="00E60F16" w:rsidP="00185066" w14:paraId="6CE6B86A" w14:textId="77777777">
      <w:pPr>
        <w:pStyle w:val="ListParagraph"/>
        <w:rPr>
          <w:rFonts w:ascii="Times New Roman" w:hAnsi="Times New Roman"/>
        </w:rPr>
      </w:pPr>
    </w:p>
    <w:p w:rsidR="00185066" w:rsidRPr="00E60F16" w:rsidP="00185066" w14:paraId="6A3DA760" w14:textId="77777777">
      <w:pPr>
        <w:pStyle w:val="ListParagraph"/>
        <w:rPr>
          <w:rFonts w:ascii="Times New Roman" w:hAnsi="Times New Roman"/>
        </w:rPr>
      </w:pPr>
      <w:r w:rsidRPr="00E60F16">
        <w:rPr>
          <w:rFonts w:ascii="Times New Roman" w:hAnsi="Times New Roman"/>
        </w:rPr>
        <w:t>From October 2016</w:t>
      </w:r>
      <w:r w:rsidRPr="00E60F16" w:rsidR="00DB261E">
        <w:rPr>
          <w:rFonts w:ascii="Times New Roman" w:hAnsi="Times New Roman"/>
        </w:rPr>
        <w:t xml:space="preserve"> to May 2022</w:t>
      </w:r>
      <w:r w:rsidRPr="00E60F16">
        <w:rPr>
          <w:rFonts w:ascii="Times New Roman" w:hAnsi="Times New Roman"/>
        </w:rPr>
        <w:t xml:space="preserve">, the OSHA Form 33 Revision Project </w:t>
      </w:r>
      <w:r w:rsidR="008959B0">
        <w:rPr>
          <w:rFonts w:ascii="Times New Roman" w:hAnsi="Times New Roman"/>
        </w:rPr>
        <w:t>underwent</w:t>
      </w:r>
      <w:r w:rsidRPr="00E60F16">
        <w:rPr>
          <w:rFonts w:ascii="Times New Roman" w:hAnsi="Times New Roman"/>
        </w:rPr>
        <w:t xml:space="preserve"> several phases</w:t>
      </w:r>
      <w:r w:rsidRPr="00E60F16" w:rsidR="00FD1EB9">
        <w:rPr>
          <w:rFonts w:ascii="Times New Roman" w:hAnsi="Times New Roman"/>
        </w:rPr>
        <w:t xml:space="preserve"> of updates to the current Form 33</w:t>
      </w:r>
      <w:r w:rsidRPr="00E60F16" w:rsidR="001C3CDF">
        <w:rPr>
          <w:rFonts w:ascii="Times New Roman" w:hAnsi="Times New Roman"/>
        </w:rPr>
        <w:t>,</w:t>
      </w:r>
      <w:r w:rsidRPr="00E60F16">
        <w:rPr>
          <w:rFonts w:ascii="Times New Roman" w:hAnsi="Times New Roman"/>
        </w:rPr>
        <w:t xml:space="preserve"> and the effort resulted in the DRF33 and </w:t>
      </w:r>
      <w:r w:rsidRPr="00E60F16" w:rsidR="001C3CDF">
        <w:rPr>
          <w:rFonts w:ascii="Times New Roman" w:hAnsi="Times New Roman"/>
        </w:rPr>
        <w:t xml:space="preserve">a draft revised </w:t>
      </w:r>
      <w:r w:rsidRPr="00E60F16">
        <w:rPr>
          <w:rFonts w:ascii="Times New Roman" w:hAnsi="Times New Roman"/>
        </w:rPr>
        <w:t xml:space="preserve">ARG.  The DRF33 is an updated and streamlined version of the current Form 33.  The worksheet contains fifty-two (52) attributes compared to 58 attributes in the current Form 33.  The updated ARG contains detailed descriptions of all attributes, updated guidance for assessing the implementation of each attribute at a workplace, and several </w:t>
      </w:r>
      <w:r w:rsidRPr="00E60F16" w:rsidR="00C97555">
        <w:rPr>
          <w:rFonts w:ascii="Times New Roman" w:hAnsi="Times New Roman"/>
        </w:rPr>
        <w:t xml:space="preserve">job </w:t>
      </w:r>
      <w:r w:rsidRPr="00E60F16">
        <w:rPr>
          <w:rFonts w:ascii="Times New Roman" w:hAnsi="Times New Roman"/>
        </w:rPr>
        <w:t xml:space="preserve">aids for consultants to use.  </w:t>
      </w:r>
    </w:p>
    <w:p w:rsidR="00185066" w:rsidRPr="00E60F16" w:rsidP="00185066" w14:paraId="5A4B0B3B" w14:textId="77777777">
      <w:pPr>
        <w:widowControl/>
        <w:autoSpaceDE/>
        <w:autoSpaceDN/>
        <w:adjustRightInd/>
        <w:rPr>
          <w:rFonts w:ascii="Times New Roman" w:hAnsi="Times New Roman"/>
        </w:rPr>
      </w:pPr>
    </w:p>
    <w:p w:rsidR="00D16DAD" w:rsidRPr="00E60F16" w:rsidP="00D80643" w14:paraId="0BFAABDB" w14:textId="77777777">
      <w:pPr>
        <w:ind w:left="720"/>
        <w:rPr>
          <w:rFonts w:ascii="Times New Roman" w:hAnsi="Times New Roman"/>
        </w:rPr>
      </w:pPr>
      <w:r w:rsidRPr="00E60F16">
        <w:rPr>
          <w:rFonts w:ascii="Times New Roman" w:hAnsi="Times New Roman"/>
        </w:rPr>
        <w:t xml:space="preserve">Subsequently, in May </w:t>
      </w:r>
      <w:r w:rsidRPr="00E60F16" w:rsidR="001052B5">
        <w:rPr>
          <w:rFonts w:ascii="Times New Roman" w:hAnsi="Times New Roman"/>
        </w:rPr>
        <w:t>2022, OSHA requested OMB approval</w:t>
      </w:r>
      <w:r w:rsidRPr="00E60F16" w:rsidR="00716921">
        <w:rPr>
          <w:rFonts w:ascii="Times New Roman" w:hAnsi="Times New Roman"/>
        </w:rPr>
        <w:t xml:space="preserve"> to conduct a Pilot Study of the DRF33</w:t>
      </w:r>
      <w:r w:rsidRPr="00E60F16" w:rsidR="000F4DED">
        <w:rPr>
          <w:rFonts w:ascii="Times New Roman" w:hAnsi="Times New Roman"/>
        </w:rPr>
        <w:t xml:space="preserve"> </w:t>
      </w:r>
      <w:r w:rsidRPr="00E60F16" w:rsidR="0055660F">
        <w:rPr>
          <w:rFonts w:ascii="Times New Roman" w:hAnsi="Times New Roman"/>
        </w:rPr>
        <w:t xml:space="preserve">pursuant to the Paperwork Reduction Act (PRA), </w:t>
      </w:r>
      <w:r w:rsidRPr="00E60F16" w:rsidR="00774CB4">
        <w:rPr>
          <w:rFonts w:ascii="Times New Roman" w:hAnsi="Times New Roman"/>
        </w:rPr>
        <w:t>and clarified</w:t>
      </w:r>
      <w:r w:rsidRPr="00E60F16" w:rsidR="000F4DED">
        <w:rPr>
          <w:rFonts w:ascii="Times New Roman" w:hAnsi="Times New Roman"/>
        </w:rPr>
        <w:t xml:space="preserve"> that </w:t>
      </w:r>
      <w:r w:rsidRPr="00E60F16" w:rsidR="00185066">
        <w:rPr>
          <w:rFonts w:ascii="Times New Roman" w:hAnsi="Times New Roman"/>
        </w:rPr>
        <w:t xml:space="preserve">OSHA and state On-Site Consultation programs will not incur the estimated cost for participating as a separate additional cost.  </w:t>
      </w:r>
      <w:r w:rsidRPr="00E60F16" w:rsidR="00D80643">
        <w:rPr>
          <w:rFonts w:ascii="Times New Roman" w:hAnsi="Times New Roman"/>
        </w:rPr>
        <w:t>On June 21, 2022, OSHA received OMB approval for the “Pilot Study and Prospective Analysis of the Draft Revised Form 33 (DRF33) Safety and Health Program Assessment Worksheet,” (i.e., OMB #1218-0280, Expiration Date: 6/30/25).</w:t>
      </w:r>
    </w:p>
    <w:p w:rsidR="00D16DAD" w:rsidRPr="00E60F16" w:rsidP="00185066" w14:paraId="2A9FA6BC" w14:textId="77777777">
      <w:pPr>
        <w:ind w:left="720"/>
        <w:rPr>
          <w:rFonts w:ascii="Times New Roman" w:hAnsi="Times New Roman"/>
        </w:rPr>
      </w:pPr>
    </w:p>
    <w:p w:rsidR="00185066" w:rsidRPr="00E60F16" w:rsidP="00185066" w14:paraId="49CC3A49" w14:textId="77777777">
      <w:pPr>
        <w:ind w:left="720"/>
        <w:rPr>
          <w:rFonts w:ascii="Times New Roman" w:hAnsi="Times New Roman"/>
        </w:rPr>
      </w:pPr>
      <w:r w:rsidRPr="00E60F16">
        <w:rPr>
          <w:rFonts w:ascii="Times New Roman" w:hAnsi="Times New Roman"/>
        </w:rPr>
        <w:t xml:space="preserve">In general, under the Cooperative Agreement, OSHA reimburses states ninety (90) percent of the budget for implementing Consultation programs.  The activities conducted by state Consultation programs during the Pilot Study: pre-test, consultation visits/SHP assessments, follow-up study, and Prospective Analysis count towards meeting the projected number of consultative services in the Consultation Annual Program Plan (CAPP).  The CAPP is a requirement of </w:t>
      </w:r>
      <w:r w:rsidRPr="00E60F16" w:rsidR="00990BEA">
        <w:rPr>
          <w:rFonts w:ascii="Times New Roman" w:hAnsi="Times New Roman"/>
        </w:rPr>
        <w:t>S</w:t>
      </w:r>
      <w:r w:rsidRPr="00E60F16">
        <w:rPr>
          <w:rFonts w:ascii="Times New Roman" w:hAnsi="Times New Roman"/>
        </w:rPr>
        <w:t xml:space="preserve">tate On-Site Consultation programs’ annual Cooperative Agreements with OSHA.  </w:t>
      </w:r>
    </w:p>
    <w:p w:rsidR="00185066" w:rsidRPr="00E60F16" w:rsidP="00185066" w14:paraId="3AE4E101" w14:textId="77777777">
      <w:pPr>
        <w:rPr>
          <w:rFonts w:ascii="Times New Roman" w:hAnsi="Times New Roman"/>
        </w:rPr>
      </w:pPr>
    </w:p>
    <w:p w:rsidR="00C66B1D" w:rsidRPr="00AC2265" w:rsidP="00C66B1D" w14:paraId="7998BF13" w14:textId="77777777">
      <w:pPr>
        <w:ind w:left="720"/>
        <w:rPr>
          <w:rFonts w:ascii="Times New Roman" w:hAnsi="Times New Roman"/>
          <w:b/>
          <w:bCs/>
          <w:u w:val="single"/>
        </w:rPr>
      </w:pPr>
      <w:r w:rsidRPr="00AC2265">
        <w:rPr>
          <w:rFonts w:ascii="Times New Roman" w:hAnsi="Times New Roman"/>
          <w:b/>
          <w:bCs/>
          <w:u w:val="single"/>
        </w:rPr>
        <w:t>UPDATES</w:t>
      </w:r>
    </w:p>
    <w:p w:rsidR="00C66B1D" w:rsidRPr="00E60F16" w:rsidP="00C66B1D" w14:paraId="73E72254" w14:textId="77777777">
      <w:pPr>
        <w:ind w:left="720"/>
        <w:rPr>
          <w:rFonts w:ascii="Times New Roman" w:hAnsi="Times New Roman"/>
        </w:rPr>
      </w:pPr>
    </w:p>
    <w:p w:rsidR="009166AB" w:rsidRPr="00E60F16" w:rsidP="00C66B1D" w14:paraId="051CD60C" w14:textId="292D25BE">
      <w:pPr>
        <w:ind w:left="720"/>
        <w:rPr>
          <w:rFonts w:ascii="Times New Roman" w:hAnsi="Times New Roman"/>
        </w:rPr>
      </w:pPr>
      <w:r w:rsidRPr="00E60F16">
        <w:rPr>
          <w:rFonts w:ascii="Times New Roman" w:hAnsi="Times New Roman"/>
        </w:rPr>
        <w:t>OSHA</w:t>
      </w:r>
      <w:r w:rsidRPr="00E60F16" w:rsidR="00506EC7">
        <w:rPr>
          <w:rFonts w:ascii="Times New Roman" w:hAnsi="Times New Roman"/>
        </w:rPr>
        <w:t xml:space="preserve"> is requesting </w:t>
      </w:r>
      <w:r w:rsidRPr="00E60F16" w:rsidR="00B950A8">
        <w:rPr>
          <w:rFonts w:ascii="Times New Roman" w:hAnsi="Times New Roman"/>
        </w:rPr>
        <w:t>a</w:t>
      </w:r>
      <w:r w:rsidRPr="00E60F16" w:rsidR="001B060F">
        <w:rPr>
          <w:rFonts w:ascii="Times New Roman" w:hAnsi="Times New Roman"/>
        </w:rPr>
        <w:t xml:space="preserve"> </w:t>
      </w:r>
      <w:r w:rsidRPr="00E60F16" w:rsidR="00AC2265">
        <w:rPr>
          <w:rFonts w:ascii="Times New Roman" w:hAnsi="Times New Roman"/>
        </w:rPr>
        <w:t>3</w:t>
      </w:r>
      <w:r w:rsidR="00AC2265">
        <w:rPr>
          <w:rFonts w:ascii="Times New Roman" w:hAnsi="Times New Roman"/>
        </w:rPr>
        <w:t>-year</w:t>
      </w:r>
      <w:r w:rsidRPr="00E60F16" w:rsidR="00B950A8">
        <w:rPr>
          <w:rFonts w:ascii="Times New Roman" w:hAnsi="Times New Roman"/>
        </w:rPr>
        <w:t xml:space="preserve"> extension</w:t>
      </w:r>
      <w:r w:rsidRPr="00E60F16" w:rsidR="009F76F5">
        <w:rPr>
          <w:rFonts w:ascii="Times New Roman" w:hAnsi="Times New Roman"/>
        </w:rPr>
        <w:t xml:space="preserve"> </w:t>
      </w:r>
      <w:bookmarkStart w:id="0" w:name="_Hlk178671880"/>
      <w:r w:rsidRPr="00E60F16" w:rsidR="00B950A8">
        <w:rPr>
          <w:rFonts w:ascii="Times New Roman" w:hAnsi="Times New Roman"/>
        </w:rPr>
        <w:t xml:space="preserve">of </w:t>
      </w:r>
      <w:r w:rsidRPr="00E60F16" w:rsidR="00F118E2">
        <w:rPr>
          <w:rFonts w:ascii="Times New Roman" w:hAnsi="Times New Roman"/>
        </w:rPr>
        <w:t xml:space="preserve">OMB #1218-0280 to </w:t>
      </w:r>
      <w:r w:rsidRPr="00E60F16" w:rsidR="00E73285">
        <w:rPr>
          <w:rFonts w:ascii="Times New Roman" w:hAnsi="Times New Roman"/>
        </w:rPr>
        <w:t xml:space="preserve">allow </w:t>
      </w:r>
      <w:r w:rsidRPr="00E60F16" w:rsidR="00DF3646">
        <w:rPr>
          <w:rFonts w:ascii="Times New Roman" w:hAnsi="Times New Roman"/>
        </w:rPr>
        <w:t>adequate</w:t>
      </w:r>
      <w:r w:rsidRPr="00E60F16" w:rsidR="00E73285">
        <w:rPr>
          <w:rFonts w:ascii="Times New Roman" w:hAnsi="Times New Roman"/>
        </w:rPr>
        <w:t xml:space="preserve"> time to complete the pilot study.</w:t>
      </w:r>
      <w:r w:rsidRPr="00E60F16" w:rsidR="00D35966">
        <w:rPr>
          <w:rFonts w:ascii="Times New Roman" w:hAnsi="Times New Roman"/>
        </w:rPr>
        <w:t xml:space="preserve">  </w:t>
      </w:r>
    </w:p>
    <w:bookmarkEnd w:id="0"/>
    <w:p w:rsidR="0022216C" w:rsidRPr="00E60F16" w:rsidP="00C66B1D" w14:paraId="3E4C42A2" w14:textId="77777777">
      <w:pPr>
        <w:rPr>
          <w:rFonts w:ascii="Times New Roman" w:hAnsi="Times New Roman"/>
        </w:rPr>
      </w:pPr>
    </w:p>
    <w:p w:rsidR="002866A4" w:rsidRPr="00E60F16" w:rsidP="004D1F08" w14:paraId="0EA50424" w14:textId="77777777">
      <w:pPr>
        <w:pStyle w:val="ListParagraph"/>
        <w:rPr>
          <w:rFonts w:ascii="Times New Roman" w:hAnsi="Times New Roman"/>
        </w:rPr>
      </w:pPr>
      <w:r w:rsidRPr="00E60F16">
        <w:rPr>
          <w:rFonts w:ascii="Times New Roman" w:hAnsi="Times New Roman"/>
        </w:rPr>
        <w:t xml:space="preserve">The </w:t>
      </w:r>
      <w:r w:rsidRPr="00E60F16" w:rsidR="00BB2365">
        <w:rPr>
          <w:rFonts w:ascii="Times New Roman" w:hAnsi="Times New Roman"/>
        </w:rPr>
        <w:t>studies</w:t>
      </w:r>
      <w:r w:rsidRPr="00E60F16">
        <w:rPr>
          <w:rFonts w:ascii="Times New Roman" w:hAnsi="Times New Roman"/>
        </w:rPr>
        <w:t xml:space="preserve"> </w:t>
      </w:r>
      <w:r w:rsidRPr="00E60F16" w:rsidR="00E55745">
        <w:rPr>
          <w:rFonts w:ascii="Times New Roman" w:hAnsi="Times New Roman"/>
        </w:rPr>
        <w:t>that OSHA is conducting</w:t>
      </w:r>
      <w:r w:rsidRPr="00E60F16" w:rsidR="006218DB">
        <w:rPr>
          <w:rFonts w:ascii="Times New Roman" w:hAnsi="Times New Roman"/>
        </w:rPr>
        <w:t xml:space="preserve"> on the </w:t>
      </w:r>
      <w:r w:rsidRPr="00E60F16">
        <w:rPr>
          <w:rFonts w:ascii="Times New Roman" w:hAnsi="Times New Roman"/>
        </w:rPr>
        <w:t xml:space="preserve">DRF33 will </w:t>
      </w:r>
      <w:r w:rsidRPr="00E60F16" w:rsidR="00C911B9">
        <w:rPr>
          <w:rFonts w:ascii="Times New Roman" w:hAnsi="Times New Roman"/>
        </w:rPr>
        <w:t>help</w:t>
      </w:r>
      <w:r w:rsidRPr="00E60F16">
        <w:rPr>
          <w:rFonts w:ascii="Times New Roman" w:hAnsi="Times New Roman"/>
        </w:rPr>
        <w:t xml:space="preserve"> ensure that a valid, reliable, and efficient tool is provided to </w:t>
      </w:r>
      <w:hyperlink r:id="rId12" w:history="1">
        <w:r w:rsidRPr="00E60F16">
          <w:rPr>
            <w:rStyle w:val="Hyperlink"/>
            <w:rFonts w:ascii="Times New Roman" w:hAnsi="Times New Roman"/>
          </w:rPr>
          <w:t>On-Site Consultation programs</w:t>
        </w:r>
      </w:hyperlink>
      <w:r w:rsidRPr="00E60F16">
        <w:rPr>
          <w:rFonts w:ascii="Times New Roman" w:hAnsi="Times New Roman"/>
        </w:rPr>
        <w:t xml:space="preserve"> in the fifty (50) states, the District of Columbia, and several United States territories</w:t>
      </w:r>
      <w:r>
        <w:rPr>
          <w:rStyle w:val="FootnoteReference"/>
          <w:rFonts w:ascii="Times New Roman" w:hAnsi="Times New Roman"/>
        </w:rPr>
        <w:footnoteReference w:id="3"/>
      </w:r>
      <w:r w:rsidRPr="00E60F16">
        <w:rPr>
          <w:rFonts w:ascii="Times New Roman" w:hAnsi="Times New Roman"/>
        </w:rPr>
        <w:t xml:space="preserve"> to enhanc</w:t>
      </w:r>
      <w:r w:rsidRPr="00E60F16" w:rsidR="0076540D">
        <w:rPr>
          <w:rFonts w:ascii="Times New Roman" w:hAnsi="Times New Roman"/>
        </w:rPr>
        <w:t>e</w:t>
      </w:r>
      <w:r w:rsidRPr="00E60F16">
        <w:rPr>
          <w:rFonts w:ascii="Times New Roman" w:hAnsi="Times New Roman"/>
        </w:rPr>
        <w:t xml:space="preserve"> the quality of consultative services</w:t>
      </w:r>
      <w:r w:rsidRPr="00E60F16" w:rsidR="0024522D">
        <w:rPr>
          <w:rFonts w:ascii="Times New Roman" w:hAnsi="Times New Roman"/>
        </w:rPr>
        <w:t xml:space="preserve"> provided to small</w:t>
      </w:r>
      <w:r w:rsidRPr="00E60F16" w:rsidR="00973C3A">
        <w:rPr>
          <w:rFonts w:ascii="Times New Roman" w:hAnsi="Times New Roman"/>
        </w:rPr>
        <w:t xml:space="preserve">- and </w:t>
      </w:r>
      <w:r w:rsidR="00AE6E55">
        <w:rPr>
          <w:rFonts w:ascii="Times New Roman" w:hAnsi="Times New Roman"/>
        </w:rPr>
        <w:t>medium-sized</w:t>
      </w:r>
      <w:r w:rsidRPr="00E60F16" w:rsidR="0024522D">
        <w:rPr>
          <w:rFonts w:ascii="Times New Roman" w:hAnsi="Times New Roman"/>
        </w:rPr>
        <w:t xml:space="preserve"> business</w:t>
      </w:r>
      <w:r w:rsidRPr="00E60F16" w:rsidR="006F1EA1">
        <w:rPr>
          <w:rFonts w:ascii="Times New Roman" w:hAnsi="Times New Roman"/>
        </w:rPr>
        <w:t>es</w:t>
      </w:r>
      <w:r w:rsidRPr="00E60F16">
        <w:rPr>
          <w:rFonts w:ascii="Times New Roman" w:hAnsi="Times New Roman"/>
        </w:rPr>
        <w:t>.</w:t>
      </w:r>
      <w:r w:rsidRPr="00E60F16" w:rsidR="004D1F08">
        <w:rPr>
          <w:rFonts w:ascii="Times New Roman" w:hAnsi="Times New Roman"/>
        </w:rPr>
        <w:t xml:space="preserve">  </w:t>
      </w:r>
    </w:p>
    <w:p w:rsidR="002866A4" w:rsidRPr="00E60F16" w:rsidP="004D1F08" w14:paraId="6B9C90E6" w14:textId="77777777">
      <w:pPr>
        <w:pStyle w:val="ListParagraph"/>
        <w:rPr>
          <w:rFonts w:ascii="Times New Roman" w:hAnsi="Times New Roman"/>
        </w:rPr>
      </w:pPr>
    </w:p>
    <w:p w:rsidR="00DA21E5" w:rsidRPr="00E60F16" w:rsidP="00DA21E5" w14:paraId="706FADC1" w14:textId="77777777">
      <w:pPr>
        <w:pStyle w:val="ListParagraph"/>
        <w:rPr>
          <w:rFonts w:ascii="Times New Roman" w:hAnsi="Times New Roman"/>
        </w:rPr>
      </w:pPr>
      <w:r w:rsidRPr="00E60F16">
        <w:rPr>
          <w:rFonts w:ascii="Times New Roman" w:hAnsi="Times New Roman"/>
        </w:rPr>
        <w:t>The</w:t>
      </w:r>
      <w:r w:rsidRPr="00E60F16" w:rsidR="00B950A8">
        <w:rPr>
          <w:rFonts w:ascii="Times New Roman" w:hAnsi="Times New Roman"/>
        </w:rPr>
        <w:t xml:space="preserve"> </w:t>
      </w:r>
      <w:r w:rsidRPr="00E60F16" w:rsidR="00427455">
        <w:rPr>
          <w:rFonts w:ascii="Times New Roman" w:hAnsi="Times New Roman"/>
        </w:rPr>
        <w:t>approved OMB studies of the DRF33</w:t>
      </w:r>
      <w:r w:rsidRPr="00E60F16" w:rsidR="005F6570">
        <w:rPr>
          <w:rFonts w:ascii="Times New Roman" w:hAnsi="Times New Roman"/>
        </w:rPr>
        <w:t xml:space="preserve"> (i.e., OMB #1218-0280), include the following</w:t>
      </w:r>
      <w:r w:rsidRPr="00E60F16" w:rsidR="009566AD">
        <w:rPr>
          <w:rFonts w:ascii="Times New Roman" w:hAnsi="Times New Roman"/>
        </w:rPr>
        <w:t>:</w:t>
      </w:r>
      <w:r w:rsidRPr="00E60F16" w:rsidR="005C30E8">
        <w:rPr>
          <w:rFonts w:ascii="Times New Roman" w:hAnsi="Times New Roman"/>
        </w:rPr>
        <w:t xml:space="preserve"> a pre-test </w:t>
      </w:r>
      <w:r w:rsidRPr="00E60F16" w:rsidR="009566AD">
        <w:rPr>
          <w:rFonts w:ascii="Times New Roman" w:hAnsi="Times New Roman"/>
        </w:rPr>
        <w:t xml:space="preserve">using a maximum of </w:t>
      </w:r>
      <w:r w:rsidRPr="00E60F16" w:rsidR="005C30E8">
        <w:rPr>
          <w:rFonts w:ascii="Times New Roman" w:hAnsi="Times New Roman"/>
        </w:rPr>
        <w:t>20 consultation visits</w:t>
      </w:r>
      <w:r w:rsidRPr="00E60F16" w:rsidR="002E7A57">
        <w:rPr>
          <w:rFonts w:ascii="Times New Roman" w:hAnsi="Times New Roman"/>
        </w:rPr>
        <w:t xml:space="preserve"> to assess </w:t>
      </w:r>
      <w:r w:rsidRPr="00E60F16" w:rsidR="007674FF">
        <w:rPr>
          <w:rFonts w:ascii="Times New Roman" w:hAnsi="Times New Roman"/>
        </w:rPr>
        <w:t>Pilot Study procedures</w:t>
      </w:r>
      <w:r w:rsidRPr="00E60F16" w:rsidR="00406FFC">
        <w:rPr>
          <w:rFonts w:ascii="Times New Roman" w:hAnsi="Times New Roman"/>
        </w:rPr>
        <w:t xml:space="preserve"> and </w:t>
      </w:r>
      <w:r w:rsidRPr="00E60F16" w:rsidR="009566AD">
        <w:rPr>
          <w:rFonts w:ascii="Times New Roman" w:hAnsi="Times New Roman"/>
        </w:rPr>
        <w:t xml:space="preserve">the </w:t>
      </w:r>
      <w:r w:rsidRPr="00E60F16" w:rsidR="00406FFC">
        <w:rPr>
          <w:rFonts w:ascii="Times New Roman" w:hAnsi="Times New Roman"/>
        </w:rPr>
        <w:t>information technology platform,</w:t>
      </w:r>
      <w:r w:rsidRPr="00E60F16" w:rsidR="007674FF">
        <w:rPr>
          <w:rFonts w:ascii="Times New Roman" w:hAnsi="Times New Roman"/>
        </w:rPr>
        <w:t xml:space="preserve"> and </w:t>
      </w:r>
      <w:r w:rsidRPr="00E60F16" w:rsidR="00D87311">
        <w:rPr>
          <w:rFonts w:ascii="Times New Roman" w:hAnsi="Times New Roman"/>
        </w:rPr>
        <w:t xml:space="preserve">to </w:t>
      </w:r>
      <w:r w:rsidRPr="00E60F16" w:rsidR="007674FF">
        <w:rPr>
          <w:rFonts w:ascii="Times New Roman" w:hAnsi="Times New Roman"/>
        </w:rPr>
        <w:t>correct any issues</w:t>
      </w:r>
      <w:r w:rsidRPr="00E60F16" w:rsidR="002E7A57">
        <w:rPr>
          <w:rFonts w:ascii="Times New Roman" w:hAnsi="Times New Roman"/>
        </w:rPr>
        <w:t xml:space="preserve"> before launching the Pilot Study</w:t>
      </w:r>
      <w:r w:rsidRPr="00E60F16" w:rsidR="009566AD">
        <w:rPr>
          <w:rFonts w:ascii="Times New Roman" w:hAnsi="Times New Roman"/>
        </w:rPr>
        <w:t>;</w:t>
      </w:r>
      <w:r w:rsidRPr="00E60F16" w:rsidR="005C30E8">
        <w:rPr>
          <w:rFonts w:ascii="Times New Roman" w:hAnsi="Times New Roman"/>
        </w:rPr>
        <w:t xml:space="preserve"> </w:t>
      </w:r>
      <w:r w:rsidRPr="00E60F16" w:rsidR="009566AD">
        <w:rPr>
          <w:rFonts w:ascii="Times New Roman" w:hAnsi="Times New Roman"/>
        </w:rPr>
        <w:t xml:space="preserve">300 </w:t>
      </w:r>
      <w:r w:rsidRPr="00E60F16" w:rsidR="005C30E8">
        <w:rPr>
          <w:rFonts w:ascii="Times New Roman" w:hAnsi="Times New Roman"/>
        </w:rPr>
        <w:t>Pilot Study consultation visi</w:t>
      </w:r>
      <w:r w:rsidRPr="00E60F16" w:rsidR="006218DB">
        <w:rPr>
          <w:rFonts w:ascii="Times New Roman" w:hAnsi="Times New Roman"/>
        </w:rPr>
        <w:t>ts</w:t>
      </w:r>
      <w:r w:rsidRPr="00E60F16" w:rsidR="009566AD">
        <w:rPr>
          <w:rFonts w:ascii="Times New Roman" w:hAnsi="Times New Roman"/>
        </w:rPr>
        <w:t xml:space="preserve"> </w:t>
      </w:r>
      <w:r w:rsidRPr="00E60F16" w:rsidR="00110631">
        <w:rPr>
          <w:rFonts w:ascii="Times New Roman" w:hAnsi="Times New Roman"/>
        </w:rPr>
        <w:t>to small- and medium-sized business</w:t>
      </w:r>
      <w:r w:rsidRPr="00E60F16" w:rsidR="009566AD">
        <w:rPr>
          <w:rFonts w:ascii="Times New Roman" w:hAnsi="Times New Roman"/>
        </w:rPr>
        <w:t xml:space="preserve"> workplaces,</w:t>
      </w:r>
      <w:r w:rsidRPr="00E60F16" w:rsidR="00896519">
        <w:rPr>
          <w:rFonts w:ascii="Times New Roman" w:hAnsi="Times New Roman"/>
        </w:rPr>
        <w:t xml:space="preserve"> during which </w:t>
      </w:r>
      <w:r w:rsidRPr="00E60F16" w:rsidR="009566AD">
        <w:rPr>
          <w:rFonts w:ascii="Times New Roman" w:hAnsi="Times New Roman"/>
        </w:rPr>
        <w:t>350 SHP assessments</w:t>
      </w:r>
      <w:r w:rsidRPr="00E60F16" w:rsidR="00896519">
        <w:rPr>
          <w:rFonts w:ascii="Times New Roman" w:hAnsi="Times New Roman"/>
        </w:rPr>
        <w:t xml:space="preserve"> </w:t>
      </w:r>
      <w:r w:rsidRPr="00E60F16" w:rsidR="00B7792B">
        <w:rPr>
          <w:rFonts w:ascii="Times New Roman" w:hAnsi="Times New Roman"/>
        </w:rPr>
        <w:t>will be</w:t>
      </w:r>
      <w:r w:rsidRPr="00E60F16" w:rsidR="00896519">
        <w:rPr>
          <w:rFonts w:ascii="Times New Roman" w:hAnsi="Times New Roman"/>
        </w:rPr>
        <w:t xml:space="preserve"> conducted</w:t>
      </w:r>
      <w:r w:rsidRPr="00E60F16" w:rsidR="008735E6">
        <w:rPr>
          <w:rFonts w:ascii="Times New Roman" w:hAnsi="Times New Roman"/>
        </w:rPr>
        <w:t xml:space="preserve"> </w:t>
      </w:r>
      <w:r w:rsidRPr="00E60F16" w:rsidR="00B33E63">
        <w:rPr>
          <w:rFonts w:ascii="Times New Roman" w:hAnsi="Times New Roman"/>
        </w:rPr>
        <w:t xml:space="preserve">by consultants </w:t>
      </w:r>
      <w:r w:rsidRPr="00E60F16" w:rsidR="008735E6">
        <w:rPr>
          <w:rFonts w:ascii="Times New Roman" w:hAnsi="Times New Roman"/>
        </w:rPr>
        <w:t>using the DRF33</w:t>
      </w:r>
      <w:r w:rsidRPr="00E60F16" w:rsidR="009566AD">
        <w:rPr>
          <w:rFonts w:ascii="Times New Roman" w:hAnsi="Times New Roman"/>
        </w:rPr>
        <w:t xml:space="preserve">; </w:t>
      </w:r>
      <w:r w:rsidRPr="00E60F16" w:rsidR="00390135">
        <w:rPr>
          <w:rFonts w:ascii="Times New Roman" w:hAnsi="Times New Roman"/>
        </w:rPr>
        <w:t xml:space="preserve">Prospective Analysis involving </w:t>
      </w:r>
      <w:r w:rsidRPr="00E60F16" w:rsidR="00B33E63">
        <w:rPr>
          <w:rFonts w:ascii="Times New Roman" w:hAnsi="Times New Roman"/>
        </w:rPr>
        <w:t>injury and illness data collection</w:t>
      </w:r>
      <w:r w:rsidRPr="00E60F16" w:rsidR="00826B56">
        <w:rPr>
          <w:rFonts w:ascii="Times New Roman" w:hAnsi="Times New Roman"/>
        </w:rPr>
        <w:t xml:space="preserve"> by </w:t>
      </w:r>
      <w:r w:rsidRPr="00E60F16" w:rsidR="00C37292">
        <w:rPr>
          <w:rFonts w:ascii="Times New Roman" w:hAnsi="Times New Roman"/>
        </w:rPr>
        <w:t>consultants</w:t>
      </w:r>
      <w:r w:rsidRPr="00E60F16" w:rsidR="00B33E63">
        <w:rPr>
          <w:rFonts w:ascii="Times New Roman" w:hAnsi="Times New Roman"/>
        </w:rPr>
        <w:t xml:space="preserve"> </w:t>
      </w:r>
      <w:r w:rsidRPr="00E60F16" w:rsidR="009566AD">
        <w:rPr>
          <w:rFonts w:ascii="Times New Roman" w:hAnsi="Times New Roman"/>
        </w:rPr>
        <w:t xml:space="preserve">12 months after the consultation visits </w:t>
      </w:r>
      <w:r w:rsidRPr="00E60F16" w:rsidR="00E25AA7">
        <w:rPr>
          <w:rFonts w:ascii="Times New Roman" w:hAnsi="Times New Roman"/>
        </w:rPr>
        <w:t xml:space="preserve">to </w:t>
      </w:r>
      <w:r w:rsidRPr="00E60F16" w:rsidR="009566AD">
        <w:rPr>
          <w:rFonts w:ascii="Times New Roman" w:hAnsi="Times New Roman"/>
        </w:rPr>
        <w:t xml:space="preserve">assess any impact of the application of the DRF33; </w:t>
      </w:r>
      <w:r w:rsidRPr="00E60F16" w:rsidR="00896519">
        <w:rPr>
          <w:rFonts w:ascii="Times New Roman" w:hAnsi="Times New Roman"/>
        </w:rPr>
        <w:t>data analyses</w:t>
      </w:r>
      <w:r w:rsidRPr="00E60F16" w:rsidR="00857EF6">
        <w:rPr>
          <w:rFonts w:ascii="Times New Roman" w:hAnsi="Times New Roman"/>
        </w:rPr>
        <w:t xml:space="preserve"> to determine validity and reliability</w:t>
      </w:r>
      <w:r w:rsidRPr="00E60F16" w:rsidR="00896519">
        <w:rPr>
          <w:rFonts w:ascii="Times New Roman" w:hAnsi="Times New Roman"/>
        </w:rPr>
        <w:t xml:space="preserve">; </w:t>
      </w:r>
      <w:r w:rsidRPr="00E60F16" w:rsidR="009566AD">
        <w:rPr>
          <w:rFonts w:ascii="Times New Roman" w:hAnsi="Times New Roman"/>
        </w:rPr>
        <w:t xml:space="preserve">and a </w:t>
      </w:r>
      <w:r w:rsidRPr="00E60F16" w:rsidR="005C30E8">
        <w:rPr>
          <w:rFonts w:ascii="Times New Roman" w:hAnsi="Times New Roman"/>
        </w:rPr>
        <w:t xml:space="preserve">follow-up study </w:t>
      </w:r>
      <w:r w:rsidRPr="00E60F16" w:rsidR="009566AD">
        <w:rPr>
          <w:rFonts w:ascii="Times New Roman" w:hAnsi="Times New Roman"/>
        </w:rPr>
        <w:t xml:space="preserve">involving a maximum of </w:t>
      </w:r>
      <w:r w:rsidRPr="00E60F16" w:rsidR="005C30E8">
        <w:rPr>
          <w:rFonts w:ascii="Times New Roman" w:hAnsi="Times New Roman"/>
        </w:rPr>
        <w:t>30</w:t>
      </w:r>
      <w:r w:rsidRPr="00E60F16" w:rsidR="009566AD">
        <w:rPr>
          <w:rFonts w:ascii="Times New Roman" w:hAnsi="Times New Roman"/>
        </w:rPr>
        <w:t xml:space="preserve"> </w:t>
      </w:r>
      <w:r w:rsidRPr="00E60F16" w:rsidR="005C30E8">
        <w:rPr>
          <w:rFonts w:ascii="Times New Roman" w:hAnsi="Times New Roman"/>
        </w:rPr>
        <w:t>consultation visits</w:t>
      </w:r>
      <w:r w:rsidRPr="00E60F16" w:rsidR="009566AD">
        <w:rPr>
          <w:rFonts w:ascii="Times New Roman" w:hAnsi="Times New Roman"/>
        </w:rPr>
        <w:t>, when necessary</w:t>
      </w:r>
      <w:r w:rsidRPr="00E60F16" w:rsidR="002E7A57">
        <w:rPr>
          <w:rFonts w:ascii="Times New Roman" w:hAnsi="Times New Roman"/>
        </w:rPr>
        <w:t xml:space="preserve"> to assess any updates to the DR</w:t>
      </w:r>
      <w:r w:rsidRPr="00E60F16" w:rsidR="00406FFC">
        <w:rPr>
          <w:rFonts w:ascii="Times New Roman" w:hAnsi="Times New Roman"/>
        </w:rPr>
        <w:t xml:space="preserve">F33 resulting from </w:t>
      </w:r>
      <w:r w:rsidRPr="00E60F16" w:rsidR="009566AD">
        <w:rPr>
          <w:rFonts w:ascii="Times New Roman" w:hAnsi="Times New Roman"/>
        </w:rPr>
        <w:t>data analyses and other findings.</w:t>
      </w:r>
      <w:r w:rsidRPr="00E60F16" w:rsidR="00406FFC">
        <w:rPr>
          <w:rFonts w:ascii="Times New Roman" w:hAnsi="Times New Roman"/>
        </w:rPr>
        <w:t xml:space="preserve"> </w:t>
      </w:r>
    </w:p>
    <w:p w:rsidR="00C035C2" w:rsidRPr="00E60F16" w:rsidP="00DA21E5" w14:paraId="0769BC07" w14:textId="77777777">
      <w:pPr>
        <w:pStyle w:val="ListParagraph"/>
        <w:rPr>
          <w:rFonts w:ascii="Times New Roman" w:hAnsi="Times New Roman"/>
        </w:rPr>
      </w:pPr>
    </w:p>
    <w:p w:rsidR="00681248" w:rsidRPr="00E60F16" w:rsidP="00681248" w14:paraId="7E5F1635" w14:textId="77777777">
      <w:pPr>
        <w:pStyle w:val="ListParagraph"/>
        <w:rPr>
          <w:rFonts w:ascii="Times New Roman" w:hAnsi="Times New Roman"/>
          <w:bCs/>
        </w:rPr>
      </w:pPr>
      <w:r w:rsidRPr="00E60F16">
        <w:rPr>
          <w:rFonts w:ascii="Times New Roman" w:hAnsi="Times New Roman"/>
          <w:bCs/>
        </w:rPr>
        <w:t xml:space="preserve">Following OMB approval, OSHA commenced the </w:t>
      </w:r>
      <w:r w:rsidR="00AE6E55">
        <w:rPr>
          <w:rFonts w:ascii="Times New Roman" w:hAnsi="Times New Roman"/>
          <w:bCs/>
        </w:rPr>
        <w:t xml:space="preserve">DRF33 Pilot Study in July 2022. Since then, the pre-test has been completed; 280 pilot consultation visits with 326 SHP assessments using the DRF33 have been conducted during on-site consultation visits by Consultation programs nationwide, out of the total </w:t>
      </w:r>
      <w:r w:rsidRPr="00E60F16" w:rsidR="00D06C6B">
        <w:rPr>
          <w:rFonts w:ascii="Times New Roman" w:hAnsi="Times New Roman"/>
          <w:bCs/>
        </w:rPr>
        <w:t xml:space="preserve">350 planned.  </w:t>
      </w:r>
    </w:p>
    <w:p w:rsidR="00681248" w:rsidRPr="00E60F16" w:rsidP="00681248" w14:paraId="20E3DBE7" w14:textId="77777777">
      <w:pPr>
        <w:pStyle w:val="ListParagraph"/>
        <w:rPr>
          <w:rFonts w:ascii="Times New Roman" w:hAnsi="Times New Roman"/>
          <w:bCs/>
        </w:rPr>
      </w:pPr>
    </w:p>
    <w:p w:rsidR="00681248" w:rsidRPr="00E60F16" w:rsidP="00681248" w14:paraId="6077EF14" w14:textId="77777777">
      <w:pPr>
        <w:pStyle w:val="ListParagraph"/>
        <w:rPr>
          <w:rFonts w:ascii="Times New Roman" w:hAnsi="Times New Roman"/>
          <w:bCs/>
        </w:rPr>
      </w:pPr>
      <w:r w:rsidRPr="00E60F16">
        <w:rPr>
          <w:rFonts w:ascii="Times New Roman" w:hAnsi="Times New Roman"/>
          <w:bCs/>
        </w:rPr>
        <w:t>OSHA is requesting additional time to complete the r</w:t>
      </w:r>
      <w:r w:rsidR="009C2202">
        <w:rPr>
          <w:rFonts w:ascii="Times New Roman" w:hAnsi="Times New Roman"/>
          <w:bCs/>
        </w:rPr>
        <w:t>emaining studies</w:t>
      </w:r>
      <w:r w:rsidRPr="00E60F16">
        <w:rPr>
          <w:rFonts w:ascii="Times New Roman" w:hAnsi="Times New Roman"/>
          <w:bCs/>
        </w:rPr>
        <w:t>:</w:t>
      </w:r>
    </w:p>
    <w:p w:rsidR="00681248" w:rsidRPr="00E60F16" w:rsidP="00E60F16" w14:paraId="741BBB03" w14:textId="77777777">
      <w:pPr>
        <w:pStyle w:val="ListParagraph"/>
        <w:numPr>
          <w:ilvl w:val="0"/>
          <w:numId w:val="29"/>
        </w:numPr>
        <w:rPr>
          <w:rFonts w:ascii="Times New Roman" w:hAnsi="Times New Roman"/>
          <w:bCs/>
        </w:rPr>
      </w:pPr>
      <w:r w:rsidRPr="00E60F16">
        <w:rPr>
          <w:rFonts w:ascii="Times New Roman" w:hAnsi="Times New Roman"/>
          <w:bCs/>
        </w:rPr>
        <w:t>20 pilot consultation visits with 24 SHP assessments</w:t>
      </w:r>
      <w:r w:rsidR="009C2202">
        <w:rPr>
          <w:rFonts w:ascii="Times New Roman" w:hAnsi="Times New Roman"/>
          <w:bCs/>
        </w:rPr>
        <w:t>;</w:t>
      </w:r>
      <w:r w:rsidRPr="00E60F16">
        <w:rPr>
          <w:rFonts w:ascii="Times New Roman" w:hAnsi="Times New Roman"/>
          <w:bCs/>
        </w:rPr>
        <w:t xml:space="preserve">  </w:t>
      </w:r>
    </w:p>
    <w:p w:rsidR="00681248" w:rsidRPr="00E60F16" w:rsidP="00E60F16" w14:paraId="66E25FBE" w14:textId="77777777">
      <w:pPr>
        <w:pStyle w:val="ListParagraph"/>
        <w:numPr>
          <w:ilvl w:val="0"/>
          <w:numId w:val="29"/>
        </w:numPr>
        <w:rPr>
          <w:rFonts w:ascii="Times New Roman" w:hAnsi="Times New Roman"/>
          <w:bCs/>
        </w:rPr>
      </w:pPr>
      <w:r w:rsidRPr="00E60F16">
        <w:rPr>
          <w:rFonts w:ascii="Times New Roman" w:hAnsi="Times New Roman"/>
          <w:bCs/>
        </w:rPr>
        <w:t xml:space="preserve">Prospective Injury and Illness Data Analysis: All 300 pilot consultation visits require prospective injury and illness data collected from employers 12 months from the visit date by consultants, via phone, email, fax, etcetera; </w:t>
      </w:r>
    </w:p>
    <w:p w:rsidR="00681248" w:rsidRPr="00E60F16" w:rsidP="00E60F16" w14:paraId="157FED65" w14:textId="77777777">
      <w:pPr>
        <w:pStyle w:val="ListParagraph"/>
        <w:numPr>
          <w:ilvl w:val="0"/>
          <w:numId w:val="29"/>
        </w:numPr>
        <w:rPr>
          <w:rFonts w:ascii="Times New Roman" w:hAnsi="Times New Roman"/>
          <w:bCs/>
        </w:rPr>
      </w:pPr>
      <w:r w:rsidRPr="00E60F16">
        <w:rPr>
          <w:rFonts w:ascii="Times New Roman" w:hAnsi="Times New Roman"/>
          <w:bCs/>
        </w:rPr>
        <w:t xml:space="preserve">Data analyses to assess </w:t>
      </w:r>
      <w:r w:rsidRPr="00E60F16" w:rsidR="001739DE">
        <w:rPr>
          <w:rFonts w:ascii="Times New Roman" w:hAnsi="Times New Roman"/>
          <w:bCs/>
        </w:rPr>
        <w:t xml:space="preserve">the </w:t>
      </w:r>
      <w:r w:rsidRPr="00E60F16">
        <w:rPr>
          <w:rFonts w:ascii="Times New Roman" w:hAnsi="Times New Roman"/>
          <w:bCs/>
        </w:rPr>
        <w:t>validity and reliability of the DRF33;</w:t>
      </w:r>
      <w:r w:rsidRPr="00E60F16" w:rsidR="0023172B">
        <w:rPr>
          <w:rFonts w:ascii="Times New Roman" w:hAnsi="Times New Roman"/>
          <w:bCs/>
        </w:rPr>
        <w:t xml:space="preserve"> and</w:t>
      </w:r>
    </w:p>
    <w:p w:rsidR="00681248" w:rsidRPr="00E60F16" w:rsidP="00E60F16" w14:paraId="67C2E859" w14:textId="77777777">
      <w:pPr>
        <w:pStyle w:val="ListParagraph"/>
        <w:numPr>
          <w:ilvl w:val="0"/>
          <w:numId w:val="29"/>
        </w:numPr>
        <w:rPr>
          <w:rFonts w:ascii="Times New Roman" w:hAnsi="Times New Roman"/>
          <w:bCs/>
        </w:rPr>
      </w:pPr>
      <w:r w:rsidRPr="00E60F16">
        <w:rPr>
          <w:rFonts w:ascii="Times New Roman" w:hAnsi="Times New Roman"/>
          <w:bCs/>
        </w:rPr>
        <w:t xml:space="preserve">Any follow-up </w:t>
      </w:r>
      <w:r w:rsidRPr="00E60F16" w:rsidR="007153DE">
        <w:rPr>
          <w:rFonts w:ascii="Times New Roman" w:hAnsi="Times New Roman"/>
          <w:bCs/>
        </w:rPr>
        <w:t xml:space="preserve">consultation visits with </w:t>
      </w:r>
      <w:r w:rsidRPr="00E60F16">
        <w:rPr>
          <w:rFonts w:ascii="Times New Roman" w:hAnsi="Times New Roman"/>
          <w:bCs/>
        </w:rPr>
        <w:t>SHP assessments required.</w:t>
      </w:r>
    </w:p>
    <w:p w:rsidR="00DA21E5" w:rsidRPr="00E60F16" w:rsidP="00C37292" w14:paraId="3B588210" w14:textId="77777777">
      <w:pPr>
        <w:rPr>
          <w:rFonts w:ascii="Times New Roman" w:hAnsi="Times New Roman"/>
        </w:rPr>
      </w:pPr>
    </w:p>
    <w:p w:rsidR="00491144" w:rsidRPr="00E60F16" w:rsidP="00491144" w14:paraId="4D827096" w14:textId="065C7DB4">
      <w:pPr>
        <w:pStyle w:val="ListParagraph"/>
        <w:rPr>
          <w:rFonts w:ascii="Times New Roman" w:hAnsi="Times New Roman"/>
        </w:rPr>
      </w:pPr>
      <w:r w:rsidRPr="00E60F16">
        <w:rPr>
          <w:rFonts w:ascii="Times New Roman" w:hAnsi="Times New Roman"/>
        </w:rPr>
        <w:t>After completing the Pilot Study OSHA will request</w:t>
      </w:r>
      <w:r w:rsidR="00677640">
        <w:rPr>
          <w:rFonts w:ascii="Times New Roman" w:hAnsi="Times New Roman"/>
        </w:rPr>
        <w:t xml:space="preserve"> an </w:t>
      </w:r>
      <w:r w:rsidRPr="00E60F16">
        <w:rPr>
          <w:rFonts w:ascii="Times New Roman" w:hAnsi="Times New Roman"/>
        </w:rPr>
        <w:t xml:space="preserve">OMB </w:t>
      </w:r>
      <w:r w:rsidR="00677640">
        <w:rPr>
          <w:rFonts w:ascii="Times New Roman" w:hAnsi="Times New Roman"/>
        </w:rPr>
        <w:t xml:space="preserve">revision </w:t>
      </w:r>
      <w:r w:rsidRPr="00E60F16">
        <w:rPr>
          <w:rFonts w:ascii="Times New Roman" w:hAnsi="Times New Roman"/>
        </w:rPr>
        <w:t xml:space="preserve">approval before implementing the DRF33 for use by state On-Site Consultation programs nationwide (to replace the current Form 33).    </w:t>
      </w:r>
    </w:p>
    <w:p w:rsidR="002453DA" w:rsidRPr="00E60F16" w:rsidP="00E22B8F" w14:paraId="2025FCFE" w14:textId="77777777">
      <w:pPr>
        <w:pStyle w:val="ListParagraph"/>
        <w:rPr>
          <w:rFonts w:ascii="Times New Roman" w:hAnsi="Times New Roman"/>
        </w:rPr>
      </w:pPr>
    </w:p>
    <w:p w:rsidR="00690F56" w:rsidRPr="00E60F16" w:rsidP="00183E80" w14:paraId="6C674F39" w14:textId="77777777">
      <w:pPr>
        <w:rPr>
          <w:rFonts w:ascii="Times New Roman" w:hAnsi="Times New Roman"/>
        </w:rPr>
      </w:pPr>
    </w:p>
    <w:p w:rsidR="00D8641F" w:rsidRPr="00E60F16" w:rsidP="00693D26" w14:paraId="52572B54" w14:textId="77777777">
      <w:pPr>
        <w:widowControl/>
        <w:autoSpaceDE/>
        <w:autoSpaceDN/>
        <w:adjustRightInd/>
        <w:spacing w:after="160" w:line="259" w:lineRule="auto"/>
        <w:ind w:left="720" w:hanging="360"/>
        <w:contextualSpacing/>
        <w:rPr>
          <w:rFonts w:ascii="Times New Roman" w:hAnsi="Times New Roman"/>
          <w:b/>
          <w:bCs/>
        </w:rPr>
      </w:pPr>
      <w:r w:rsidRPr="00E60F16">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r w:rsidRPr="00E60F16" w:rsidR="0083513F">
        <w:rPr>
          <w:rFonts w:ascii="Times New Roman" w:hAnsi="Times New Roman"/>
          <w:b/>
          <w:bCs/>
        </w:rPr>
        <w:t xml:space="preserve"> </w:t>
      </w:r>
    </w:p>
    <w:p w:rsidR="006B6430" w:rsidRPr="00E60F16" w:rsidP="000E01FA" w14:paraId="75260576" w14:textId="77777777">
      <w:pPr>
        <w:widowControl/>
        <w:autoSpaceDE/>
        <w:autoSpaceDN/>
        <w:adjustRightInd/>
        <w:spacing w:after="160" w:line="259" w:lineRule="auto"/>
        <w:contextualSpacing/>
        <w:rPr>
          <w:rFonts w:ascii="Times New Roman" w:hAnsi="Times New Roman"/>
          <w:b/>
          <w:bCs/>
        </w:rPr>
      </w:pPr>
    </w:p>
    <w:p w:rsidR="00854CA0" w:rsidRPr="00E60F16" w:rsidP="00C7129F" w14:paraId="4EAC78CD" w14:textId="77777777">
      <w:pPr>
        <w:widowControl/>
        <w:autoSpaceDE/>
        <w:autoSpaceDN/>
        <w:adjustRightInd/>
        <w:spacing w:after="160" w:line="259" w:lineRule="auto"/>
        <w:ind w:left="720"/>
        <w:contextualSpacing/>
        <w:rPr>
          <w:rFonts w:ascii="Times New Roman" w:hAnsi="Times New Roman"/>
        </w:rPr>
      </w:pPr>
      <w:r w:rsidRPr="00E60F16">
        <w:rPr>
          <w:rFonts w:ascii="Times New Roman" w:hAnsi="Times New Roman"/>
          <w:b/>
          <w:u w:val="single"/>
        </w:rPr>
        <w:t>Pilot Study</w:t>
      </w:r>
    </w:p>
    <w:p w:rsidR="0076575F" w:rsidRPr="00E60F16" w:rsidP="0071413E" w14:paraId="49A330E8" w14:textId="77777777">
      <w:pPr>
        <w:ind w:left="720"/>
        <w:rPr>
          <w:rFonts w:ascii="Times New Roman" w:hAnsi="Times New Roman"/>
        </w:rPr>
      </w:pPr>
      <w:r w:rsidRPr="00E60F16">
        <w:rPr>
          <w:rFonts w:ascii="Times New Roman" w:hAnsi="Times New Roman"/>
        </w:rPr>
        <w:t>T</w:t>
      </w:r>
      <w:r w:rsidRPr="00E60F16" w:rsidR="00D8641F">
        <w:rPr>
          <w:rFonts w:ascii="Times New Roman" w:hAnsi="Times New Roman"/>
        </w:rPr>
        <w:t xml:space="preserve">he Pilot Study </w:t>
      </w:r>
      <w:r w:rsidRPr="00E60F16" w:rsidR="00091A20">
        <w:rPr>
          <w:rFonts w:ascii="Times New Roman" w:hAnsi="Times New Roman"/>
        </w:rPr>
        <w:t>is being</w:t>
      </w:r>
      <w:r w:rsidRPr="00E60F16" w:rsidR="00D8641F">
        <w:rPr>
          <w:rFonts w:ascii="Times New Roman" w:hAnsi="Times New Roman"/>
        </w:rPr>
        <w:t xml:space="preserve"> conducted by DCSP/OSBA in collaboration with subject matter experts (i.e., occupational safety and health experts, psychometrician</w:t>
      </w:r>
      <w:r w:rsidRPr="00E60F16" w:rsidR="006972A5">
        <w:rPr>
          <w:rFonts w:ascii="Times New Roman" w:hAnsi="Times New Roman"/>
        </w:rPr>
        <w:t>s</w:t>
      </w:r>
      <w:r w:rsidRPr="00E60F16" w:rsidR="00D8641F">
        <w:rPr>
          <w:rFonts w:ascii="Times New Roman" w:hAnsi="Times New Roman"/>
        </w:rPr>
        <w:t>/statistician</w:t>
      </w:r>
      <w:r w:rsidRPr="00E60F16" w:rsidR="006972A5">
        <w:rPr>
          <w:rFonts w:ascii="Times New Roman" w:hAnsi="Times New Roman"/>
        </w:rPr>
        <w:t>s</w:t>
      </w:r>
      <w:r w:rsidRPr="00E60F16" w:rsidR="005F02B2">
        <w:rPr>
          <w:rFonts w:ascii="Times New Roman" w:hAnsi="Times New Roman"/>
        </w:rPr>
        <w:t xml:space="preserve">, </w:t>
      </w:r>
      <w:r w:rsidRPr="00E60F16" w:rsidR="006972A5">
        <w:rPr>
          <w:rFonts w:ascii="Times New Roman" w:hAnsi="Times New Roman"/>
        </w:rPr>
        <w:t xml:space="preserve">and </w:t>
      </w:r>
      <w:r w:rsidRPr="00E60F16" w:rsidR="005F02B2">
        <w:rPr>
          <w:rFonts w:ascii="Times New Roman" w:hAnsi="Times New Roman"/>
        </w:rPr>
        <w:t>economist</w:t>
      </w:r>
      <w:r w:rsidRPr="00E60F16" w:rsidR="00D20C6F">
        <w:rPr>
          <w:rFonts w:ascii="Times New Roman" w:hAnsi="Times New Roman"/>
        </w:rPr>
        <w:t>s</w:t>
      </w:r>
      <w:r w:rsidRPr="00E60F16" w:rsidR="00D8641F">
        <w:rPr>
          <w:rFonts w:ascii="Times New Roman" w:hAnsi="Times New Roman"/>
        </w:rPr>
        <w:t xml:space="preserve">) from </w:t>
      </w:r>
      <w:r w:rsidRPr="00E60F16">
        <w:rPr>
          <w:rFonts w:ascii="Times New Roman" w:hAnsi="Times New Roman"/>
        </w:rPr>
        <w:t xml:space="preserve">OSHA and </w:t>
      </w:r>
      <w:r w:rsidRPr="00E60F16" w:rsidR="001C631A">
        <w:rPr>
          <w:rFonts w:ascii="Times New Roman" w:hAnsi="Times New Roman"/>
        </w:rPr>
        <w:t>s</w:t>
      </w:r>
      <w:r w:rsidRPr="00E60F16">
        <w:rPr>
          <w:rFonts w:ascii="Times New Roman" w:hAnsi="Times New Roman"/>
        </w:rPr>
        <w:t>tate On-Site Consultation programs operated by the</w:t>
      </w:r>
      <w:r w:rsidRPr="00E60F16" w:rsidR="00D8641F">
        <w:rPr>
          <w:rFonts w:ascii="Times New Roman" w:hAnsi="Times New Roman"/>
        </w:rPr>
        <w:t xml:space="preserve"> University of South Florida and the Georgia Institute of Technology.  </w:t>
      </w:r>
    </w:p>
    <w:p w:rsidR="00C13A87" w:rsidRPr="00E60F16" w:rsidP="0071413E" w14:paraId="1498055B" w14:textId="77777777">
      <w:pPr>
        <w:ind w:left="720"/>
        <w:rPr>
          <w:rFonts w:ascii="Times New Roman" w:hAnsi="Times New Roman"/>
        </w:rPr>
      </w:pPr>
    </w:p>
    <w:p w:rsidR="002F0A24" w:rsidRPr="00E60F16" w:rsidP="00B33D48" w14:paraId="27123C11" w14:textId="77777777">
      <w:pPr>
        <w:ind w:left="720"/>
        <w:rPr>
          <w:rFonts w:ascii="Times New Roman" w:hAnsi="Times New Roman"/>
        </w:rPr>
      </w:pPr>
      <w:r w:rsidRPr="00E60F16">
        <w:rPr>
          <w:rFonts w:ascii="Times New Roman" w:hAnsi="Times New Roman"/>
        </w:rPr>
        <w:t>The purpose of the Pilot Study is to assess the reliability and validity of the DRF33 prior to implementing it for use by On-Site Consultation programs (to replace the current Form 33).  Consultants participating in the Pilot Study follow the policies and procedures in the CPPM for conducting consultation visits, including SHP assessments.  The D</w:t>
      </w:r>
      <w:r w:rsidRPr="00E60F16" w:rsidR="000C1849">
        <w:rPr>
          <w:rFonts w:ascii="Times New Roman" w:hAnsi="Times New Roman"/>
        </w:rPr>
        <w:t>RF33 w</w:t>
      </w:r>
      <w:r w:rsidRPr="00E60F16" w:rsidR="00091A20">
        <w:rPr>
          <w:rFonts w:ascii="Times New Roman" w:hAnsi="Times New Roman"/>
        </w:rPr>
        <w:t>as</w:t>
      </w:r>
      <w:r w:rsidRPr="00E60F16" w:rsidR="000C1849">
        <w:rPr>
          <w:rFonts w:ascii="Times New Roman" w:hAnsi="Times New Roman"/>
        </w:rPr>
        <w:t xml:space="preserve"> uploaded into a </w:t>
      </w:r>
      <w:r w:rsidR="00AE6E55">
        <w:rPr>
          <w:rFonts w:ascii="Times New Roman" w:hAnsi="Times New Roman"/>
        </w:rPr>
        <w:t>cloud-based data entry tool developed specifically for the Pilot Study using the Qualtrics survey system</w:t>
      </w:r>
      <w:r w:rsidRPr="00E60F16" w:rsidR="000C1849">
        <w:rPr>
          <w:rFonts w:ascii="Times New Roman" w:hAnsi="Times New Roman"/>
        </w:rPr>
        <w:t xml:space="preserve"> for consultants to enter SHP assessment information</w:t>
      </w:r>
      <w:r w:rsidRPr="00E60F16">
        <w:rPr>
          <w:rFonts w:ascii="Times New Roman" w:hAnsi="Times New Roman"/>
        </w:rPr>
        <w:t xml:space="preserve">.  </w:t>
      </w:r>
      <w:r w:rsidRPr="00E60F16" w:rsidR="00ED22CE">
        <w:rPr>
          <w:rFonts w:ascii="Times New Roman" w:hAnsi="Times New Roman"/>
        </w:rPr>
        <w:t xml:space="preserve">The ARG </w:t>
      </w:r>
      <w:r w:rsidRPr="00E60F16" w:rsidR="00091A20">
        <w:rPr>
          <w:rFonts w:ascii="Times New Roman" w:hAnsi="Times New Roman"/>
        </w:rPr>
        <w:t>was also</w:t>
      </w:r>
      <w:r w:rsidRPr="00E60F16" w:rsidR="00ED22CE">
        <w:rPr>
          <w:rFonts w:ascii="Times New Roman" w:hAnsi="Times New Roman"/>
        </w:rPr>
        <w:t xml:space="preserve"> uploaded into Qualtrics as a job aid for consultants.  </w:t>
      </w:r>
      <w:r w:rsidRPr="00E60F16" w:rsidR="005A42ED">
        <w:rPr>
          <w:rFonts w:ascii="Times New Roman" w:hAnsi="Times New Roman"/>
        </w:rPr>
        <w:t xml:space="preserve">In addition, consultants </w:t>
      </w:r>
      <w:r w:rsidRPr="00E60F16" w:rsidR="00091A20">
        <w:rPr>
          <w:rFonts w:ascii="Times New Roman" w:hAnsi="Times New Roman"/>
        </w:rPr>
        <w:t>are</w:t>
      </w:r>
      <w:r w:rsidRPr="00E60F16" w:rsidR="005A42ED">
        <w:rPr>
          <w:rFonts w:ascii="Times New Roman" w:hAnsi="Times New Roman"/>
        </w:rPr>
        <w:t xml:space="preserve"> able to provide general feedback about their application of the DRF33 and ARG through six (6) optional </w:t>
      </w:r>
      <w:r w:rsidRPr="00E60F16" w:rsidR="00B0357B">
        <w:rPr>
          <w:rFonts w:ascii="Times New Roman" w:hAnsi="Times New Roman"/>
        </w:rPr>
        <w:t>survey</w:t>
      </w:r>
      <w:r w:rsidRPr="00E60F16" w:rsidR="005A42ED">
        <w:rPr>
          <w:rFonts w:ascii="Times New Roman" w:hAnsi="Times New Roman"/>
        </w:rPr>
        <w:t xml:space="preserve"> questions</w:t>
      </w:r>
      <w:r w:rsidRPr="00E60F16" w:rsidR="00091A20">
        <w:rPr>
          <w:rFonts w:ascii="Times New Roman" w:hAnsi="Times New Roman"/>
        </w:rPr>
        <w:t xml:space="preserve"> in Qualtrics</w:t>
      </w:r>
      <w:r w:rsidRPr="00E60F16" w:rsidR="000C1849">
        <w:rPr>
          <w:rFonts w:ascii="Times New Roman" w:hAnsi="Times New Roman"/>
        </w:rPr>
        <w:t>.</w:t>
      </w:r>
    </w:p>
    <w:p w:rsidR="0076575F" w:rsidRPr="00E60F16" w:rsidP="00AA1CC1" w14:paraId="01972103" w14:textId="77777777">
      <w:pPr>
        <w:rPr>
          <w:rFonts w:ascii="Times New Roman" w:hAnsi="Times New Roman"/>
        </w:rPr>
      </w:pPr>
    </w:p>
    <w:p w:rsidR="005A42ED" w:rsidRPr="00E60F16" w:rsidP="00C13A87" w14:paraId="1DDA127C" w14:textId="77777777">
      <w:pPr>
        <w:ind w:left="720"/>
        <w:rPr>
          <w:rFonts w:ascii="Times New Roman" w:hAnsi="Times New Roman"/>
        </w:rPr>
      </w:pPr>
      <w:r w:rsidRPr="00E60F16">
        <w:rPr>
          <w:rFonts w:ascii="Times New Roman" w:hAnsi="Times New Roman"/>
        </w:rPr>
        <w:t>The Pilot Study involve</w:t>
      </w:r>
      <w:r w:rsidRPr="00E60F16" w:rsidR="003F59F2">
        <w:rPr>
          <w:rFonts w:ascii="Times New Roman" w:hAnsi="Times New Roman"/>
        </w:rPr>
        <w:t>s</w:t>
      </w:r>
      <w:r w:rsidRPr="00E60F16">
        <w:rPr>
          <w:rFonts w:ascii="Times New Roman" w:hAnsi="Times New Roman"/>
        </w:rPr>
        <w:t xml:space="preserve"> </w:t>
      </w:r>
      <w:r w:rsidRPr="00E60F16" w:rsidR="003A4C6D">
        <w:rPr>
          <w:rFonts w:ascii="Times New Roman" w:hAnsi="Times New Roman"/>
        </w:rPr>
        <w:t>a minimum of</w:t>
      </w:r>
      <w:r w:rsidRPr="00E60F16" w:rsidR="00462BAA">
        <w:rPr>
          <w:rFonts w:ascii="Times New Roman" w:hAnsi="Times New Roman"/>
        </w:rPr>
        <w:t xml:space="preserve"> 200 </w:t>
      </w:r>
      <w:r w:rsidRPr="00E60F16">
        <w:rPr>
          <w:rFonts w:ascii="Times New Roman" w:hAnsi="Times New Roman"/>
        </w:rPr>
        <w:t xml:space="preserve">trained safety and health consultants from </w:t>
      </w:r>
      <w:r w:rsidRPr="00E60F16" w:rsidR="001C631A">
        <w:rPr>
          <w:rFonts w:ascii="Times New Roman" w:hAnsi="Times New Roman"/>
        </w:rPr>
        <w:t>s</w:t>
      </w:r>
      <w:r w:rsidRPr="00E60F16">
        <w:rPr>
          <w:rFonts w:ascii="Times New Roman" w:hAnsi="Times New Roman"/>
        </w:rPr>
        <w:t>tate On-Site Consultation programs nationwide using the DRF33 (instead of the current OSHA Form 33)</w:t>
      </w:r>
      <w:r w:rsidRPr="00E60F16" w:rsidR="00C13A87">
        <w:rPr>
          <w:rFonts w:ascii="Times New Roman" w:hAnsi="Times New Roman"/>
        </w:rPr>
        <w:t xml:space="preserve"> to conduct comprehensive SHP assessments of small- and medium-sized workplaces during consultation visits, when employers request such consultative services (provided to employers at no cost).  </w:t>
      </w:r>
      <w:r w:rsidRPr="00E60F16" w:rsidR="00835255">
        <w:rPr>
          <w:rFonts w:ascii="Times New Roman" w:hAnsi="Times New Roman"/>
        </w:rPr>
        <w:t>Consultants are referred to as respondents in Table 1a for data collection purpose</w:t>
      </w:r>
      <w:r w:rsidR="00497AC7">
        <w:rPr>
          <w:rFonts w:ascii="Times New Roman" w:hAnsi="Times New Roman"/>
        </w:rPr>
        <w:t>s</w:t>
      </w:r>
      <w:r w:rsidRPr="00E60F16" w:rsidR="00835255">
        <w:rPr>
          <w:rFonts w:ascii="Times New Roman" w:hAnsi="Times New Roman"/>
        </w:rPr>
        <w:t xml:space="preserve"> because consultants </w:t>
      </w:r>
      <w:r w:rsidRPr="00E60F16" w:rsidR="00091A20">
        <w:rPr>
          <w:rFonts w:ascii="Times New Roman" w:hAnsi="Times New Roman"/>
        </w:rPr>
        <w:t>collect</w:t>
      </w:r>
      <w:r w:rsidRPr="00E60F16" w:rsidR="00835255">
        <w:rPr>
          <w:rFonts w:ascii="Times New Roman" w:hAnsi="Times New Roman"/>
        </w:rPr>
        <w:t xml:space="preserve"> SHP information when they assess employers’ workplaces, and complet</w:t>
      </w:r>
      <w:r w:rsidRPr="00E60F16" w:rsidR="00091A20">
        <w:rPr>
          <w:rFonts w:ascii="Times New Roman" w:hAnsi="Times New Roman"/>
        </w:rPr>
        <w:t>e</w:t>
      </w:r>
      <w:r w:rsidRPr="00E60F16" w:rsidR="00835255">
        <w:rPr>
          <w:rFonts w:ascii="Times New Roman" w:hAnsi="Times New Roman"/>
        </w:rPr>
        <w:t xml:space="preserve"> the DRF33 with their findings and recommendations.  Employers </w:t>
      </w:r>
      <w:r w:rsidRPr="00E60F16" w:rsidR="005C008A">
        <w:rPr>
          <w:rFonts w:ascii="Times New Roman" w:hAnsi="Times New Roman"/>
        </w:rPr>
        <w:t xml:space="preserve">do </w:t>
      </w:r>
      <w:r w:rsidRPr="00E60F16" w:rsidR="00835255">
        <w:rPr>
          <w:rFonts w:ascii="Times New Roman" w:hAnsi="Times New Roman"/>
        </w:rPr>
        <w:t>not complete the DRF33 but receive copies of the completed DRF33 and can use the information to improve the SHP for their workplaces.</w:t>
      </w:r>
    </w:p>
    <w:p w:rsidR="00150946" w:rsidRPr="00E60F16" w:rsidP="00C13A87" w14:paraId="5203E0D6" w14:textId="77777777">
      <w:pPr>
        <w:ind w:left="720"/>
        <w:rPr>
          <w:rFonts w:ascii="Times New Roman" w:hAnsi="Times New Roman"/>
        </w:rPr>
      </w:pPr>
    </w:p>
    <w:p w:rsidR="00C13A87" w:rsidRPr="00E60F16" w:rsidP="002E23E5" w14:paraId="79D54326" w14:textId="77777777">
      <w:pPr>
        <w:ind w:left="720"/>
        <w:rPr>
          <w:rFonts w:ascii="Times New Roman" w:hAnsi="Times New Roman"/>
        </w:rPr>
      </w:pPr>
      <w:r w:rsidRPr="00E60F16">
        <w:rPr>
          <w:rFonts w:ascii="Times New Roman" w:hAnsi="Times New Roman"/>
        </w:rPr>
        <w:t>Ideally</w:t>
      </w:r>
      <w:r w:rsidRPr="00E60F16" w:rsidR="00563C76">
        <w:rPr>
          <w:rFonts w:ascii="Times New Roman" w:hAnsi="Times New Roman"/>
        </w:rPr>
        <w:t xml:space="preserve"> during a consultation visit</w:t>
      </w:r>
      <w:r w:rsidRPr="00E60F16">
        <w:rPr>
          <w:rFonts w:ascii="Times New Roman" w:hAnsi="Times New Roman"/>
        </w:rPr>
        <w:t>, consultants assess employers’ workplaces</w:t>
      </w:r>
      <w:r w:rsidRPr="00E60F16" w:rsidR="00563C76">
        <w:rPr>
          <w:rFonts w:ascii="Times New Roman" w:hAnsi="Times New Roman"/>
        </w:rPr>
        <w:t xml:space="preserve"> to identify hazards</w:t>
      </w:r>
      <w:r w:rsidRPr="00E60F16">
        <w:rPr>
          <w:rFonts w:ascii="Times New Roman" w:hAnsi="Times New Roman"/>
        </w:rPr>
        <w:t>; review relevant occupational safety and health documents (e.g., illness and injury logs, investigation reports, inspection records); and interview managers, supervisors, and workers</w:t>
      </w:r>
      <w:r w:rsidRPr="00E60F16" w:rsidR="004F3369">
        <w:rPr>
          <w:rFonts w:ascii="Times New Roman" w:hAnsi="Times New Roman"/>
        </w:rPr>
        <w:t>,</w:t>
      </w:r>
      <w:r w:rsidRPr="00E60F16">
        <w:rPr>
          <w:rFonts w:ascii="Times New Roman" w:hAnsi="Times New Roman"/>
        </w:rPr>
        <w:t xml:space="preserve"> to collect SHP information that </w:t>
      </w:r>
      <w:r w:rsidRPr="00E60F16" w:rsidR="004F3369">
        <w:rPr>
          <w:rFonts w:ascii="Times New Roman" w:hAnsi="Times New Roman"/>
        </w:rPr>
        <w:t>is</w:t>
      </w:r>
      <w:r w:rsidRPr="00E60F16">
        <w:rPr>
          <w:rFonts w:ascii="Times New Roman" w:hAnsi="Times New Roman"/>
        </w:rPr>
        <w:t xml:space="preserve"> documented in the DRF33.  C</w:t>
      </w:r>
      <w:r w:rsidRPr="00E60F16" w:rsidR="002F0A24">
        <w:rPr>
          <w:rFonts w:ascii="Times New Roman" w:hAnsi="Times New Roman"/>
        </w:rPr>
        <w:t xml:space="preserve">onsultants </w:t>
      </w:r>
      <w:r w:rsidRPr="00E60F16">
        <w:rPr>
          <w:rFonts w:ascii="Times New Roman" w:hAnsi="Times New Roman"/>
        </w:rPr>
        <w:t>document the following information in the DRF33 for each attribute assessed: summary of findings based</w:t>
      </w:r>
      <w:r w:rsidRPr="00E60F16" w:rsidR="005A42ED">
        <w:rPr>
          <w:rFonts w:ascii="Times New Roman" w:hAnsi="Times New Roman"/>
        </w:rPr>
        <w:t xml:space="preserve"> upon workplace SHP assessments;</w:t>
      </w:r>
      <w:r w:rsidRPr="00E60F16">
        <w:rPr>
          <w:rFonts w:ascii="Times New Roman" w:hAnsi="Times New Roman"/>
        </w:rPr>
        <w:t xml:space="preserve"> ratings for each of the </w:t>
      </w:r>
      <w:r w:rsidRPr="00E60F16" w:rsidR="008F4868">
        <w:rPr>
          <w:rFonts w:ascii="Times New Roman" w:hAnsi="Times New Roman"/>
        </w:rPr>
        <w:t xml:space="preserve">attributes (i.e., </w:t>
      </w:r>
      <w:r w:rsidRPr="00E60F16">
        <w:rPr>
          <w:rFonts w:ascii="Times New Roman" w:hAnsi="Times New Roman"/>
        </w:rPr>
        <w:t>SHP assessment criteria</w:t>
      </w:r>
      <w:r w:rsidRPr="00E60F16" w:rsidR="008F4868">
        <w:rPr>
          <w:rFonts w:ascii="Times New Roman" w:hAnsi="Times New Roman"/>
        </w:rPr>
        <w:t>)</w:t>
      </w:r>
      <w:r w:rsidRPr="00E60F16" w:rsidR="002F0A24">
        <w:rPr>
          <w:rFonts w:ascii="Times New Roman" w:hAnsi="Times New Roman"/>
        </w:rPr>
        <w:t xml:space="preserve"> based on findings</w:t>
      </w:r>
      <w:r w:rsidRPr="00E60F16" w:rsidR="005A42ED">
        <w:rPr>
          <w:rFonts w:ascii="Times New Roman" w:hAnsi="Times New Roman"/>
        </w:rPr>
        <w:t>;</w:t>
      </w:r>
      <w:r w:rsidRPr="00E60F16">
        <w:rPr>
          <w:rFonts w:ascii="Times New Roman" w:hAnsi="Times New Roman"/>
        </w:rPr>
        <w:t xml:space="preserve"> and recommendations to the employer</w:t>
      </w:r>
      <w:r w:rsidRPr="00E60F16" w:rsidR="002F0A24">
        <w:rPr>
          <w:rFonts w:ascii="Times New Roman" w:hAnsi="Times New Roman"/>
        </w:rPr>
        <w:t xml:space="preserve"> for corrective actions or continuous improvement</w:t>
      </w:r>
      <w:r w:rsidRPr="00E60F16">
        <w:rPr>
          <w:rFonts w:ascii="Times New Roman" w:hAnsi="Times New Roman"/>
        </w:rPr>
        <w:t xml:space="preserve">.  </w:t>
      </w:r>
    </w:p>
    <w:p w:rsidR="002236E8" w:rsidRPr="00E60F16" w:rsidP="00C13A87" w14:paraId="057E0364" w14:textId="77777777">
      <w:pPr>
        <w:ind w:left="720"/>
        <w:rPr>
          <w:rFonts w:ascii="Times New Roman" w:hAnsi="Times New Roman"/>
        </w:rPr>
      </w:pPr>
    </w:p>
    <w:p w:rsidR="002E23E5" w:rsidRPr="00E60F16" w:rsidP="002E23E5" w14:paraId="4E54CD19" w14:textId="77777777">
      <w:pPr>
        <w:ind w:left="720"/>
        <w:rPr>
          <w:rFonts w:ascii="Times New Roman" w:hAnsi="Times New Roman"/>
        </w:rPr>
      </w:pPr>
      <w:r w:rsidRPr="00E60F16">
        <w:rPr>
          <w:rFonts w:ascii="Times New Roman" w:hAnsi="Times New Roman"/>
        </w:rPr>
        <w:t xml:space="preserve">The DRF33 is comprised of seven (7) core elements: Management Leadership; Worker Participation; Hazard Identification and Assessment; Hazard Prevention and Control; Education and Training; Program Evaluation and Improvement; and Communication and Coordination for Host Employers, Contractors and Staffing Agencies (i.e., the multi-employer element).  Each core element is described by a number of attributes (i.e., assessment criteria).  The total number of attributes in the DRF33 is fifty-two (52), and four of these attributes directly assess the multi-employer element.  </w:t>
      </w:r>
    </w:p>
    <w:p w:rsidR="002E23E5" w:rsidRPr="00E60F16" w:rsidP="003631FD" w14:paraId="264D13A5" w14:textId="77777777">
      <w:pPr>
        <w:rPr>
          <w:rFonts w:ascii="Times New Roman" w:hAnsi="Times New Roman"/>
        </w:rPr>
      </w:pPr>
    </w:p>
    <w:p w:rsidR="00BE7742" w:rsidRPr="00E60F16" w:rsidP="00532843" w14:paraId="75F7796E" w14:textId="77777777">
      <w:pPr>
        <w:ind w:left="720"/>
        <w:rPr>
          <w:rFonts w:ascii="Times New Roman" w:hAnsi="Times New Roman"/>
        </w:rPr>
      </w:pPr>
      <w:r w:rsidRPr="00E60F16">
        <w:rPr>
          <w:rFonts w:ascii="Times New Roman" w:hAnsi="Times New Roman"/>
        </w:rPr>
        <w:t xml:space="preserve">A comprehensive SHP assessment means that consultants (i.e., respondents) will assess </w:t>
      </w:r>
      <w:r w:rsidRPr="00E60F16">
        <w:rPr>
          <w:rFonts w:ascii="Times New Roman" w:hAnsi="Times New Roman"/>
        </w:rPr>
        <w:t>the level of implementation of each of the 52 attributes at a workplace</w:t>
      </w:r>
      <w:r w:rsidRPr="00E60F16" w:rsidR="001470B7">
        <w:rPr>
          <w:rFonts w:ascii="Times New Roman" w:hAnsi="Times New Roman"/>
        </w:rPr>
        <w:t xml:space="preserve"> where the multi-employer element applies</w:t>
      </w:r>
      <w:r w:rsidRPr="00E60F16">
        <w:rPr>
          <w:rFonts w:ascii="Times New Roman" w:hAnsi="Times New Roman"/>
        </w:rPr>
        <w:t xml:space="preserve"> </w:t>
      </w:r>
      <w:r w:rsidR="00497AC7">
        <w:rPr>
          <w:rFonts w:ascii="Times New Roman" w:hAnsi="Times New Roman"/>
        </w:rPr>
        <w:t>or 48 attributes at a workplace where the multi-employer element does not apply and assign ratings</w:t>
      </w:r>
      <w:r w:rsidRPr="00E60F16">
        <w:rPr>
          <w:rFonts w:ascii="Times New Roman" w:hAnsi="Times New Roman"/>
        </w:rPr>
        <w:t xml:space="preserve"> recorded in the DRF33.  The possible ratings for an attribute range from 0 to 3.  </w:t>
      </w:r>
      <w:r w:rsidRPr="00E60F16" w:rsidR="0016102F">
        <w:rPr>
          <w:rFonts w:ascii="Times New Roman" w:hAnsi="Times New Roman"/>
        </w:rPr>
        <w:t>I</w:t>
      </w:r>
      <w:r w:rsidRPr="00E60F16" w:rsidR="002236E8">
        <w:rPr>
          <w:rFonts w:ascii="Times New Roman" w:hAnsi="Times New Roman"/>
          <w:u w:val="single"/>
        </w:rPr>
        <w:t xml:space="preserve">t is important to emphasize that consultants must evaluate every workplace assessed in these studies with regard to all the 48 DRF33 attributes, which do not explicitly pertain to the multi-employer element.  </w:t>
      </w:r>
      <w:r w:rsidRPr="00E60F16" w:rsidR="00602EE6">
        <w:rPr>
          <w:rFonts w:ascii="Times New Roman" w:hAnsi="Times New Roman"/>
          <w:u w:val="single"/>
        </w:rPr>
        <w:t>Also</w:t>
      </w:r>
      <w:r w:rsidRPr="00E60F16" w:rsidR="002236E8">
        <w:rPr>
          <w:rFonts w:ascii="Times New Roman" w:hAnsi="Times New Roman"/>
          <w:u w:val="single"/>
        </w:rPr>
        <w:t xml:space="preserve">, the four multi-employer attributes must be rated at every workplace </w:t>
      </w:r>
      <w:r w:rsidRPr="00E60F16" w:rsidR="00A10C48">
        <w:rPr>
          <w:rFonts w:ascii="Times New Roman" w:hAnsi="Times New Roman"/>
          <w:u w:val="single"/>
        </w:rPr>
        <w:t xml:space="preserve">that may have </w:t>
      </w:r>
      <w:r w:rsidRPr="00E60F16" w:rsidR="00894D60">
        <w:rPr>
          <w:rFonts w:ascii="Times New Roman" w:hAnsi="Times New Roman"/>
          <w:u w:val="single"/>
        </w:rPr>
        <w:t xml:space="preserve">other </w:t>
      </w:r>
      <w:r w:rsidRPr="00E60F16" w:rsidR="002236E8">
        <w:rPr>
          <w:rFonts w:ascii="Times New Roman" w:hAnsi="Times New Roman"/>
          <w:u w:val="single"/>
        </w:rPr>
        <w:t>workers</w:t>
      </w:r>
      <w:r w:rsidRPr="00E60F16" w:rsidR="00A10C48">
        <w:rPr>
          <w:rFonts w:ascii="Times New Roman" w:hAnsi="Times New Roman"/>
          <w:u w:val="single"/>
        </w:rPr>
        <w:t xml:space="preserve"> present at any time</w:t>
      </w:r>
      <w:r w:rsidRPr="00E60F16" w:rsidR="004F1E58">
        <w:rPr>
          <w:rFonts w:ascii="Times New Roman" w:hAnsi="Times New Roman"/>
          <w:u w:val="single"/>
        </w:rPr>
        <w:t xml:space="preserve"> (e.g., temporary, seasonal, </w:t>
      </w:r>
      <w:r w:rsidRPr="00E60F16">
        <w:rPr>
          <w:rFonts w:ascii="Times New Roman" w:hAnsi="Times New Roman"/>
          <w:u w:val="single"/>
        </w:rPr>
        <w:t>and</w:t>
      </w:r>
      <w:r w:rsidRPr="00E60F16" w:rsidR="00A10C48">
        <w:rPr>
          <w:rFonts w:ascii="Times New Roman" w:hAnsi="Times New Roman"/>
          <w:u w:val="single"/>
        </w:rPr>
        <w:t>/or</w:t>
      </w:r>
      <w:r w:rsidRPr="00E60F16">
        <w:rPr>
          <w:rFonts w:ascii="Times New Roman" w:hAnsi="Times New Roman"/>
          <w:u w:val="single"/>
        </w:rPr>
        <w:t xml:space="preserve"> </w:t>
      </w:r>
      <w:r w:rsidRPr="00E60F16" w:rsidR="004F1E58">
        <w:rPr>
          <w:rFonts w:ascii="Times New Roman" w:hAnsi="Times New Roman"/>
          <w:u w:val="single"/>
        </w:rPr>
        <w:t>contractual workers)</w:t>
      </w:r>
      <w:r w:rsidRPr="00E60F16" w:rsidR="00602EE6">
        <w:rPr>
          <w:rFonts w:ascii="Times New Roman" w:hAnsi="Times New Roman"/>
          <w:u w:val="single"/>
        </w:rPr>
        <w:t xml:space="preserve"> in addition to</w:t>
      </w:r>
      <w:r w:rsidRPr="00E60F16" w:rsidR="002236E8">
        <w:rPr>
          <w:rFonts w:ascii="Times New Roman" w:hAnsi="Times New Roman"/>
          <w:u w:val="single"/>
        </w:rPr>
        <w:t xml:space="preserve"> the host employer’s workers.</w:t>
      </w:r>
      <w:r w:rsidRPr="00E60F16" w:rsidR="002236E8">
        <w:rPr>
          <w:rFonts w:ascii="Times New Roman" w:hAnsi="Times New Roman"/>
        </w:rPr>
        <w:t xml:space="preserve">  </w:t>
      </w:r>
    </w:p>
    <w:p w:rsidR="00324BDD" w:rsidRPr="00E60F16" w:rsidP="0071413E" w14:paraId="31FA5EA8" w14:textId="77777777">
      <w:pPr>
        <w:ind w:left="720"/>
        <w:rPr>
          <w:rFonts w:ascii="Times New Roman" w:hAnsi="Times New Roman"/>
        </w:rPr>
      </w:pPr>
    </w:p>
    <w:p w:rsidR="00DC26A7" w:rsidRPr="00E60F16" w:rsidP="00B33D48" w14:paraId="6D0E29DF" w14:textId="77777777">
      <w:pPr>
        <w:ind w:left="720"/>
        <w:rPr>
          <w:rFonts w:ascii="Times New Roman" w:hAnsi="Times New Roman"/>
          <w:b/>
          <w:i/>
        </w:rPr>
      </w:pPr>
      <w:r w:rsidRPr="00E60F16">
        <w:rPr>
          <w:rFonts w:ascii="Times New Roman" w:hAnsi="Times New Roman"/>
          <w:b/>
          <w:i/>
        </w:rPr>
        <w:t>TRC and DART</w:t>
      </w:r>
      <w:r w:rsidRPr="00E60F16" w:rsidR="00095EDE">
        <w:rPr>
          <w:rFonts w:ascii="Times New Roman" w:hAnsi="Times New Roman"/>
          <w:b/>
          <w:i/>
        </w:rPr>
        <w:t xml:space="preserve"> Calculations</w:t>
      </w:r>
    </w:p>
    <w:p w:rsidR="008F4868" w:rsidRPr="00E60F16" w:rsidP="0030453F" w14:paraId="53693DDB" w14:textId="77777777">
      <w:pPr>
        <w:ind w:left="720"/>
        <w:rPr>
          <w:rFonts w:ascii="Times New Roman" w:hAnsi="Times New Roman" w:eastAsiaTheme="minorHAnsi"/>
          <w:sz w:val="22"/>
          <w:szCs w:val="22"/>
        </w:rPr>
      </w:pPr>
      <w:r w:rsidRPr="00E60F16">
        <w:rPr>
          <w:rFonts w:ascii="Times New Roman" w:hAnsi="Times New Roman"/>
        </w:rPr>
        <w:t xml:space="preserve">Although the total and subscale DRF33 scores will serve as the primary measures in the </w:t>
      </w:r>
      <w:r w:rsidRPr="00E60F16" w:rsidR="003A4C6D">
        <w:rPr>
          <w:rFonts w:ascii="Times New Roman" w:hAnsi="Times New Roman"/>
        </w:rPr>
        <w:t xml:space="preserve">analyses </w:t>
      </w:r>
      <w:r w:rsidRPr="00E60F16">
        <w:rPr>
          <w:rFonts w:ascii="Times New Roman" w:hAnsi="Times New Roman"/>
        </w:rPr>
        <w:t xml:space="preserve">that will be conducted, measures regarding other workplace level covariates will also be obtained. </w:t>
      </w:r>
      <w:r w:rsidRPr="00E60F16" w:rsidR="00EF6820">
        <w:rPr>
          <w:rFonts w:ascii="Times New Roman" w:hAnsi="Times New Roman"/>
        </w:rPr>
        <w:t xml:space="preserve"> </w:t>
      </w:r>
      <w:r w:rsidRPr="00E60F16" w:rsidR="00EF6820">
        <w:rPr>
          <w:rFonts w:ascii="Times New Roman" w:hAnsi="Times New Roman"/>
          <w:lang w:val="en"/>
        </w:rPr>
        <w:t xml:space="preserve">Since the overall goal of SHPs is to prevent the occurrence of illnesses and injuries that may result from exposure to hazardous workplace conditions and from hazardous work practices, </w:t>
      </w:r>
      <w:r w:rsidRPr="00E60F16">
        <w:rPr>
          <w:rFonts w:ascii="Times New Roman" w:hAnsi="Times New Roman"/>
        </w:rPr>
        <w:t>measures of the total recordable case rate (TRC)</w:t>
      </w:r>
      <w:r w:rsidRPr="00E60F16" w:rsidR="001C631A">
        <w:rPr>
          <w:rFonts w:ascii="Times New Roman" w:hAnsi="Times New Roman"/>
        </w:rPr>
        <w:t>; and</w:t>
      </w:r>
      <w:r w:rsidRPr="00E60F16">
        <w:rPr>
          <w:rFonts w:ascii="Times New Roman" w:hAnsi="Times New Roman"/>
        </w:rPr>
        <w:t xml:space="preserve"> days away, restricted or transferred rate (DART) will be used</w:t>
      </w:r>
      <w:r w:rsidRPr="00E60F16" w:rsidR="0030453F">
        <w:rPr>
          <w:rFonts w:ascii="Times New Roman" w:hAnsi="Times New Roman"/>
        </w:rPr>
        <w:t xml:space="preserve">. </w:t>
      </w:r>
      <w:r w:rsidRPr="00E60F16" w:rsidR="0030453F">
        <w:rPr>
          <w:rFonts w:ascii="Times New Roman" w:hAnsi="Times New Roman" w:eastAsiaTheme="minorHAnsi"/>
          <w:sz w:val="22"/>
          <w:szCs w:val="22"/>
        </w:rPr>
        <w:t xml:space="preserve"> </w:t>
      </w:r>
    </w:p>
    <w:p w:rsidR="008F4868" w:rsidRPr="00E60F16" w:rsidP="0030453F" w14:paraId="0776DF7E" w14:textId="77777777">
      <w:pPr>
        <w:ind w:left="720"/>
        <w:rPr>
          <w:rFonts w:ascii="Times New Roman" w:hAnsi="Times New Roman" w:eastAsiaTheme="minorHAnsi"/>
          <w:sz w:val="22"/>
          <w:szCs w:val="22"/>
        </w:rPr>
      </w:pPr>
    </w:p>
    <w:p w:rsidR="0030453F" w:rsidRPr="00E60F16" w:rsidP="0030453F" w14:paraId="76688B95" w14:textId="77777777">
      <w:pPr>
        <w:ind w:left="720"/>
        <w:rPr>
          <w:rFonts w:ascii="Times New Roman" w:hAnsi="Times New Roman"/>
        </w:rPr>
      </w:pPr>
      <w:r w:rsidRPr="00E60F16">
        <w:rPr>
          <w:rFonts w:ascii="Times New Roman" w:hAnsi="Times New Roman"/>
        </w:rPr>
        <w:t xml:space="preserve">Since DART and TRC are indices of occupational </w:t>
      </w:r>
      <w:r w:rsidRPr="00E60F16" w:rsidR="00EF6820">
        <w:rPr>
          <w:rFonts w:ascii="Times New Roman" w:hAnsi="Times New Roman"/>
        </w:rPr>
        <w:t>illness</w:t>
      </w:r>
      <w:r w:rsidRPr="00E60F16">
        <w:rPr>
          <w:rFonts w:ascii="Times New Roman" w:hAnsi="Times New Roman"/>
        </w:rPr>
        <w:t xml:space="preserve"> and injury, these rates would be lower for workplaces with strong or effective SHPs, rather than those with weak or ineffective programs.  Indeed, Shea, De Cieri, Donohue, Cooper, and Sheehan (2016) </w:t>
      </w:r>
      <w:r w:rsidRPr="00E60F16" w:rsidR="008F4868">
        <w:rPr>
          <w:rFonts w:ascii="Times New Roman" w:hAnsi="Times New Roman"/>
        </w:rPr>
        <w:t>suggested that some SHP activities that are leading indicators</w:t>
      </w:r>
      <w:r>
        <w:rPr>
          <w:rFonts w:ascii="Times New Roman" w:hAnsi="Times New Roman"/>
          <w:vertAlign w:val="superscript"/>
        </w:rPr>
        <w:footnoteReference w:id="4"/>
      </w:r>
      <w:r w:rsidRPr="00E60F16" w:rsidR="008F4868">
        <w:rPr>
          <w:rFonts w:ascii="Times New Roman" w:hAnsi="Times New Roman"/>
        </w:rPr>
        <w:t xml:space="preserve"> are negatively related to outcomes </w:t>
      </w:r>
      <w:r w:rsidRPr="00E60F16">
        <w:rPr>
          <w:rFonts w:ascii="Times New Roman" w:hAnsi="Times New Roman"/>
        </w:rPr>
        <w:t>like workplace injury or compensation claims.  Autenrieth, Brazile, Sandfort, Douphrate Roman-Muniz, and Reynolds (201</w:t>
      </w:r>
      <w:r w:rsidRPr="00E60F16" w:rsidR="00C91725">
        <w:rPr>
          <w:rFonts w:ascii="Times New Roman" w:hAnsi="Times New Roman"/>
        </w:rPr>
        <w:t>6</w:t>
      </w:r>
      <w:r w:rsidRPr="00E60F16">
        <w:rPr>
          <w:rFonts w:ascii="Times New Roman" w:hAnsi="Times New Roman"/>
        </w:rPr>
        <w:t xml:space="preserve">) reached similar conclusions when examining TRC and DART with the OSHA Form 33 that is currently in use.  However, their conclusions generally hold only when all attributes of the worksheet have been assessed and rated by consultants.  </w:t>
      </w:r>
    </w:p>
    <w:p w:rsidR="000C1849" w:rsidRPr="00E60F16" w:rsidP="00831496" w14:paraId="23BFD6C8" w14:textId="77777777">
      <w:pPr>
        <w:ind w:left="720"/>
        <w:rPr>
          <w:rFonts w:ascii="Times New Roman" w:hAnsi="Times New Roman"/>
        </w:rPr>
      </w:pPr>
    </w:p>
    <w:p w:rsidR="000C1849" w:rsidRPr="00E60F16" w:rsidP="000C1849" w14:paraId="119F6FAE" w14:textId="77777777">
      <w:pPr>
        <w:ind w:left="720"/>
        <w:rPr>
          <w:rFonts w:ascii="Times New Roman" w:hAnsi="Times New Roman"/>
          <w:lang w:val="en"/>
        </w:rPr>
      </w:pPr>
      <w:r w:rsidRPr="00E60F16">
        <w:rPr>
          <w:rFonts w:ascii="Times New Roman" w:hAnsi="Times New Roman"/>
          <w:lang w:val="en"/>
        </w:rPr>
        <w:t>The TRC and DART used in these studies will be calculated as follows:</w:t>
      </w:r>
    </w:p>
    <w:p w:rsidR="000C1849" w:rsidRPr="00E60F16" w:rsidP="000C1849" w14:paraId="2C8C2274" w14:textId="77777777">
      <w:pPr>
        <w:ind w:left="720"/>
        <w:rPr>
          <w:rFonts w:ascii="Times New Roman" w:hAnsi="Times New Roman"/>
          <w:bCs/>
        </w:rPr>
      </w:pPr>
    </w:p>
    <w:p w:rsidR="000C1849" w:rsidRPr="00E60F16" w:rsidP="007454B3" w14:paraId="1712977B" w14:textId="77777777">
      <w:pPr>
        <w:pStyle w:val="ListParagraph"/>
        <w:numPr>
          <w:ilvl w:val="0"/>
          <w:numId w:val="23"/>
        </w:numPr>
        <w:ind w:left="1440"/>
        <w:rPr>
          <w:rFonts w:ascii="Times New Roman" w:hAnsi="Times New Roman"/>
          <w:bCs/>
        </w:rPr>
      </w:pPr>
      <w:r w:rsidRPr="00E60F16">
        <w:rPr>
          <w:rFonts w:ascii="Times New Roman" w:hAnsi="Times New Roman"/>
          <w:bCs/>
        </w:rPr>
        <w:t>H = logged cases r</w:t>
      </w:r>
      <w:r w:rsidRPr="00E60F16" w:rsidR="00011F66">
        <w:rPr>
          <w:rFonts w:ascii="Times New Roman" w:hAnsi="Times New Roman"/>
          <w:bCs/>
        </w:rPr>
        <w:t>esulting in days away from work</w:t>
      </w:r>
    </w:p>
    <w:p w:rsidR="000C1849" w:rsidRPr="00E60F16" w:rsidP="007454B3" w14:paraId="3F4A0D45" w14:textId="77777777">
      <w:pPr>
        <w:ind w:left="1440" w:hanging="360"/>
        <w:rPr>
          <w:rFonts w:ascii="Times New Roman" w:hAnsi="Times New Roman"/>
          <w:bCs/>
        </w:rPr>
      </w:pPr>
    </w:p>
    <w:p w:rsidR="000C1849" w:rsidRPr="00E60F16" w:rsidP="007454B3" w14:paraId="16EBE3C4" w14:textId="77777777">
      <w:pPr>
        <w:pStyle w:val="ListParagraph"/>
        <w:numPr>
          <w:ilvl w:val="0"/>
          <w:numId w:val="23"/>
        </w:numPr>
        <w:ind w:left="1440"/>
        <w:rPr>
          <w:rFonts w:ascii="Times New Roman" w:hAnsi="Times New Roman"/>
          <w:bCs/>
        </w:rPr>
      </w:pPr>
      <w:r w:rsidRPr="00E60F16">
        <w:rPr>
          <w:rFonts w:ascii="Times New Roman" w:hAnsi="Times New Roman"/>
          <w:bCs/>
        </w:rPr>
        <w:t>I = logged cases resulting in job transfer or restriction</w:t>
      </w:r>
    </w:p>
    <w:p w:rsidR="000C1849" w:rsidRPr="00E60F16" w:rsidP="007454B3" w14:paraId="728D858E" w14:textId="77777777">
      <w:pPr>
        <w:ind w:left="1440" w:hanging="360"/>
        <w:rPr>
          <w:rFonts w:ascii="Times New Roman" w:hAnsi="Times New Roman"/>
          <w:bCs/>
        </w:rPr>
      </w:pPr>
    </w:p>
    <w:p w:rsidR="000C1849" w:rsidRPr="00E60F16" w:rsidP="007454B3" w14:paraId="3A4990FF" w14:textId="77777777">
      <w:pPr>
        <w:pStyle w:val="ListParagraph"/>
        <w:numPr>
          <w:ilvl w:val="0"/>
          <w:numId w:val="23"/>
        </w:numPr>
        <w:ind w:left="1440"/>
        <w:rPr>
          <w:rFonts w:ascii="Times New Roman" w:hAnsi="Times New Roman"/>
          <w:bCs/>
        </w:rPr>
      </w:pPr>
      <w:r w:rsidRPr="00E60F16">
        <w:rPr>
          <w:rFonts w:ascii="Times New Roman" w:hAnsi="Times New Roman"/>
          <w:bCs/>
        </w:rPr>
        <w:t>J = other logged cases</w:t>
      </w:r>
    </w:p>
    <w:p w:rsidR="000C1849" w:rsidRPr="00E60F16" w:rsidP="007454B3" w14:paraId="334C5C95" w14:textId="77777777">
      <w:pPr>
        <w:ind w:left="1440" w:hanging="360"/>
        <w:rPr>
          <w:rFonts w:ascii="Times New Roman" w:hAnsi="Times New Roman"/>
          <w:bCs/>
        </w:rPr>
      </w:pPr>
    </w:p>
    <w:p w:rsidR="000C1849" w:rsidRPr="00E60F16" w:rsidP="007454B3" w14:paraId="138880B8" w14:textId="77777777">
      <w:pPr>
        <w:pStyle w:val="ListParagraph"/>
        <w:numPr>
          <w:ilvl w:val="0"/>
          <w:numId w:val="23"/>
        </w:numPr>
        <w:ind w:left="1440"/>
        <w:rPr>
          <w:rFonts w:ascii="Times New Roman" w:hAnsi="Times New Roman"/>
          <w:bCs/>
        </w:rPr>
      </w:pPr>
      <w:r w:rsidRPr="00E60F16">
        <w:rPr>
          <w:rFonts w:ascii="Times New Roman" w:hAnsi="Times New Roman"/>
          <w:bCs/>
        </w:rPr>
        <w:t xml:space="preserve">E = estimated hours worked by all employees at the workplace </w:t>
      </w:r>
      <w:r w:rsidRPr="00E60F16" w:rsidR="00011F66">
        <w:rPr>
          <w:rFonts w:ascii="Times New Roman" w:hAnsi="Times New Roman"/>
          <w:bCs/>
        </w:rPr>
        <w:t xml:space="preserve">during the </w:t>
      </w:r>
      <w:r w:rsidRPr="00E60F16">
        <w:rPr>
          <w:rFonts w:ascii="Times New Roman" w:hAnsi="Times New Roman"/>
          <w:bCs/>
        </w:rPr>
        <w:t>12 months</w:t>
      </w:r>
      <w:r w:rsidRPr="00E60F16" w:rsidR="00011F66">
        <w:rPr>
          <w:rFonts w:ascii="Times New Roman" w:hAnsi="Times New Roman"/>
          <w:bCs/>
        </w:rPr>
        <w:t xml:space="preserve"> preceding (i.e., retrospective analysis) or following (i.e., prospective analysis) the Pilot Study consultation visit</w:t>
      </w:r>
    </w:p>
    <w:p w:rsidR="000C1849" w:rsidRPr="00E60F16" w:rsidP="000C1849" w14:paraId="76BEDC58" w14:textId="77777777">
      <w:pPr>
        <w:ind w:left="720"/>
        <w:rPr>
          <w:rFonts w:ascii="Times New Roman" w:hAnsi="Times New Roman"/>
          <w:bCs/>
        </w:rPr>
      </w:pPr>
    </w:p>
    <w:p w:rsidR="000C1849" w:rsidRPr="00E60F16" w:rsidP="007454B3" w14:paraId="13182371" w14:textId="77777777">
      <w:pPr>
        <w:pStyle w:val="ListParagraph"/>
        <w:numPr>
          <w:ilvl w:val="0"/>
          <w:numId w:val="23"/>
        </w:numPr>
        <w:ind w:left="1440"/>
        <w:rPr>
          <w:rFonts w:ascii="Times New Roman" w:hAnsi="Times New Roman"/>
          <w:bCs/>
        </w:rPr>
      </w:pPr>
      <w:r w:rsidRPr="00E60F16">
        <w:rPr>
          <w:rFonts w:ascii="Times New Roman" w:hAnsi="Times New Roman"/>
          <w:bCs/>
        </w:rPr>
        <w:t>S = a scale factor equal to 200,000 (which is the equivalent of 100 full-time employees working 40 hours per week for 50 weeks per year).</w:t>
      </w:r>
    </w:p>
    <w:p w:rsidR="000C1849" w:rsidRPr="00E60F16" w:rsidP="007454B3" w14:paraId="2014691D" w14:textId="77777777">
      <w:pPr>
        <w:ind w:left="1440" w:hanging="360"/>
        <w:rPr>
          <w:rFonts w:ascii="Times New Roman" w:hAnsi="Times New Roman"/>
          <w:bCs/>
        </w:rPr>
      </w:pPr>
    </w:p>
    <w:p w:rsidR="000C1849" w:rsidRPr="00E60F16" w:rsidP="007454B3" w14:paraId="4A1146D1" w14:textId="77777777">
      <w:pPr>
        <w:ind w:left="360" w:firstLine="720"/>
        <w:rPr>
          <w:rFonts w:ascii="Times New Roman" w:hAnsi="Times New Roman"/>
          <w:bCs/>
        </w:rPr>
      </w:pPr>
      <w:r w:rsidRPr="00E60F16">
        <w:rPr>
          <w:rFonts w:ascii="Times New Roman" w:hAnsi="Times New Roman"/>
          <w:bCs/>
        </w:rPr>
        <w:t>Then:</w:t>
      </w:r>
    </w:p>
    <w:p w:rsidR="000C1849" w:rsidRPr="00E60F16" w:rsidP="007454B3" w14:paraId="13D68C22" w14:textId="77777777">
      <w:pPr>
        <w:ind w:left="1440" w:hanging="360"/>
        <w:rPr>
          <w:rFonts w:ascii="Times New Roman" w:hAnsi="Times New Roman"/>
          <w:bCs/>
        </w:rPr>
      </w:pPr>
    </w:p>
    <w:p w:rsidR="000C1849" w:rsidRPr="00E60F16" w:rsidP="007454B3" w14:paraId="28CA9D6A" w14:textId="77777777">
      <w:pPr>
        <w:pStyle w:val="ListParagraph"/>
        <w:numPr>
          <w:ilvl w:val="0"/>
          <w:numId w:val="23"/>
        </w:numPr>
        <w:ind w:left="1440"/>
        <w:rPr>
          <w:rFonts w:ascii="Times New Roman" w:hAnsi="Times New Roman"/>
          <w:bCs/>
        </w:rPr>
      </w:pPr>
      <w:r w:rsidRPr="00E60F16">
        <w:rPr>
          <w:rFonts w:ascii="Times New Roman" w:hAnsi="Times New Roman"/>
          <w:bCs/>
        </w:rPr>
        <w:t>TRC = [(H + I + J) / E ] * S</w:t>
      </w:r>
    </w:p>
    <w:p w:rsidR="000C1849" w:rsidRPr="00E60F16" w:rsidP="007454B3" w14:paraId="0005B3AB" w14:textId="77777777">
      <w:pPr>
        <w:rPr>
          <w:rFonts w:ascii="Times New Roman" w:hAnsi="Times New Roman"/>
          <w:bCs/>
        </w:rPr>
      </w:pPr>
    </w:p>
    <w:p w:rsidR="000C1849" w:rsidRPr="00E60F16" w:rsidP="007454B3" w14:paraId="75CA5786" w14:textId="77777777">
      <w:pPr>
        <w:pStyle w:val="ListParagraph"/>
        <w:numPr>
          <w:ilvl w:val="0"/>
          <w:numId w:val="23"/>
        </w:numPr>
        <w:ind w:left="1440"/>
        <w:rPr>
          <w:rFonts w:ascii="Times New Roman" w:hAnsi="Times New Roman"/>
          <w:bCs/>
        </w:rPr>
      </w:pPr>
      <w:r w:rsidRPr="00E60F16">
        <w:rPr>
          <w:rFonts w:ascii="Times New Roman" w:hAnsi="Times New Roman"/>
          <w:bCs/>
        </w:rPr>
        <w:t>DART = [(H + I) / E ] *S.</w:t>
      </w:r>
    </w:p>
    <w:p w:rsidR="00892540" w:rsidRPr="00E60F16" w:rsidP="007454B3" w14:paraId="6E8C968E" w14:textId="77777777">
      <w:pPr>
        <w:pStyle w:val="ListParagraph"/>
        <w:rPr>
          <w:rFonts w:ascii="Times New Roman" w:hAnsi="Times New Roman"/>
          <w:bCs/>
        </w:rPr>
      </w:pPr>
    </w:p>
    <w:p w:rsidR="00892540" w:rsidRPr="00E60F16" w:rsidP="00892540" w14:paraId="2278BC59" w14:textId="77777777">
      <w:pPr>
        <w:rPr>
          <w:rFonts w:ascii="Times New Roman" w:hAnsi="Times New Roman"/>
        </w:rPr>
      </w:pPr>
    </w:p>
    <w:p w:rsidR="00892540" w:rsidRPr="00E60F16" w:rsidP="00892540" w14:paraId="0CDE786E" w14:textId="77777777">
      <w:pPr>
        <w:pStyle w:val="ListParagraph"/>
        <w:widowControl/>
        <w:numPr>
          <w:ilvl w:val="0"/>
          <w:numId w:val="20"/>
        </w:numPr>
        <w:autoSpaceDE/>
        <w:autoSpaceDN/>
        <w:adjustRightInd/>
        <w:spacing w:after="160" w:line="259" w:lineRule="auto"/>
        <w:contextualSpacing/>
        <w:rPr>
          <w:rFonts w:ascii="Times New Roman" w:hAnsi="Times New Roman"/>
        </w:rPr>
      </w:pPr>
      <w:r w:rsidRPr="00E60F16">
        <w:rPr>
          <w:rFonts w:ascii="Times New Roman" w:hAnsi="Times New Roman"/>
          <w:b/>
          <w:u w:val="single"/>
        </w:rPr>
        <w:t>Notes</w:t>
      </w:r>
      <w:r w:rsidRPr="00E60F16">
        <w:rPr>
          <w:rFonts w:ascii="Times New Roman" w:hAnsi="Times New Roman"/>
        </w:rPr>
        <w:t>:</w:t>
      </w:r>
    </w:p>
    <w:p w:rsidR="00892540" w:rsidRPr="00E60F16" w:rsidP="00892540" w14:paraId="4DBEBC1F" w14:textId="77777777">
      <w:pPr>
        <w:pStyle w:val="ListParagraph"/>
        <w:widowControl/>
        <w:numPr>
          <w:ilvl w:val="1"/>
          <w:numId w:val="20"/>
        </w:numPr>
        <w:autoSpaceDE/>
        <w:autoSpaceDN/>
        <w:adjustRightInd/>
        <w:spacing w:after="160" w:line="259" w:lineRule="auto"/>
        <w:contextualSpacing/>
        <w:rPr>
          <w:rFonts w:ascii="Times New Roman" w:hAnsi="Times New Roman"/>
        </w:rPr>
      </w:pPr>
      <w:r w:rsidRPr="00E60F16">
        <w:rPr>
          <w:rFonts w:ascii="Times New Roman" w:hAnsi="Times New Roman"/>
        </w:rPr>
        <w:t xml:space="preserve">Values for H, I, and J will be acquired from </w:t>
      </w:r>
      <w:hyperlink r:id="rId13" w:history="1">
        <w:r w:rsidRPr="00E60F16">
          <w:rPr>
            <w:rStyle w:val="Hyperlink"/>
            <w:rFonts w:ascii="Times New Roman" w:hAnsi="Times New Roman"/>
          </w:rPr>
          <w:t>OSHA’s Form 300, Log of Work-Related Injuries and Illnesses</w:t>
        </w:r>
      </w:hyperlink>
      <w:r w:rsidRPr="00E60F16">
        <w:rPr>
          <w:rFonts w:ascii="Times New Roman" w:hAnsi="Times New Roman"/>
        </w:rPr>
        <w:t>, maintained at the workplace.</w:t>
      </w:r>
    </w:p>
    <w:p w:rsidR="000C1849" w:rsidRPr="00E60F16" w:rsidP="007454B3" w14:paraId="2943D8E4" w14:textId="77777777">
      <w:pPr>
        <w:pStyle w:val="ListParagraph"/>
        <w:widowControl/>
        <w:numPr>
          <w:ilvl w:val="1"/>
          <w:numId w:val="20"/>
        </w:numPr>
        <w:autoSpaceDE/>
        <w:autoSpaceDN/>
        <w:adjustRightInd/>
        <w:spacing w:after="160" w:line="259" w:lineRule="auto"/>
        <w:contextualSpacing/>
        <w:rPr>
          <w:rFonts w:ascii="Times New Roman" w:hAnsi="Times New Roman"/>
        </w:rPr>
      </w:pPr>
      <w:r w:rsidRPr="00E60F16">
        <w:rPr>
          <w:rFonts w:ascii="Times New Roman" w:hAnsi="Times New Roman"/>
        </w:rPr>
        <w:t>The injury and illness data in OSHA’s Form 300 is summarized in Form 300A, Summary of Work</w:t>
      </w:r>
      <w:r w:rsidRPr="00E60F16" w:rsidR="00500DA1">
        <w:rPr>
          <w:rFonts w:ascii="Times New Roman" w:hAnsi="Times New Roman"/>
        </w:rPr>
        <w:t>-</w:t>
      </w:r>
      <w:r w:rsidRPr="00E60F16">
        <w:rPr>
          <w:rFonts w:ascii="Times New Roman" w:hAnsi="Times New Roman"/>
        </w:rPr>
        <w:t>Related Injuries and Illnesses.</w:t>
      </w:r>
    </w:p>
    <w:p w:rsidR="000C1849" w:rsidRPr="00E60F16" w:rsidP="00B33D48" w14:paraId="2AE45E53" w14:textId="77777777">
      <w:pPr>
        <w:ind w:left="720"/>
        <w:rPr>
          <w:rFonts w:ascii="Times New Roman" w:hAnsi="Times New Roman"/>
          <w:bCs/>
        </w:rPr>
      </w:pPr>
      <w:r w:rsidRPr="00E60F16">
        <w:rPr>
          <w:rFonts w:ascii="Times New Roman" w:hAnsi="Times New Roman"/>
          <w:bCs/>
        </w:rPr>
        <w:t xml:space="preserve">The TRC gives the total </w:t>
      </w:r>
      <w:r w:rsidRPr="00E60F16" w:rsidR="00BD1D4A">
        <w:rPr>
          <w:rFonts w:ascii="Times New Roman" w:hAnsi="Times New Roman"/>
          <w:bCs/>
        </w:rPr>
        <w:t xml:space="preserve">recordable </w:t>
      </w:r>
      <w:r w:rsidRPr="00E60F16">
        <w:rPr>
          <w:rFonts w:ascii="Times New Roman" w:hAnsi="Times New Roman"/>
          <w:bCs/>
        </w:rPr>
        <w:t xml:space="preserve">cases one would expect from 100 full-time employees at a given workplace, whereas DART yields a similar expectation with respect to only cases resulting in days away from work, job transfer, or job restriction.  These indices are scaled to make workplaces of various sizes comparable.   </w:t>
      </w:r>
    </w:p>
    <w:p w:rsidR="00892540" w:rsidRPr="00E60F16" w:rsidP="00E349A8" w14:paraId="1603522C" w14:textId="77777777">
      <w:pPr>
        <w:ind w:left="720"/>
        <w:rPr>
          <w:rFonts w:ascii="Times New Roman" w:hAnsi="Times New Roman"/>
          <w:bCs/>
        </w:rPr>
      </w:pPr>
    </w:p>
    <w:p w:rsidR="00892540" w:rsidRPr="00E60F16" w:rsidP="00892540" w14:paraId="1874286B" w14:textId="77777777">
      <w:pPr>
        <w:ind w:left="720"/>
        <w:rPr>
          <w:rFonts w:ascii="Times New Roman" w:hAnsi="Times New Roman"/>
          <w:bCs/>
        </w:rPr>
      </w:pPr>
      <w:r w:rsidRPr="00E60F16">
        <w:rPr>
          <w:rFonts w:ascii="Times New Roman" w:hAnsi="Times New Roman"/>
          <w:bCs/>
        </w:rPr>
        <w:t>Both TRC and DART must be calculated for a given period of time.  Care must be taken to make the time period long enough to register adverse events</w:t>
      </w:r>
      <w:r w:rsidR="00BA651D">
        <w:rPr>
          <w:rFonts w:ascii="Times New Roman" w:hAnsi="Times New Roman"/>
          <w:bCs/>
        </w:rPr>
        <w:t>,</w:t>
      </w:r>
      <w:r w:rsidRPr="00E60F16">
        <w:rPr>
          <w:rFonts w:ascii="Times New Roman" w:hAnsi="Times New Roman"/>
          <w:bCs/>
        </w:rPr>
        <w:t xml:space="preserve"> which may be infrequent at a given workplace yet short enough to provide fidelity to the outcomes at that workplace so as not to average them out.  This study will base calculations of TRC and DART on the 12 months preceding (retrospective) and following (prospective) the Pilot Study consultation visits.  Therefore, the use of the term “retrospective” might be considered a “baseline” or “current” measure of TRC or DART.  The term “retrospective” is used because those calculations are based on logged observations from a period of time preceding the Pilot Study consultation visits even though they represent the most current state of affairs at that time. </w:t>
      </w:r>
    </w:p>
    <w:p w:rsidR="00892540" w:rsidRPr="00E60F16" w:rsidP="00B33D48" w14:paraId="3B3F60D2" w14:textId="77777777">
      <w:pPr>
        <w:ind w:left="720"/>
        <w:rPr>
          <w:rFonts w:ascii="Times New Roman" w:hAnsi="Times New Roman"/>
          <w:bCs/>
        </w:rPr>
      </w:pPr>
    </w:p>
    <w:p w:rsidR="00284C11" w:rsidRPr="00E60F16" w:rsidP="00517F9C" w14:paraId="09722ADD" w14:textId="77777777">
      <w:pPr>
        <w:widowControl/>
        <w:autoSpaceDE/>
        <w:autoSpaceDN/>
        <w:adjustRightInd/>
        <w:spacing w:after="160" w:line="259" w:lineRule="auto"/>
        <w:ind w:left="720"/>
        <w:contextualSpacing/>
        <w:rPr>
          <w:rFonts w:ascii="Times New Roman" w:hAnsi="Times New Roman"/>
        </w:rPr>
      </w:pPr>
      <w:r w:rsidRPr="00E60F16">
        <w:rPr>
          <w:rFonts w:ascii="Times New Roman" w:hAnsi="Times New Roman"/>
        </w:rPr>
        <w:t>The data analyses described in</w:t>
      </w:r>
      <w:r w:rsidRPr="00E60F16">
        <w:rPr>
          <w:rFonts w:ascii="Times New Roman" w:hAnsi="Times New Roman"/>
          <w:b/>
          <w:color w:val="FF0000"/>
        </w:rPr>
        <w:t xml:space="preserve"> </w:t>
      </w:r>
      <w:r w:rsidRPr="00E60F16">
        <w:rPr>
          <w:rFonts w:ascii="Times New Roman" w:hAnsi="Times New Roman"/>
        </w:rPr>
        <w:t xml:space="preserve">#16 of this document will be performed after the Pilot Study consultation visits are completed using the DRF33 and retrospective covariate measures.  Prospective Analysis involving prospective estimates of TRC and DART will occur roughly 12 months after the Pilot Study consultation visits.  </w:t>
      </w:r>
    </w:p>
    <w:p w:rsidR="00284C11" w:rsidRPr="00E60F16" w:rsidP="00517F9C" w14:paraId="7BE31A34" w14:textId="77777777">
      <w:pPr>
        <w:widowControl/>
        <w:autoSpaceDE/>
        <w:autoSpaceDN/>
        <w:adjustRightInd/>
        <w:spacing w:after="160" w:line="259" w:lineRule="auto"/>
        <w:ind w:left="720"/>
        <w:contextualSpacing/>
        <w:rPr>
          <w:rFonts w:ascii="Times New Roman" w:hAnsi="Times New Roman"/>
          <w:highlight w:val="yellow"/>
        </w:rPr>
      </w:pPr>
    </w:p>
    <w:p w:rsidR="00517F9C" w:rsidRPr="00E60F16" w:rsidP="00517F9C" w14:paraId="52712664" w14:textId="77777777">
      <w:pPr>
        <w:widowControl/>
        <w:autoSpaceDE/>
        <w:autoSpaceDN/>
        <w:adjustRightInd/>
        <w:spacing w:after="160" w:line="259" w:lineRule="auto"/>
        <w:ind w:left="720"/>
        <w:contextualSpacing/>
        <w:rPr>
          <w:rFonts w:ascii="Times New Roman" w:hAnsi="Times New Roman"/>
          <w:bCs/>
        </w:rPr>
      </w:pPr>
      <w:r w:rsidRPr="00E60F16">
        <w:rPr>
          <w:rFonts w:ascii="Times New Roman" w:hAnsi="Times New Roman"/>
        </w:rPr>
        <w:t>During the Pilot Study</w:t>
      </w:r>
      <w:r w:rsidRPr="00E60F16" w:rsidR="00FC12A0">
        <w:rPr>
          <w:rFonts w:ascii="Times New Roman" w:hAnsi="Times New Roman"/>
        </w:rPr>
        <w:t xml:space="preserve"> consultation visits</w:t>
      </w:r>
      <w:r w:rsidRPr="00E60F16">
        <w:rPr>
          <w:rFonts w:ascii="Times New Roman" w:hAnsi="Times New Roman"/>
        </w:rPr>
        <w:t xml:space="preserve">, </w:t>
      </w:r>
      <w:r w:rsidRPr="00E60F16">
        <w:rPr>
          <w:rFonts w:ascii="Times New Roman" w:hAnsi="Times New Roman"/>
          <w:bCs/>
        </w:rPr>
        <w:t xml:space="preserve">consultants collect copies of injury and illness </w:t>
      </w:r>
      <w:r w:rsidRPr="00E60F16" w:rsidR="00281738">
        <w:rPr>
          <w:rFonts w:ascii="Times New Roman" w:hAnsi="Times New Roman"/>
          <w:bCs/>
        </w:rPr>
        <w:t>Forms</w:t>
      </w:r>
      <w:r w:rsidRPr="00E60F16">
        <w:rPr>
          <w:rFonts w:ascii="Times New Roman" w:hAnsi="Times New Roman"/>
          <w:bCs/>
        </w:rPr>
        <w:t xml:space="preserve"> 300 and 300A</w:t>
      </w:r>
      <w:r w:rsidRPr="00E60F16" w:rsidR="00281738">
        <w:rPr>
          <w:rFonts w:ascii="Times New Roman" w:hAnsi="Times New Roman"/>
          <w:bCs/>
        </w:rPr>
        <w:t xml:space="preserve"> </w:t>
      </w:r>
      <w:r w:rsidRPr="00E60F16">
        <w:rPr>
          <w:rFonts w:ascii="Times New Roman" w:hAnsi="Times New Roman"/>
          <w:bCs/>
        </w:rPr>
        <w:t xml:space="preserve">for the calendar year preceding the consultation visit; and the </w:t>
      </w:r>
      <w:r w:rsidRPr="00E60F16" w:rsidR="00281738">
        <w:rPr>
          <w:rFonts w:ascii="Times New Roman" w:hAnsi="Times New Roman"/>
          <w:bCs/>
        </w:rPr>
        <w:t>Form</w:t>
      </w:r>
      <w:r w:rsidRPr="00E60F16">
        <w:rPr>
          <w:rFonts w:ascii="Times New Roman" w:hAnsi="Times New Roman"/>
          <w:bCs/>
        </w:rPr>
        <w:t xml:space="preserve"> 300 for the </w:t>
      </w:r>
      <w:r w:rsidRPr="00E60F16" w:rsidR="002E521E">
        <w:rPr>
          <w:rFonts w:ascii="Times New Roman" w:hAnsi="Times New Roman"/>
          <w:bCs/>
        </w:rPr>
        <w:t xml:space="preserve">year of </w:t>
      </w:r>
      <w:r w:rsidRPr="00E60F16">
        <w:rPr>
          <w:rFonts w:ascii="Times New Roman" w:hAnsi="Times New Roman"/>
          <w:bCs/>
        </w:rPr>
        <w:t>the consultation visit</w:t>
      </w:r>
      <w:r w:rsidRPr="00E60F16" w:rsidR="008C324C">
        <w:rPr>
          <w:rFonts w:ascii="Times New Roman" w:hAnsi="Times New Roman"/>
          <w:bCs/>
        </w:rPr>
        <w:t xml:space="preserve"> (up to the date of the visit)</w:t>
      </w:r>
      <w:r w:rsidRPr="00E60F16">
        <w:rPr>
          <w:rFonts w:ascii="Times New Roman" w:hAnsi="Times New Roman"/>
          <w:bCs/>
        </w:rPr>
        <w:t>.  Consultants also collect information about the number of employees at the workplace and the number o</w:t>
      </w:r>
      <w:r w:rsidRPr="00E60F16" w:rsidR="002E521E">
        <w:rPr>
          <w:rFonts w:ascii="Times New Roman" w:hAnsi="Times New Roman"/>
          <w:bCs/>
        </w:rPr>
        <w:t>f hours worked by all employees</w:t>
      </w:r>
      <w:r w:rsidRPr="00E60F16">
        <w:rPr>
          <w:rFonts w:ascii="Times New Roman" w:hAnsi="Times New Roman"/>
          <w:bCs/>
        </w:rPr>
        <w:t xml:space="preserve"> </w:t>
      </w:r>
      <w:r w:rsidRPr="00E60F16" w:rsidR="002E521E">
        <w:rPr>
          <w:rFonts w:ascii="Times New Roman" w:hAnsi="Times New Roman"/>
          <w:bCs/>
        </w:rPr>
        <w:t xml:space="preserve">for the year of the consultation visit – up </w:t>
      </w:r>
      <w:r w:rsidRPr="00E60F16" w:rsidR="004025D7">
        <w:rPr>
          <w:rFonts w:ascii="Times New Roman" w:hAnsi="Times New Roman"/>
          <w:bCs/>
        </w:rPr>
        <w:t>to the date of the visit</w:t>
      </w:r>
      <w:r w:rsidRPr="00E60F16">
        <w:rPr>
          <w:rFonts w:ascii="Times New Roman" w:hAnsi="Times New Roman"/>
          <w:bCs/>
        </w:rPr>
        <w:t xml:space="preserve">.  Consultants upload all collected </w:t>
      </w:r>
      <w:r w:rsidRPr="00E60F16" w:rsidR="00EA5E81">
        <w:rPr>
          <w:rFonts w:ascii="Times New Roman" w:hAnsi="Times New Roman"/>
          <w:bCs/>
        </w:rPr>
        <w:t xml:space="preserve">injury and illness </w:t>
      </w:r>
      <w:r w:rsidRPr="00E60F16">
        <w:rPr>
          <w:rFonts w:ascii="Times New Roman" w:hAnsi="Times New Roman"/>
          <w:bCs/>
        </w:rPr>
        <w:t>data into a secure</w:t>
      </w:r>
      <w:r w:rsidRPr="00E60F16" w:rsidR="002E521E">
        <w:rPr>
          <w:rFonts w:ascii="Times New Roman" w:hAnsi="Times New Roman"/>
          <w:bCs/>
        </w:rPr>
        <w:t xml:space="preserve"> </w:t>
      </w:r>
      <w:r w:rsidRPr="00E60F16" w:rsidR="00C91CCD">
        <w:rPr>
          <w:rFonts w:ascii="Times New Roman" w:hAnsi="Times New Roman"/>
          <w:bCs/>
        </w:rPr>
        <w:t>Drop</w:t>
      </w:r>
      <w:r w:rsidRPr="00E60F16" w:rsidR="00BE53B6">
        <w:rPr>
          <w:rFonts w:ascii="Times New Roman" w:hAnsi="Times New Roman"/>
          <w:bCs/>
        </w:rPr>
        <w:t>b</w:t>
      </w:r>
      <w:r w:rsidRPr="00E60F16" w:rsidR="00C91CCD">
        <w:rPr>
          <w:rFonts w:ascii="Times New Roman" w:hAnsi="Times New Roman"/>
          <w:bCs/>
        </w:rPr>
        <w:t>ox</w:t>
      </w:r>
      <w:r w:rsidRPr="00E60F16" w:rsidR="008C324C">
        <w:rPr>
          <w:rFonts w:ascii="Times New Roman" w:hAnsi="Times New Roman"/>
          <w:bCs/>
        </w:rPr>
        <w:t xml:space="preserve"> for analysis</w:t>
      </w:r>
      <w:r w:rsidRPr="00E60F16" w:rsidR="002E521E">
        <w:rPr>
          <w:rFonts w:ascii="Times New Roman" w:hAnsi="Times New Roman"/>
          <w:bCs/>
        </w:rPr>
        <w:t xml:space="preserve">. </w:t>
      </w:r>
      <w:r w:rsidRPr="00E60F16">
        <w:rPr>
          <w:rFonts w:ascii="Times New Roman" w:hAnsi="Times New Roman"/>
          <w:bCs/>
        </w:rPr>
        <w:t xml:space="preserve"> The data collected will be used by statisticians to calculate the retrospective </w:t>
      </w:r>
      <w:r w:rsidRPr="00E60F16">
        <w:rPr>
          <w:rFonts w:ascii="Times New Roman" w:hAnsi="Times New Roman"/>
          <w:bCs/>
        </w:rPr>
        <w:t xml:space="preserve">TRC and DART for </w:t>
      </w:r>
      <w:r w:rsidR="00DF6C06">
        <w:rPr>
          <w:rFonts w:ascii="Times New Roman" w:hAnsi="Times New Roman"/>
          <w:bCs/>
        </w:rPr>
        <w:t>the 12 months</w:t>
      </w:r>
      <w:r w:rsidRPr="00E60F16">
        <w:rPr>
          <w:rFonts w:ascii="Times New Roman" w:hAnsi="Times New Roman"/>
          <w:bCs/>
        </w:rPr>
        <w:t xml:space="preserve"> prior to the Pilot Study consultation visits.</w:t>
      </w:r>
      <w:r w:rsidRPr="00E60F16" w:rsidR="000D5E72">
        <w:rPr>
          <w:rFonts w:ascii="Times New Roman" w:hAnsi="Times New Roman" w:eastAsiaTheme="minorHAnsi"/>
          <w:bCs/>
          <w:sz w:val="22"/>
          <w:szCs w:val="22"/>
        </w:rPr>
        <w:t xml:space="preserve">  </w:t>
      </w:r>
      <w:r w:rsidRPr="00E60F16" w:rsidR="000D5E72">
        <w:rPr>
          <w:rFonts w:ascii="Times New Roman" w:hAnsi="Times New Roman"/>
          <w:bCs/>
        </w:rPr>
        <w:t>Similar data will be collected by consultants for the 12-month period following the Pilot Study (from workplaces that previously received consultation visits); for statisticians to calculate the prospective TRC and DART.</w:t>
      </w:r>
    </w:p>
    <w:p w:rsidR="005156B5" w:rsidRPr="00E60F16" w:rsidP="00831496" w14:paraId="59DA9A93" w14:textId="77777777">
      <w:pPr>
        <w:autoSpaceDE/>
        <w:autoSpaceDN/>
        <w:adjustRightInd/>
        <w:spacing w:after="160" w:line="259" w:lineRule="auto"/>
        <w:contextualSpacing/>
        <w:rPr>
          <w:rFonts w:ascii="Times New Roman" w:hAnsi="Times New Roman"/>
        </w:rPr>
      </w:pPr>
    </w:p>
    <w:p w:rsidR="005156B5" w:rsidRPr="00E60F16" w:rsidP="00B8295C" w14:paraId="3268E7D9" w14:textId="77777777">
      <w:pPr>
        <w:pStyle w:val="ListParagraph"/>
        <w:autoSpaceDE/>
        <w:autoSpaceDN/>
        <w:adjustRightInd/>
        <w:spacing w:after="160" w:line="259" w:lineRule="auto"/>
        <w:contextualSpacing/>
        <w:rPr>
          <w:rFonts w:ascii="Times New Roman" w:hAnsi="Times New Roman"/>
          <w:b/>
          <w:i/>
        </w:rPr>
      </w:pPr>
      <w:r w:rsidRPr="00E60F16">
        <w:rPr>
          <w:rFonts w:ascii="Times New Roman" w:hAnsi="Times New Roman"/>
          <w:b/>
          <w:i/>
        </w:rPr>
        <w:t>Design</w:t>
      </w:r>
    </w:p>
    <w:p w:rsidR="002A5DE3" w:rsidRPr="00E60F16" w:rsidP="005156B5" w14:paraId="7D933FA1" w14:textId="77777777">
      <w:pPr>
        <w:pStyle w:val="ListParagraph"/>
        <w:contextualSpacing/>
        <w:rPr>
          <w:rFonts w:ascii="Times New Roman" w:hAnsi="Times New Roman"/>
        </w:rPr>
      </w:pPr>
      <w:r w:rsidRPr="00E60F16">
        <w:rPr>
          <w:rFonts w:ascii="Times New Roman" w:hAnsi="Times New Roman"/>
        </w:rPr>
        <w:t xml:space="preserve">OSHA developed the DRF33 for state On-Site Consultation programs that provide no-cost consultative services to small- and medium-sized businesses nationwide (i.e., similar to how the current OSHA Form 33 is applied).  Therefore, it is essential to assess the effectiveness of the DRF33 as a tool for measuring the SHPs of small- and medium-sized businesses.  Additionally, state On-Site Consultation programs </w:t>
      </w:r>
      <w:r w:rsidRPr="00E60F16" w:rsidR="00FA33F3">
        <w:rPr>
          <w:rFonts w:ascii="Times New Roman" w:hAnsi="Times New Roman"/>
        </w:rPr>
        <w:t>were</w:t>
      </w:r>
      <w:r w:rsidRPr="00E60F16">
        <w:rPr>
          <w:rFonts w:ascii="Times New Roman" w:hAnsi="Times New Roman"/>
        </w:rPr>
        <w:t xml:space="preserve"> </w:t>
      </w:r>
      <w:r w:rsidRPr="00E60F16" w:rsidR="00306A0B">
        <w:rPr>
          <w:rFonts w:ascii="Times New Roman" w:hAnsi="Times New Roman"/>
        </w:rPr>
        <w:t>geographically grouped into ten (10) regions</w:t>
      </w:r>
      <w:r w:rsidRPr="00E60F16" w:rsidR="00340647">
        <w:rPr>
          <w:rFonts w:ascii="Times New Roman" w:hAnsi="Times New Roman"/>
        </w:rPr>
        <w:t xml:space="preserve"> nationwide</w:t>
      </w:r>
      <w:r w:rsidRPr="00E60F16" w:rsidR="00B45EB3">
        <w:rPr>
          <w:rFonts w:ascii="Times New Roman" w:hAnsi="Times New Roman"/>
        </w:rPr>
        <w:t xml:space="preserve"> (see Appendix E</w:t>
      </w:r>
      <w:r w:rsidRPr="00E60F16" w:rsidR="0082260A">
        <w:rPr>
          <w:rFonts w:ascii="Times New Roman" w:hAnsi="Times New Roman"/>
        </w:rPr>
        <w:t>, 10 Regions of the DRF33 Pilot Study</w:t>
      </w:r>
      <w:r w:rsidRPr="00E60F16" w:rsidR="00B45EB3">
        <w:rPr>
          <w:rFonts w:ascii="Times New Roman" w:hAnsi="Times New Roman"/>
        </w:rPr>
        <w:t>)</w:t>
      </w:r>
      <w:r w:rsidRPr="00E60F16">
        <w:rPr>
          <w:rFonts w:ascii="Times New Roman" w:hAnsi="Times New Roman"/>
        </w:rPr>
        <w:t xml:space="preserve">.  The five (5) industry sectors selected for the Pilot Study represent the top 5 industries most visited by On-Site Consultation programs nationwide.  </w:t>
      </w:r>
    </w:p>
    <w:p w:rsidR="00A573D1" w:rsidRPr="00E60F16" w:rsidP="005156B5" w14:paraId="14FCEE7D" w14:textId="77777777">
      <w:pPr>
        <w:pStyle w:val="ListParagraph"/>
        <w:contextualSpacing/>
        <w:rPr>
          <w:rFonts w:ascii="Times New Roman" w:hAnsi="Times New Roman"/>
        </w:rPr>
      </w:pPr>
    </w:p>
    <w:p w:rsidR="00A573D1" w:rsidRPr="00E60F16" w:rsidP="00A573D1" w14:paraId="4655F392" w14:textId="77777777">
      <w:pPr>
        <w:pStyle w:val="ListParagraph"/>
        <w:contextualSpacing/>
        <w:rPr>
          <w:rFonts w:ascii="Times New Roman" w:hAnsi="Times New Roman"/>
        </w:rPr>
      </w:pPr>
      <w:r w:rsidRPr="00E60F16">
        <w:rPr>
          <w:rFonts w:ascii="Times New Roman" w:hAnsi="Times New Roman"/>
        </w:rPr>
        <w:t xml:space="preserve">Information gathered from expert consultants suggested that workplace size and type of industry evaluated would likely influence scores on the DRF33 more than other external variables.  Additionally, there is a strong desire to include consultation visits from all </w:t>
      </w:r>
      <w:r w:rsidRPr="00E60F16" w:rsidR="002F1221">
        <w:rPr>
          <w:rFonts w:ascii="Times New Roman" w:hAnsi="Times New Roman"/>
        </w:rPr>
        <w:t xml:space="preserve">the 10 </w:t>
      </w:r>
      <w:r w:rsidRPr="00E60F16" w:rsidR="009F5507">
        <w:rPr>
          <w:rFonts w:ascii="Times New Roman" w:hAnsi="Times New Roman"/>
        </w:rPr>
        <w:t>geographical locations</w:t>
      </w:r>
      <w:r w:rsidRPr="00E60F16" w:rsidR="00F950DA">
        <w:rPr>
          <w:rFonts w:ascii="Times New Roman" w:hAnsi="Times New Roman"/>
        </w:rPr>
        <w:t xml:space="preserve"> or regions</w:t>
      </w:r>
      <w:r w:rsidRPr="00E60F16" w:rsidR="00E706DC">
        <w:rPr>
          <w:rFonts w:ascii="Times New Roman" w:hAnsi="Times New Roman"/>
        </w:rPr>
        <w:t xml:space="preserve"> nationwide</w:t>
      </w:r>
      <w:r w:rsidRPr="00E60F16">
        <w:rPr>
          <w:rFonts w:ascii="Times New Roman" w:hAnsi="Times New Roman"/>
        </w:rPr>
        <w:t xml:space="preserve">.  Therefore, these variables will be used as stratification variables in a convenience sampling plan.  </w:t>
      </w:r>
    </w:p>
    <w:p w:rsidR="002A5DE3" w:rsidRPr="00E60F16" w:rsidP="007454B3" w14:paraId="6A6E10C9" w14:textId="77777777">
      <w:pPr>
        <w:contextualSpacing/>
        <w:rPr>
          <w:rFonts w:ascii="Times New Roman" w:hAnsi="Times New Roman"/>
        </w:rPr>
      </w:pPr>
    </w:p>
    <w:p w:rsidR="005156B5" w:rsidRPr="00E60F16" w:rsidP="005156B5" w14:paraId="1B86ECAD" w14:textId="77777777">
      <w:pPr>
        <w:pStyle w:val="ListParagraph"/>
        <w:contextualSpacing/>
        <w:rPr>
          <w:rFonts w:ascii="Times New Roman" w:hAnsi="Times New Roman"/>
        </w:rPr>
      </w:pPr>
      <w:r w:rsidRPr="00E60F16">
        <w:rPr>
          <w:rFonts w:ascii="Times New Roman" w:hAnsi="Times New Roman"/>
        </w:rPr>
        <w:t xml:space="preserve">The Pilot Study to assess the reliability and validity of the </w:t>
      </w:r>
      <w:r w:rsidRPr="00E60F16" w:rsidR="00CA6947">
        <w:rPr>
          <w:rFonts w:ascii="Times New Roman" w:hAnsi="Times New Roman"/>
        </w:rPr>
        <w:t>DRF33</w:t>
      </w:r>
      <w:r w:rsidRPr="00E60F16">
        <w:rPr>
          <w:rFonts w:ascii="Times New Roman" w:hAnsi="Times New Roman"/>
        </w:rPr>
        <w:t xml:space="preserve"> is based on a 2 (workplace size) x 5 (industry sector) x 10 (</w:t>
      </w:r>
      <w:r w:rsidRPr="00E60F16" w:rsidR="00FE2BC6">
        <w:rPr>
          <w:rFonts w:ascii="Times New Roman" w:hAnsi="Times New Roman"/>
        </w:rPr>
        <w:t>geographical locations</w:t>
      </w:r>
      <w:r w:rsidRPr="00E60F16" w:rsidR="00CD2231">
        <w:rPr>
          <w:rFonts w:ascii="Times New Roman" w:hAnsi="Times New Roman"/>
        </w:rPr>
        <w:t xml:space="preserve"> or regions</w:t>
      </w:r>
      <w:r w:rsidRPr="00E60F16">
        <w:rPr>
          <w:rFonts w:ascii="Times New Roman" w:hAnsi="Times New Roman"/>
        </w:rPr>
        <w:t>) factorial design.  For every region, an equal number of small</w:t>
      </w:r>
      <w:r w:rsidRPr="00E60F16" w:rsidR="00221676">
        <w:rPr>
          <w:rFonts w:ascii="Times New Roman" w:hAnsi="Times New Roman"/>
        </w:rPr>
        <w:t>-</w:t>
      </w:r>
      <w:r w:rsidRPr="00E60F16">
        <w:rPr>
          <w:rFonts w:ascii="Times New Roman" w:hAnsi="Times New Roman"/>
        </w:rPr>
        <w:t xml:space="preserve"> (less than or equal to 25 employees</w:t>
      </w:r>
      <w:r w:rsidRPr="00E60F16" w:rsidR="00221676">
        <w:rPr>
          <w:rFonts w:ascii="Times New Roman" w:hAnsi="Times New Roman"/>
        </w:rPr>
        <w:t xml:space="preserve"> on-site</w:t>
      </w:r>
      <w:r w:rsidRPr="00E60F16">
        <w:rPr>
          <w:rFonts w:ascii="Times New Roman" w:hAnsi="Times New Roman"/>
        </w:rPr>
        <w:t>) and medium</w:t>
      </w:r>
      <w:r w:rsidRPr="00E60F16" w:rsidR="00221676">
        <w:rPr>
          <w:rFonts w:ascii="Times New Roman" w:hAnsi="Times New Roman"/>
        </w:rPr>
        <w:t>-</w:t>
      </w:r>
      <w:r w:rsidRPr="00E60F16">
        <w:rPr>
          <w:rFonts w:ascii="Times New Roman" w:hAnsi="Times New Roman"/>
        </w:rPr>
        <w:t>sized (greater than 25</w:t>
      </w:r>
      <w:r w:rsidRPr="00E60F16" w:rsidR="00221676">
        <w:rPr>
          <w:rFonts w:ascii="Times New Roman" w:hAnsi="Times New Roman"/>
        </w:rPr>
        <w:t xml:space="preserve"> but fewer than 250</w:t>
      </w:r>
      <w:r w:rsidRPr="00E60F16">
        <w:rPr>
          <w:rFonts w:ascii="Times New Roman" w:hAnsi="Times New Roman"/>
        </w:rPr>
        <w:t xml:space="preserve"> employees</w:t>
      </w:r>
      <w:r w:rsidRPr="00E60F16" w:rsidR="00221676">
        <w:rPr>
          <w:rFonts w:ascii="Times New Roman" w:hAnsi="Times New Roman"/>
        </w:rPr>
        <w:t xml:space="preserve"> on-site</w:t>
      </w:r>
      <w:r w:rsidRPr="00E60F16">
        <w:rPr>
          <w:rFonts w:ascii="Times New Roman" w:hAnsi="Times New Roman"/>
        </w:rPr>
        <w:t xml:space="preserve">) workplaces </w:t>
      </w:r>
      <w:r w:rsidRPr="00E60F16" w:rsidR="002E6267">
        <w:rPr>
          <w:rFonts w:ascii="Times New Roman" w:hAnsi="Times New Roman"/>
        </w:rPr>
        <w:t xml:space="preserve">are </w:t>
      </w:r>
      <w:r w:rsidRPr="00E60F16">
        <w:rPr>
          <w:rFonts w:ascii="Times New Roman" w:hAnsi="Times New Roman"/>
        </w:rPr>
        <w:t>be</w:t>
      </w:r>
      <w:r w:rsidRPr="00E60F16" w:rsidR="002E6267">
        <w:rPr>
          <w:rFonts w:ascii="Times New Roman" w:hAnsi="Times New Roman"/>
        </w:rPr>
        <w:t>ing</w:t>
      </w:r>
      <w:r w:rsidRPr="00E60F16">
        <w:rPr>
          <w:rFonts w:ascii="Times New Roman" w:hAnsi="Times New Roman"/>
        </w:rPr>
        <w:t xml:space="preserve"> sampled from each of five pre-specified industry sectors.  The five industry sectors </w:t>
      </w:r>
      <w:r w:rsidRPr="00E60F16" w:rsidR="002E6267">
        <w:rPr>
          <w:rFonts w:ascii="Times New Roman" w:hAnsi="Times New Roman"/>
        </w:rPr>
        <w:t xml:space="preserve">were </w:t>
      </w:r>
      <w:r w:rsidRPr="00E60F16">
        <w:rPr>
          <w:rFonts w:ascii="Times New Roman" w:hAnsi="Times New Roman"/>
        </w:rPr>
        <w:t>chosen using data fr</w:t>
      </w:r>
      <w:r w:rsidRPr="00E60F16" w:rsidR="00CA6947">
        <w:rPr>
          <w:rFonts w:ascii="Times New Roman" w:hAnsi="Times New Roman"/>
        </w:rPr>
        <w:t>om OIS</w:t>
      </w:r>
      <w:r w:rsidRPr="00E60F16">
        <w:rPr>
          <w:rFonts w:ascii="Times New Roman" w:hAnsi="Times New Roman"/>
        </w:rPr>
        <w:t xml:space="preserve"> </w:t>
      </w:r>
      <w:r w:rsidRPr="00E60F16" w:rsidR="00CA6947">
        <w:rPr>
          <w:rFonts w:ascii="Times New Roman" w:hAnsi="Times New Roman"/>
        </w:rPr>
        <w:t>for at least three years</w:t>
      </w:r>
      <w:r w:rsidRPr="00E60F16">
        <w:rPr>
          <w:rFonts w:ascii="Times New Roman" w:hAnsi="Times New Roman"/>
        </w:rPr>
        <w:t xml:space="preserve"> (</w:t>
      </w:r>
      <w:r w:rsidRPr="00E60F16" w:rsidR="00CA6947">
        <w:rPr>
          <w:rFonts w:ascii="Times New Roman" w:hAnsi="Times New Roman"/>
        </w:rPr>
        <w:t xml:space="preserve">e.g., </w:t>
      </w:r>
      <w:r w:rsidRPr="00E60F16">
        <w:rPr>
          <w:rFonts w:ascii="Times New Roman" w:hAnsi="Times New Roman"/>
        </w:rPr>
        <w:t>FY2018-FY2020).  Specifically, the most frequently surveyed sectors (i.e., North American Industry Cla</w:t>
      </w:r>
      <w:r w:rsidRPr="00E60F16" w:rsidR="00CA6947">
        <w:rPr>
          <w:rFonts w:ascii="Times New Roman" w:hAnsi="Times New Roman"/>
        </w:rPr>
        <w:t>ssification System (NAICS) code</w:t>
      </w:r>
      <w:r w:rsidRPr="00E60F16" w:rsidR="00FF597F">
        <w:rPr>
          <w:rFonts w:ascii="Times New Roman" w:hAnsi="Times New Roman"/>
        </w:rPr>
        <w:t xml:space="preserve">) </w:t>
      </w:r>
      <w:r w:rsidRPr="00E60F16" w:rsidR="008E5F0A">
        <w:rPr>
          <w:rFonts w:ascii="Times New Roman" w:hAnsi="Times New Roman"/>
        </w:rPr>
        <w:t>were</w:t>
      </w:r>
      <w:r w:rsidRPr="00E60F16">
        <w:rPr>
          <w:rFonts w:ascii="Times New Roman" w:hAnsi="Times New Roman"/>
        </w:rPr>
        <w:t xml:space="preserve"> identified using data from across the nation.  </w:t>
      </w:r>
      <w:r w:rsidR="00DF6C06">
        <w:rPr>
          <w:rFonts w:ascii="Times New Roman" w:hAnsi="Times New Roman"/>
        </w:rPr>
        <w:t>Five sectors with sufficient representation across all regions were selected for the study from this subset of industry sectors</w:t>
      </w:r>
      <w:r w:rsidRPr="00E60F16">
        <w:rPr>
          <w:rFonts w:ascii="Times New Roman" w:hAnsi="Times New Roman"/>
        </w:rPr>
        <w:t xml:space="preserve">.  Each of these selected sectors </w:t>
      </w:r>
      <w:r w:rsidRPr="00E60F16" w:rsidR="008E5F0A">
        <w:rPr>
          <w:rFonts w:ascii="Times New Roman" w:hAnsi="Times New Roman"/>
        </w:rPr>
        <w:t xml:space="preserve">will </w:t>
      </w:r>
      <w:r w:rsidRPr="00E60F16">
        <w:rPr>
          <w:rFonts w:ascii="Times New Roman" w:hAnsi="Times New Roman"/>
        </w:rPr>
        <w:t>possess the requisite number of small</w:t>
      </w:r>
      <w:r w:rsidRPr="00E60F16" w:rsidR="008636A6">
        <w:rPr>
          <w:rFonts w:ascii="Times New Roman" w:hAnsi="Times New Roman"/>
        </w:rPr>
        <w:t>-</w:t>
      </w:r>
      <w:r w:rsidRPr="00E60F16" w:rsidR="00CA6947">
        <w:rPr>
          <w:rFonts w:ascii="Times New Roman" w:hAnsi="Times New Roman"/>
        </w:rPr>
        <w:t xml:space="preserve"> and medium-</w:t>
      </w:r>
      <w:r w:rsidRPr="00E60F16">
        <w:rPr>
          <w:rFonts w:ascii="Times New Roman" w:hAnsi="Times New Roman"/>
        </w:rPr>
        <w:t xml:space="preserve">sized workplaces in each region.  </w:t>
      </w:r>
    </w:p>
    <w:p w:rsidR="00D8641F" w:rsidRPr="00E60F16" w:rsidP="00D8641F" w14:paraId="223273C7" w14:textId="77777777">
      <w:pPr>
        <w:widowControl/>
        <w:autoSpaceDE/>
        <w:autoSpaceDN/>
        <w:adjustRightInd/>
        <w:spacing w:after="160" w:line="259" w:lineRule="auto"/>
        <w:ind w:left="720"/>
        <w:contextualSpacing/>
        <w:rPr>
          <w:rFonts w:ascii="Times New Roman" w:hAnsi="Times New Roman"/>
        </w:rPr>
      </w:pPr>
    </w:p>
    <w:p w:rsidR="005156B5" w:rsidRPr="00E60F16" w:rsidP="003631FD" w14:paraId="04906559" w14:textId="77777777">
      <w:pPr>
        <w:keepNext/>
        <w:widowControl/>
        <w:autoSpaceDE/>
        <w:autoSpaceDN/>
        <w:adjustRightInd/>
        <w:spacing w:after="160" w:line="259" w:lineRule="auto"/>
        <w:ind w:left="720"/>
        <w:contextualSpacing/>
        <w:rPr>
          <w:rFonts w:ascii="Times New Roman" w:hAnsi="Times New Roman"/>
          <w:b/>
          <w:i/>
          <w:iCs/>
        </w:rPr>
      </w:pPr>
      <w:r w:rsidRPr="00E60F16">
        <w:rPr>
          <w:rFonts w:ascii="Times New Roman" w:hAnsi="Times New Roman"/>
          <w:b/>
          <w:i/>
          <w:iCs/>
        </w:rPr>
        <w:t>Sample characteristics</w:t>
      </w:r>
    </w:p>
    <w:p w:rsidR="002A5DE3" w:rsidRPr="00E60F16" w:rsidP="005156B5" w14:paraId="328CC8D2" w14:textId="77777777">
      <w:pPr>
        <w:widowControl/>
        <w:autoSpaceDE/>
        <w:autoSpaceDN/>
        <w:adjustRightInd/>
        <w:spacing w:after="160" w:line="259" w:lineRule="auto"/>
        <w:ind w:left="720"/>
        <w:contextualSpacing/>
        <w:rPr>
          <w:rFonts w:ascii="Times New Roman" w:hAnsi="Times New Roman"/>
        </w:rPr>
      </w:pPr>
      <w:r w:rsidRPr="00E60F16">
        <w:rPr>
          <w:rFonts w:ascii="Times New Roman" w:hAnsi="Times New Roman"/>
        </w:rPr>
        <w:t>The Pilot Study use</w:t>
      </w:r>
      <w:r w:rsidRPr="00E60F16" w:rsidR="002E6267">
        <w:rPr>
          <w:rFonts w:ascii="Times New Roman" w:hAnsi="Times New Roman"/>
        </w:rPr>
        <w:t>s</w:t>
      </w:r>
      <w:r w:rsidRPr="00E60F16">
        <w:rPr>
          <w:rFonts w:ascii="Times New Roman" w:hAnsi="Times New Roman"/>
        </w:rPr>
        <w:t xml:space="preserve"> a stratified convenience sample with workplace size, industry sector, and region as stratification variables.  As mentioned above, this will yield a 2 x 5 x 10 = 100 cell design.  </w:t>
      </w:r>
      <w:r w:rsidRPr="00E60F16" w:rsidR="005156B5">
        <w:rPr>
          <w:rFonts w:ascii="Times New Roman" w:hAnsi="Times New Roman"/>
        </w:rPr>
        <w:t>There will be three</w:t>
      </w:r>
      <w:r w:rsidRPr="00E60F16" w:rsidR="00B83021">
        <w:rPr>
          <w:rFonts w:ascii="Times New Roman" w:hAnsi="Times New Roman"/>
        </w:rPr>
        <w:t xml:space="preserve"> (3)</w:t>
      </w:r>
      <w:r w:rsidRPr="00E60F16" w:rsidR="005156B5">
        <w:rPr>
          <w:rFonts w:ascii="Times New Roman" w:hAnsi="Times New Roman"/>
        </w:rPr>
        <w:t xml:space="preserve"> workplaces sampled in each of the 100 cells of the factorial design for a total sample size of 300 workplaces.  These workplaces </w:t>
      </w:r>
      <w:r w:rsidRPr="00E60F16" w:rsidR="002E6267">
        <w:rPr>
          <w:rFonts w:ascii="Times New Roman" w:hAnsi="Times New Roman"/>
        </w:rPr>
        <w:t>are</w:t>
      </w:r>
      <w:r w:rsidRPr="00E60F16" w:rsidR="005156B5">
        <w:rPr>
          <w:rFonts w:ascii="Times New Roman" w:hAnsi="Times New Roman"/>
        </w:rPr>
        <w:t xml:space="preserve"> selected by the Consultation Program Managers </w:t>
      </w:r>
      <w:r w:rsidRPr="00E60F16" w:rsidR="00CA6947">
        <w:rPr>
          <w:rFonts w:ascii="Times New Roman" w:hAnsi="Times New Roman"/>
        </w:rPr>
        <w:t xml:space="preserve">who oversee </w:t>
      </w:r>
      <w:r w:rsidRPr="00E60F16" w:rsidR="0015627A">
        <w:rPr>
          <w:rFonts w:ascii="Times New Roman" w:hAnsi="Times New Roman"/>
        </w:rPr>
        <w:t>State On-Site Consultation program</w:t>
      </w:r>
      <w:r w:rsidRPr="00E60F16" w:rsidR="00CA6947">
        <w:rPr>
          <w:rFonts w:ascii="Times New Roman" w:hAnsi="Times New Roman"/>
        </w:rPr>
        <w:t xml:space="preserve">s </w:t>
      </w:r>
      <w:r w:rsidRPr="00E60F16" w:rsidR="005156B5">
        <w:rPr>
          <w:rFonts w:ascii="Times New Roman" w:hAnsi="Times New Roman"/>
        </w:rPr>
        <w:t xml:space="preserve">(using the criteria specified for the study) to represent the most-frequently visited industries in the country with two classifications of company size (i.e., small and medium). </w:t>
      </w:r>
      <w:r w:rsidRPr="00E60F16" w:rsidR="00CA6947">
        <w:rPr>
          <w:rFonts w:ascii="Times New Roman" w:hAnsi="Times New Roman"/>
        </w:rPr>
        <w:t xml:space="preserve"> </w:t>
      </w:r>
    </w:p>
    <w:p w:rsidR="002A5DE3" w:rsidRPr="00E60F16" w:rsidP="005156B5" w14:paraId="5E00F0B0" w14:textId="77777777">
      <w:pPr>
        <w:widowControl/>
        <w:autoSpaceDE/>
        <w:autoSpaceDN/>
        <w:adjustRightInd/>
        <w:spacing w:after="160" w:line="259" w:lineRule="auto"/>
        <w:ind w:left="720"/>
        <w:contextualSpacing/>
        <w:rPr>
          <w:rFonts w:ascii="Times New Roman" w:hAnsi="Times New Roman"/>
        </w:rPr>
      </w:pPr>
    </w:p>
    <w:p w:rsidR="006454A8" w:rsidRPr="00E60F16" w:rsidP="00E349A8" w14:paraId="651E65F4" w14:textId="77777777">
      <w:pPr>
        <w:widowControl/>
        <w:autoSpaceDE/>
        <w:autoSpaceDN/>
        <w:adjustRightInd/>
        <w:spacing w:after="160" w:line="259" w:lineRule="auto"/>
        <w:ind w:left="720"/>
        <w:contextualSpacing/>
        <w:rPr>
          <w:rFonts w:ascii="Times New Roman" w:hAnsi="Times New Roman"/>
        </w:rPr>
      </w:pPr>
      <w:r w:rsidRPr="00E60F16">
        <w:rPr>
          <w:rFonts w:ascii="Times New Roman" w:hAnsi="Times New Roman"/>
        </w:rPr>
        <w:t xml:space="preserve">Consultation visits </w:t>
      </w:r>
      <w:r w:rsidRPr="00E60F16" w:rsidR="00A20084">
        <w:rPr>
          <w:rFonts w:ascii="Times New Roman" w:hAnsi="Times New Roman"/>
        </w:rPr>
        <w:t>are</w:t>
      </w:r>
      <w:r w:rsidRPr="00E60F16">
        <w:rPr>
          <w:rFonts w:ascii="Times New Roman" w:hAnsi="Times New Roman"/>
        </w:rPr>
        <w:t xml:space="preserve"> assigned in an effort to meet the study criteria based on the open pool of requests within each Consultation program. </w:t>
      </w:r>
      <w:r w:rsidRPr="00E60F16" w:rsidR="00CA6947">
        <w:rPr>
          <w:rFonts w:ascii="Times New Roman" w:hAnsi="Times New Roman"/>
        </w:rPr>
        <w:t xml:space="preserve"> </w:t>
      </w:r>
      <w:r w:rsidRPr="00E60F16">
        <w:rPr>
          <w:rFonts w:ascii="Times New Roman" w:hAnsi="Times New Roman"/>
        </w:rPr>
        <w:t xml:space="preserve">The workplaces selected for study visits must not have an active OSHA or </w:t>
      </w:r>
      <w:hyperlink r:id="rId14" w:history="1">
        <w:r w:rsidRPr="00E60F16">
          <w:rPr>
            <w:rStyle w:val="Hyperlink"/>
            <w:rFonts w:ascii="Times New Roman" w:hAnsi="Times New Roman"/>
          </w:rPr>
          <w:t>State Plan</w:t>
        </w:r>
      </w:hyperlink>
      <w:r w:rsidRPr="00E60F16">
        <w:rPr>
          <w:rFonts w:ascii="Times New Roman" w:hAnsi="Times New Roman"/>
        </w:rPr>
        <w:t xml:space="preserve"> enforcement inspection or involvement at the time of the consultation visit and must </w:t>
      </w:r>
      <w:r w:rsidRPr="00E60F16" w:rsidR="00A20084">
        <w:rPr>
          <w:rFonts w:ascii="Times New Roman" w:hAnsi="Times New Roman"/>
        </w:rPr>
        <w:t xml:space="preserve">have </w:t>
      </w:r>
      <w:r w:rsidRPr="00E60F16">
        <w:rPr>
          <w:rFonts w:ascii="Times New Roman" w:hAnsi="Times New Roman"/>
        </w:rPr>
        <w:t>be</w:t>
      </w:r>
      <w:r w:rsidRPr="00E60F16" w:rsidR="00A20084">
        <w:rPr>
          <w:rFonts w:ascii="Times New Roman" w:hAnsi="Times New Roman"/>
        </w:rPr>
        <w:t>en</w:t>
      </w:r>
      <w:r w:rsidRPr="00E60F16">
        <w:rPr>
          <w:rFonts w:ascii="Times New Roman" w:hAnsi="Times New Roman"/>
        </w:rPr>
        <w:t xml:space="preserve"> in business for at least 2 years.  The employer must not have an employee population of more than 250, corporate wide.  All study measures</w:t>
      </w:r>
      <w:r w:rsidRPr="00E60F16" w:rsidR="00C05097">
        <w:rPr>
          <w:rFonts w:ascii="Times New Roman" w:hAnsi="Times New Roman"/>
        </w:rPr>
        <w:t xml:space="preserve"> for the 48 attributes</w:t>
      </w:r>
      <w:r w:rsidRPr="00E60F16">
        <w:rPr>
          <w:rFonts w:ascii="Times New Roman" w:hAnsi="Times New Roman"/>
        </w:rPr>
        <w:t xml:space="preserve"> will be obtained from every workplace</w:t>
      </w:r>
      <w:r w:rsidRPr="00E60F16">
        <w:rPr>
          <w:rFonts w:ascii="Times New Roman" w:hAnsi="Times New Roman" w:eastAsiaTheme="minorHAnsi"/>
          <w:sz w:val="22"/>
          <w:szCs w:val="22"/>
        </w:rPr>
        <w:t xml:space="preserve"> </w:t>
      </w:r>
      <w:r w:rsidRPr="00E60F16">
        <w:rPr>
          <w:rFonts w:ascii="Times New Roman" w:hAnsi="Times New Roman"/>
        </w:rPr>
        <w:t xml:space="preserve">with the exception of the four attributes designed for only multi-employer workplaces.  </w:t>
      </w:r>
    </w:p>
    <w:p w:rsidR="006454A8" w:rsidRPr="00E60F16" w:rsidP="005156B5" w14:paraId="5A3A2F8F" w14:textId="77777777">
      <w:pPr>
        <w:widowControl/>
        <w:autoSpaceDE/>
        <w:autoSpaceDN/>
        <w:adjustRightInd/>
        <w:spacing w:after="160" w:line="259" w:lineRule="auto"/>
        <w:ind w:left="720"/>
        <w:contextualSpacing/>
        <w:rPr>
          <w:rFonts w:ascii="Times New Roman" w:hAnsi="Times New Roman"/>
        </w:rPr>
      </w:pPr>
    </w:p>
    <w:p w:rsidR="005156B5" w:rsidRPr="00E60F16" w:rsidP="005156B5" w14:paraId="053F6CB3" w14:textId="77777777">
      <w:pPr>
        <w:widowControl/>
        <w:autoSpaceDE/>
        <w:autoSpaceDN/>
        <w:adjustRightInd/>
        <w:spacing w:after="160" w:line="259" w:lineRule="auto"/>
        <w:ind w:left="720"/>
        <w:contextualSpacing/>
        <w:rPr>
          <w:rFonts w:ascii="Times New Roman" w:hAnsi="Times New Roman"/>
        </w:rPr>
      </w:pPr>
      <w:r>
        <w:rPr>
          <w:rFonts w:ascii="Times New Roman" w:hAnsi="Times New Roman"/>
        </w:rPr>
        <w:t xml:space="preserve">Two consultants will visit fifty of the 300 workplaces (five from each region) and rate them using the DRF33. The second rating will be used to analyze inter-rater reliability. </w:t>
      </w:r>
      <w:r w:rsidRPr="00E60F16" w:rsidR="00C05097">
        <w:rPr>
          <w:rFonts w:ascii="Times New Roman" w:hAnsi="Times New Roman"/>
        </w:rPr>
        <w:t>This will result in 350 SHP assessments</w:t>
      </w:r>
      <w:r w:rsidRPr="00E60F16" w:rsidR="00352519">
        <w:rPr>
          <w:rFonts w:ascii="Times New Roman" w:hAnsi="Times New Roman"/>
        </w:rPr>
        <w:t xml:space="preserve"> from the 300 workplaces visited</w:t>
      </w:r>
      <w:r w:rsidRPr="00E60F16" w:rsidR="00C05097">
        <w:rPr>
          <w:rFonts w:ascii="Times New Roman" w:hAnsi="Times New Roman"/>
        </w:rPr>
        <w:t>.</w:t>
      </w:r>
    </w:p>
    <w:p w:rsidR="0005448E" w:rsidRPr="00E60F16" w:rsidP="007454B3" w14:paraId="6D39CA25" w14:textId="77777777">
      <w:pPr>
        <w:widowControl/>
        <w:autoSpaceDE/>
        <w:autoSpaceDN/>
        <w:adjustRightInd/>
        <w:spacing w:after="160" w:line="259" w:lineRule="auto"/>
        <w:contextualSpacing/>
        <w:rPr>
          <w:rFonts w:ascii="Times New Roman" w:hAnsi="Times New Roman"/>
        </w:rPr>
      </w:pPr>
    </w:p>
    <w:p w:rsidR="008E7D4A" w:rsidRPr="00E60F16" w:rsidP="0005448E" w14:paraId="5D0CD358" w14:textId="77777777">
      <w:pPr>
        <w:widowControl/>
        <w:autoSpaceDE/>
        <w:autoSpaceDN/>
        <w:adjustRightInd/>
        <w:spacing w:after="160" w:line="259" w:lineRule="auto"/>
        <w:ind w:left="720"/>
        <w:contextualSpacing/>
        <w:rPr>
          <w:rFonts w:ascii="Times New Roman" w:hAnsi="Times New Roman"/>
          <w:b/>
          <w:u w:val="single"/>
        </w:rPr>
      </w:pPr>
      <w:r w:rsidRPr="00E60F16">
        <w:rPr>
          <w:rFonts w:ascii="Times New Roman" w:hAnsi="Times New Roman"/>
          <w:b/>
          <w:u w:val="single"/>
        </w:rPr>
        <w:t>Prospective Analys</w:t>
      </w:r>
      <w:r w:rsidRPr="00E60F16" w:rsidR="0071413E">
        <w:rPr>
          <w:rFonts w:ascii="Times New Roman" w:hAnsi="Times New Roman"/>
          <w:b/>
          <w:u w:val="single"/>
        </w:rPr>
        <w:t>i</w:t>
      </w:r>
      <w:r w:rsidRPr="00E60F16">
        <w:rPr>
          <w:rFonts w:ascii="Times New Roman" w:hAnsi="Times New Roman"/>
          <w:b/>
          <w:u w:val="single"/>
        </w:rPr>
        <w:t>s</w:t>
      </w:r>
    </w:p>
    <w:p w:rsidR="000D07F3" w:rsidRPr="00E60F16" w:rsidP="000D07F3" w14:paraId="5014B202" w14:textId="77777777">
      <w:pPr>
        <w:ind w:left="720"/>
        <w:rPr>
          <w:rFonts w:ascii="Times New Roman" w:hAnsi="Times New Roman"/>
          <w:bCs/>
        </w:rPr>
      </w:pPr>
      <w:r w:rsidRPr="00E60F16">
        <w:rPr>
          <w:rFonts w:ascii="Times New Roman" w:hAnsi="Times New Roman"/>
          <w:bCs/>
        </w:rPr>
        <w:t>Prospective estimates of the TRC and DART will be based on the 12-month period following the consultation visits, as described above</w:t>
      </w:r>
      <w:r w:rsidRPr="00E60F16" w:rsidR="00095EDE">
        <w:rPr>
          <w:rFonts w:ascii="Times New Roman" w:hAnsi="Times New Roman"/>
          <w:bCs/>
        </w:rPr>
        <w:t xml:space="preserve"> (i.e., </w:t>
      </w:r>
      <w:r w:rsidRPr="00E60F16" w:rsidR="00276225">
        <w:rPr>
          <w:rFonts w:ascii="Times New Roman" w:hAnsi="Times New Roman"/>
          <w:bCs/>
        </w:rPr>
        <w:t>TRC and DART</w:t>
      </w:r>
      <w:r w:rsidRPr="00E60F16" w:rsidR="00095EDE">
        <w:rPr>
          <w:rFonts w:ascii="Times New Roman" w:hAnsi="Times New Roman"/>
          <w:bCs/>
        </w:rPr>
        <w:t xml:space="preserve"> Calculations</w:t>
      </w:r>
      <w:r w:rsidRPr="00E60F16" w:rsidR="00276225">
        <w:rPr>
          <w:rFonts w:ascii="Times New Roman" w:hAnsi="Times New Roman"/>
          <w:bCs/>
        </w:rPr>
        <w:t>)</w:t>
      </w:r>
      <w:r w:rsidRPr="00E60F16">
        <w:rPr>
          <w:rFonts w:ascii="Times New Roman" w:hAnsi="Times New Roman"/>
          <w:bCs/>
        </w:rPr>
        <w:t xml:space="preserve">.  These covariates will be analyzed </w:t>
      </w:r>
      <w:r w:rsidRPr="00E60F16" w:rsidR="00935D29">
        <w:rPr>
          <w:rFonts w:ascii="Times New Roman" w:hAnsi="Times New Roman"/>
          <w:bCs/>
        </w:rPr>
        <w:t>similar to</w:t>
      </w:r>
      <w:r w:rsidRPr="00E60F16">
        <w:rPr>
          <w:rFonts w:ascii="Times New Roman" w:hAnsi="Times New Roman"/>
          <w:bCs/>
        </w:rPr>
        <w:t xml:space="preserve"> the retrospective analyses</w:t>
      </w:r>
      <w:r w:rsidRPr="00E60F16" w:rsidR="00935D29">
        <w:rPr>
          <w:rFonts w:ascii="Times New Roman" w:hAnsi="Times New Roman"/>
          <w:bCs/>
        </w:rPr>
        <w:t xml:space="preserve"> (see #16 below)</w:t>
      </w:r>
      <w:r w:rsidRPr="00E60F16">
        <w:rPr>
          <w:rFonts w:ascii="Times New Roman" w:hAnsi="Times New Roman"/>
          <w:bCs/>
        </w:rPr>
        <w:t>, although these analyses will take place one year after the Pilot Study consultation visits when prospective covariates are available.</w:t>
      </w:r>
      <w:r w:rsidRPr="00E60F16" w:rsidR="00276225">
        <w:rPr>
          <w:rFonts w:ascii="Times New Roman" w:hAnsi="Times New Roman"/>
          <w:bCs/>
        </w:rPr>
        <w:t xml:space="preserve">  The </w:t>
      </w:r>
      <w:r w:rsidRPr="00E60F16" w:rsidR="003A79A7">
        <w:rPr>
          <w:rFonts w:ascii="Times New Roman" w:hAnsi="Times New Roman"/>
          <w:bCs/>
        </w:rPr>
        <w:t>prospective injury and illness data collection</w:t>
      </w:r>
      <w:r w:rsidRPr="00E60F16" w:rsidR="00276225">
        <w:rPr>
          <w:rFonts w:ascii="Times New Roman" w:hAnsi="Times New Roman"/>
          <w:bCs/>
        </w:rPr>
        <w:t xml:space="preserve"> will not involve any additional consultation visits, therefore, there will be no SHP assessments using the DRF33.  Consultants will collect injury and illness data from employers via phone, fax, email, etcetera.  </w:t>
      </w:r>
    </w:p>
    <w:p w:rsidR="000D07F3" w:rsidRPr="00E60F16" w:rsidP="000D07F3" w14:paraId="44FDC4CD" w14:textId="77777777">
      <w:pPr>
        <w:ind w:left="720"/>
        <w:rPr>
          <w:rFonts w:ascii="Times New Roman" w:hAnsi="Times New Roman"/>
          <w:bCs/>
        </w:rPr>
      </w:pPr>
    </w:p>
    <w:p w:rsidR="006454A8" w:rsidRPr="00E60F16" w:rsidP="006454A8" w14:paraId="5673D0A7" w14:textId="77777777">
      <w:pPr>
        <w:widowControl/>
        <w:autoSpaceDE/>
        <w:autoSpaceDN/>
        <w:adjustRightInd/>
        <w:spacing w:after="160" w:line="259" w:lineRule="auto"/>
        <w:ind w:left="720"/>
        <w:contextualSpacing/>
        <w:rPr>
          <w:rFonts w:ascii="Times New Roman" w:hAnsi="Times New Roman"/>
          <w:b/>
          <w:i/>
        </w:rPr>
      </w:pPr>
      <w:r w:rsidRPr="00E60F16">
        <w:rPr>
          <w:rFonts w:ascii="Times New Roman" w:hAnsi="Times New Roman"/>
          <w:b/>
          <w:i/>
        </w:rPr>
        <w:t>Pre-Test and Follow-Up</w:t>
      </w:r>
    </w:p>
    <w:p w:rsidR="006454A8" w:rsidRPr="00E60F16" w:rsidP="006454A8" w14:paraId="34186AE3" w14:textId="77777777">
      <w:pPr>
        <w:widowControl/>
        <w:autoSpaceDE/>
        <w:autoSpaceDN/>
        <w:adjustRightInd/>
        <w:spacing w:after="160" w:line="259" w:lineRule="auto"/>
        <w:ind w:left="720"/>
        <w:contextualSpacing/>
        <w:rPr>
          <w:rFonts w:ascii="Times New Roman" w:hAnsi="Times New Roman"/>
        </w:rPr>
      </w:pPr>
      <w:r w:rsidRPr="00E60F16">
        <w:rPr>
          <w:rFonts w:ascii="Times New Roman" w:hAnsi="Times New Roman"/>
        </w:rPr>
        <w:t xml:space="preserve">A pre-test </w:t>
      </w:r>
      <w:r w:rsidRPr="00E60F16" w:rsidR="00352519">
        <w:rPr>
          <w:rFonts w:ascii="Times New Roman" w:hAnsi="Times New Roman"/>
        </w:rPr>
        <w:t xml:space="preserve">was </w:t>
      </w:r>
      <w:r w:rsidRPr="00E60F16">
        <w:rPr>
          <w:rFonts w:ascii="Times New Roman" w:hAnsi="Times New Roman"/>
        </w:rPr>
        <w:t xml:space="preserve">conducted using the DRF33 to ensure that all procedures and information technology platforms will function as designed during the Pilot Study.  Any failings observed in procedures or technology used during the pre-test </w:t>
      </w:r>
      <w:r w:rsidRPr="00E60F16" w:rsidR="00352519">
        <w:rPr>
          <w:rFonts w:ascii="Times New Roman" w:hAnsi="Times New Roman"/>
        </w:rPr>
        <w:t>were</w:t>
      </w:r>
      <w:r w:rsidRPr="00E60F16">
        <w:rPr>
          <w:rFonts w:ascii="Times New Roman" w:hAnsi="Times New Roman"/>
        </w:rPr>
        <w:t xml:space="preserve"> addressed before launching the Pilot Study.  The pre-test </w:t>
      </w:r>
      <w:r w:rsidRPr="00E60F16" w:rsidR="00352519">
        <w:rPr>
          <w:rFonts w:ascii="Times New Roman" w:hAnsi="Times New Roman"/>
        </w:rPr>
        <w:t>was</w:t>
      </w:r>
      <w:r w:rsidRPr="00E60F16">
        <w:rPr>
          <w:rFonts w:ascii="Times New Roman" w:hAnsi="Times New Roman"/>
        </w:rPr>
        <w:t xml:space="preserve"> conducted in only one of the ten regions with</w:t>
      </w:r>
      <w:r w:rsidRPr="00E60F16" w:rsidR="00352519">
        <w:rPr>
          <w:rFonts w:ascii="Times New Roman" w:hAnsi="Times New Roman"/>
        </w:rPr>
        <w:t xml:space="preserve"> fewer than the</w:t>
      </w:r>
      <w:r w:rsidRPr="00E60F16">
        <w:rPr>
          <w:rFonts w:ascii="Times New Roman" w:hAnsi="Times New Roman"/>
        </w:rPr>
        <w:t xml:space="preserve"> maximum of twenty (20) workplace SHP assessments </w:t>
      </w:r>
      <w:r w:rsidRPr="00E60F16" w:rsidR="00352519">
        <w:rPr>
          <w:rFonts w:ascii="Times New Roman" w:hAnsi="Times New Roman"/>
        </w:rPr>
        <w:t>estimated</w:t>
      </w:r>
      <w:r w:rsidRPr="00E60F16">
        <w:rPr>
          <w:rFonts w:ascii="Times New Roman" w:hAnsi="Times New Roman"/>
        </w:rPr>
        <w:t xml:space="preserve">.  Similarly, a Pilot Study follow-up will be conducted, using a maximum of thirty (30) workplace SHP assessments, only if </w:t>
      </w:r>
      <w:r w:rsidRPr="00E60F16" w:rsidR="00352519">
        <w:rPr>
          <w:rFonts w:ascii="Times New Roman" w:hAnsi="Times New Roman"/>
        </w:rPr>
        <w:t>data analyses and other</w:t>
      </w:r>
      <w:r w:rsidRPr="00E60F16">
        <w:rPr>
          <w:rFonts w:ascii="Times New Roman" w:hAnsi="Times New Roman"/>
        </w:rPr>
        <w:t xml:space="preserve"> findings result in updates to the DRF33 and ARG that require verification of effectiveness before implementation operationally.  </w:t>
      </w:r>
    </w:p>
    <w:p w:rsidR="006454A8" w:rsidRPr="00E60F16" w:rsidP="000D07F3" w14:paraId="27C9669A" w14:textId="77777777">
      <w:pPr>
        <w:ind w:left="720"/>
        <w:rPr>
          <w:rFonts w:ascii="Times New Roman" w:hAnsi="Times New Roman"/>
          <w:bCs/>
        </w:rPr>
      </w:pPr>
    </w:p>
    <w:p w:rsidR="000D07F3" w:rsidRPr="00E60F16" w:rsidP="000D07F3" w14:paraId="7471D724" w14:textId="77777777">
      <w:pPr>
        <w:ind w:left="720"/>
        <w:rPr>
          <w:rFonts w:ascii="Times New Roman" w:hAnsi="Times New Roman"/>
          <w:bCs/>
          <w:lang w:val="en"/>
        </w:rPr>
      </w:pPr>
    </w:p>
    <w:p w:rsidR="00690F56" w:rsidRPr="00E60F16" w:rsidP="00693D26" w14:paraId="4E577EE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bCs/>
        </w:rPr>
      </w:pPr>
      <w:r w:rsidRPr="00E60F16">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E60F16" w:rsidR="00237691">
        <w:rPr>
          <w:rFonts w:ascii="Times New Roman" w:hAnsi="Times New Roman"/>
          <w:b/>
          <w:bCs/>
        </w:rPr>
        <w:t>,</w:t>
      </w:r>
      <w:r w:rsidRPr="00E60F16">
        <w:rPr>
          <w:rFonts w:ascii="Times New Roman" w:hAnsi="Times New Roman"/>
          <w:b/>
          <w:bCs/>
        </w:rPr>
        <w:t xml:space="preserve"> describe any consideration of using information technology to reduce burden.</w:t>
      </w:r>
    </w:p>
    <w:p w:rsidR="00690F56" w:rsidRPr="00E60F16" w:rsidP="00690F56" w14:paraId="0DAD5E3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165C" w:rsidRPr="00E60F16" w:rsidP="00D8641F" w14:paraId="4F04DB3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u w:val="single"/>
        </w:rPr>
      </w:pPr>
      <w:r w:rsidRPr="00E60F16">
        <w:rPr>
          <w:rFonts w:ascii="Times New Roman" w:hAnsi="Times New Roman"/>
          <w:b/>
          <w:u w:val="single"/>
        </w:rPr>
        <w:t xml:space="preserve">Pilot Study </w:t>
      </w:r>
    </w:p>
    <w:p w:rsidR="00C6165C" w:rsidRPr="00E60F16" w:rsidP="00D8641F" w14:paraId="085BC34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u w:val="single"/>
        </w:rPr>
      </w:pPr>
    </w:p>
    <w:p w:rsidR="004C72E3" w:rsidRPr="00E60F16" w:rsidP="00D8641F" w14:paraId="435E2D0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To reduce the information collection burden, the </w:t>
      </w:r>
      <w:r w:rsidRPr="00E60F16" w:rsidR="00831496">
        <w:rPr>
          <w:rFonts w:ascii="Times New Roman" w:hAnsi="Times New Roman"/>
        </w:rPr>
        <w:t xml:space="preserve">pre-test, </w:t>
      </w:r>
      <w:r w:rsidRPr="00E60F16">
        <w:rPr>
          <w:rFonts w:ascii="Times New Roman" w:hAnsi="Times New Roman"/>
        </w:rPr>
        <w:t>consultation visits</w:t>
      </w:r>
      <w:r w:rsidRPr="00E60F16" w:rsidR="00401452">
        <w:rPr>
          <w:rFonts w:ascii="Times New Roman" w:hAnsi="Times New Roman"/>
        </w:rPr>
        <w:t xml:space="preserve">, </w:t>
      </w:r>
      <w:r w:rsidRPr="00E60F16">
        <w:rPr>
          <w:rFonts w:ascii="Times New Roman" w:hAnsi="Times New Roman"/>
        </w:rPr>
        <w:t xml:space="preserve">SHP assessments, </w:t>
      </w:r>
      <w:r w:rsidRPr="00E60F16" w:rsidR="00831496">
        <w:rPr>
          <w:rFonts w:ascii="Times New Roman" w:hAnsi="Times New Roman"/>
        </w:rPr>
        <w:t xml:space="preserve">and six optional survey questions involve </w:t>
      </w:r>
      <w:r w:rsidR="00532F9F">
        <w:rPr>
          <w:rFonts w:ascii="Times New Roman" w:hAnsi="Times New Roman"/>
        </w:rPr>
        <w:t xml:space="preserve">consultants using information technology (IT) equipment (e.g., tablets) and data collection software (e.g., Qualtrics) and Dropbox. </w:t>
      </w:r>
      <w:r w:rsidRPr="00E60F16">
        <w:rPr>
          <w:rFonts w:ascii="Times New Roman" w:hAnsi="Times New Roman"/>
        </w:rPr>
        <w:t xml:space="preserve">Similarly, the </w:t>
      </w:r>
      <w:r w:rsidRPr="00E60F16" w:rsidR="00E37402">
        <w:rPr>
          <w:rFonts w:ascii="Times New Roman" w:hAnsi="Times New Roman"/>
        </w:rPr>
        <w:t xml:space="preserve">prospective analysis and any </w:t>
      </w:r>
      <w:r w:rsidRPr="00E60F16">
        <w:rPr>
          <w:rFonts w:ascii="Times New Roman" w:hAnsi="Times New Roman"/>
        </w:rPr>
        <w:t>follow-up will</w:t>
      </w:r>
      <w:r w:rsidRPr="00E60F16" w:rsidR="007A0392">
        <w:rPr>
          <w:rFonts w:ascii="Times New Roman" w:hAnsi="Times New Roman"/>
        </w:rPr>
        <w:t xml:space="preserve"> also involve the use of IT.</w:t>
      </w:r>
      <w:r w:rsidRPr="00E60F16" w:rsidR="00831496">
        <w:rPr>
          <w:rFonts w:ascii="Times New Roman" w:hAnsi="Times New Roman"/>
        </w:rPr>
        <w:t xml:space="preserve">  </w:t>
      </w:r>
    </w:p>
    <w:p w:rsidR="004C72E3" w:rsidRPr="00E60F16" w:rsidP="00D8641F" w14:paraId="0EF2BAB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CE7880" w:rsidRPr="00E60F16" w:rsidP="00D8641F" w14:paraId="10F1CF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Pr>
          <w:rFonts w:ascii="Times New Roman" w:hAnsi="Times New Roman"/>
        </w:rPr>
        <w:t>Statisticians will assess the compiled data</w:t>
      </w:r>
      <w:r w:rsidRPr="00E60F16" w:rsidR="00710980">
        <w:rPr>
          <w:rFonts w:ascii="Times New Roman" w:hAnsi="Times New Roman"/>
        </w:rPr>
        <w:t xml:space="preserve"> using</w:t>
      </w:r>
      <w:r w:rsidRPr="00E60F16" w:rsidR="00150946">
        <w:rPr>
          <w:rFonts w:ascii="Times New Roman" w:hAnsi="Times New Roman"/>
        </w:rPr>
        <w:t xml:space="preserve"> d</w:t>
      </w:r>
      <w:r w:rsidRPr="00E60F16" w:rsidR="00337FFB">
        <w:rPr>
          <w:rFonts w:ascii="Times New Roman" w:hAnsi="Times New Roman"/>
        </w:rPr>
        <w:t xml:space="preserve">ata </w:t>
      </w:r>
      <w:r w:rsidRPr="00E60F16" w:rsidR="00D8641F">
        <w:rPr>
          <w:rFonts w:ascii="Times New Roman" w:hAnsi="Times New Roman"/>
        </w:rPr>
        <w:t>analys</w:t>
      </w:r>
      <w:r w:rsidRPr="00E60F16" w:rsidR="00773524">
        <w:rPr>
          <w:rFonts w:ascii="Times New Roman" w:hAnsi="Times New Roman"/>
        </w:rPr>
        <w:t>i</w:t>
      </w:r>
      <w:r w:rsidRPr="00E60F16" w:rsidR="00D8641F">
        <w:rPr>
          <w:rFonts w:ascii="Times New Roman" w:hAnsi="Times New Roman"/>
        </w:rPr>
        <w:t>s</w:t>
      </w:r>
      <w:r w:rsidRPr="00E60F16" w:rsidR="00337FFB">
        <w:rPr>
          <w:rFonts w:ascii="Times New Roman" w:hAnsi="Times New Roman"/>
        </w:rPr>
        <w:t xml:space="preserve"> software</w:t>
      </w:r>
      <w:r w:rsidRPr="00E60F16" w:rsidR="002E560D">
        <w:rPr>
          <w:rFonts w:ascii="Times New Roman" w:hAnsi="Times New Roman"/>
        </w:rPr>
        <w:t xml:space="preserve"> (e.g., EQS 6.3 computer program</w:t>
      </w:r>
      <w:r w:rsidRPr="00E60F16" w:rsidR="00FE530F">
        <w:rPr>
          <w:rFonts w:ascii="Times New Roman" w:hAnsi="Times New Roman"/>
        </w:rPr>
        <w:t>, SAS system</w:t>
      </w:r>
      <w:r w:rsidRPr="00E60F16" w:rsidR="002E560D">
        <w:rPr>
          <w:rFonts w:ascii="Times New Roman" w:hAnsi="Times New Roman"/>
        </w:rPr>
        <w:t>)</w:t>
      </w:r>
      <w:r w:rsidRPr="00E60F16" w:rsidR="00150946">
        <w:rPr>
          <w:rFonts w:ascii="Times New Roman" w:hAnsi="Times New Roman"/>
        </w:rPr>
        <w:t>.</w:t>
      </w:r>
    </w:p>
    <w:p w:rsidR="00CE7880" w:rsidRPr="00E60F16" w:rsidP="00D8641F" w14:paraId="27AE82D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710980" w:rsidRPr="00E60F16" w:rsidP="009729BF" w14:paraId="6CDEB6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Ideally</w:t>
      </w:r>
      <w:r w:rsidRPr="00E60F16" w:rsidR="00563C76">
        <w:rPr>
          <w:rFonts w:ascii="Times New Roman" w:hAnsi="Times New Roman"/>
        </w:rPr>
        <w:t xml:space="preserve"> during </w:t>
      </w:r>
      <w:r w:rsidRPr="00E60F16" w:rsidR="00C50A09">
        <w:rPr>
          <w:rFonts w:ascii="Times New Roman" w:hAnsi="Times New Roman"/>
        </w:rPr>
        <w:t>the</w:t>
      </w:r>
      <w:r w:rsidRPr="00E60F16" w:rsidR="00563C76">
        <w:rPr>
          <w:rFonts w:ascii="Times New Roman" w:hAnsi="Times New Roman"/>
        </w:rPr>
        <w:t xml:space="preserve"> consultation visit</w:t>
      </w:r>
      <w:r w:rsidRPr="00E60F16" w:rsidR="00C50A09">
        <w:rPr>
          <w:rFonts w:ascii="Times New Roman" w:hAnsi="Times New Roman"/>
        </w:rPr>
        <w:t>s</w:t>
      </w:r>
      <w:r w:rsidRPr="00E60F16">
        <w:rPr>
          <w:rFonts w:ascii="Times New Roman" w:hAnsi="Times New Roman"/>
        </w:rPr>
        <w:t>, consultants assess employers’ workplaces</w:t>
      </w:r>
      <w:r w:rsidRPr="00E60F16" w:rsidR="00563C76">
        <w:rPr>
          <w:rFonts w:ascii="Times New Roman" w:hAnsi="Times New Roman"/>
        </w:rPr>
        <w:t xml:space="preserve"> to identify any hazards</w:t>
      </w:r>
      <w:r w:rsidRPr="00E60F16">
        <w:rPr>
          <w:rFonts w:ascii="Times New Roman" w:hAnsi="Times New Roman"/>
        </w:rPr>
        <w:t xml:space="preserve">; review relevant occupational safety and health documents (e.g., illness and injury logs, investigation reports, inspection records); and interview managers, supervisors, and workers to collect SHP information that </w:t>
      </w:r>
      <w:r w:rsidRPr="00E60F16" w:rsidR="00087CF9">
        <w:rPr>
          <w:rFonts w:ascii="Times New Roman" w:hAnsi="Times New Roman"/>
        </w:rPr>
        <w:t>is</w:t>
      </w:r>
      <w:r w:rsidRPr="00E60F16">
        <w:rPr>
          <w:rFonts w:ascii="Times New Roman" w:hAnsi="Times New Roman"/>
        </w:rPr>
        <w:t xml:space="preserve"> documented in the DRF33.  </w:t>
      </w:r>
    </w:p>
    <w:p w:rsidR="00710980" w:rsidRPr="00E60F16" w:rsidP="00D8641F" w14:paraId="37033D1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63C76" w:rsidRPr="00E60F16" w:rsidP="00D8641F" w14:paraId="124ACAD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DRF33 </w:t>
      </w:r>
      <w:r w:rsidRPr="00E60F16" w:rsidR="003617CF">
        <w:rPr>
          <w:rFonts w:ascii="Times New Roman" w:hAnsi="Times New Roman"/>
        </w:rPr>
        <w:t xml:space="preserve">was </w:t>
      </w:r>
      <w:r w:rsidRPr="00E60F16">
        <w:rPr>
          <w:rFonts w:ascii="Times New Roman" w:hAnsi="Times New Roman"/>
        </w:rPr>
        <w:t xml:space="preserve">uploaded into a data </w:t>
      </w:r>
      <w:r w:rsidRPr="00E60F16" w:rsidR="00CF666E">
        <w:rPr>
          <w:rFonts w:ascii="Times New Roman" w:hAnsi="Times New Roman"/>
        </w:rPr>
        <w:t>entry tool built on the Qualtrics platform</w:t>
      </w:r>
      <w:r w:rsidRPr="00E60F16">
        <w:rPr>
          <w:rFonts w:ascii="Times New Roman" w:hAnsi="Times New Roman"/>
        </w:rPr>
        <w:t xml:space="preserve">.  </w:t>
      </w:r>
      <w:r w:rsidRPr="00E60F16" w:rsidR="002E560D">
        <w:rPr>
          <w:rFonts w:ascii="Times New Roman" w:hAnsi="Times New Roman"/>
        </w:rPr>
        <w:t xml:space="preserve">The </w:t>
      </w:r>
      <w:r w:rsidRPr="00E60F16" w:rsidR="00D8641F">
        <w:rPr>
          <w:rFonts w:ascii="Times New Roman" w:hAnsi="Times New Roman"/>
        </w:rPr>
        <w:t xml:space="preserve">software </w:t>
      </w:r>
      <w:r w:rsidRPr="00E60F16" w:rsidR="00935CB1">
        <w:rPr>
          <w:rFonts w:ascii="Times New Roman" w:hAnsi="Times New Roman"/>
        </w:rPr>
        <w:t>has</w:t>
      </w:r>
      <w:r w:rsidRPr="00E60F16" w:rsidR="002E560D">
        <w:rPr>
          <w:rFonts w:ascii="Times New Roman" w:hAnsi="Times New Roman"/>
        </w:rPr>
        <w:t xml:space="preserve"> </w:t>
      </w:r>
      <w:r w:rsidRPr="00E60F16" w:rsidR="00D8641F">
        <w:rPr>
          <w:rFonts w:ascii="Times New Roman" w:hAnsi="Times New Roman"/>
        </w:rPr>
        <w:t xml:space="preserve">capabilities to minimize errors. </w:t>
      </w:r>
      <w:r w:rsidRPr="00E60F16" w:rsidR="006454A8">
        <w:rPr>
          <w:rFonts w:ascii="Times New Roman" w:hAnsi="Times New Roman"/>
        </w:rPr>
        <w:t xml:space="preserve"> </w:t>
      </w:r>
      <w:r w:rsidRPr="00E60F16" w:rsidR="00CF666E">
        <w:rPr>
          <w:rFonts w:ascii="Times New Roman" w:hAnsi="Times New Roman"/>
        </w:rPr>
        <w:t>The data entry tool prompt</w:t>
      </w:r>
      <w:r w:rsidRPr="00E60F16" w:rsidR="00935CB1">
        <w:rPr>
          <w:rFonts w:ascii="Times New Roman" w:hAnsi="Times New Roman"/>
        </w:rPr>
        <w:t>s</w:t>
      </w:r>
      <w:r w:rsidRPr="00E60F16" w:rsidR="00CF666E">
        <w:rPr>
          <w:rFonts w:ascii="Times New Roman" w:hAnsi="Times New Roman"/>
        </w:rPr>
        <w:t xml:space="preserve"> the respondent (consultant) to enter the associated </w:t>
      </w:r>
      <w:r w:rsidRPr="00E60F16" w:rsidR="00935CB1">
        <w:rPr>
          <w:rFonts w:ascii="Times New Roman" w:hAnsi="Times New Roman"/>
        </w:rPr>
        <w:t xml:space="preserve">data </w:t>
      </w:r>
      <w:r w:rsidRPr="00E60F16" w:rsidR="00CF666E">
        <w:rPr>
          <w:rFonts w:ascii="Times New Roman" w:hAnsi="Times New Roman"/>
        </w:rPr>
        <w:t>for each attribute.  The tool offer</w:t>
      </w:r>
      <w:r w:rsidRPr="00E60F16" w:rsidR="00935CB1">
        <w:rPr>
          <w:rFonts w:ascii="Times New Roman" w:hAnsi="Times New Roman"/>
        </w:rPr>
        <w:t>s</w:t>
      </w:r>
      <w:r w:rsidRPr="00E60F16" w:rsidR="00CF666E">
        <w:rPr>
          <w:rFonts w:ascii="Times New Roman" w:hAnsi="Times New Roman"/>
        </w:rPr>
        <w:t xml:space="preserve"> real time accuracy checks and secure cloud-based data storage that can be retrieved from multiple sites immediately after input.  Similarly, it </w:t>
      </w:r>
      <w:r w:rsidRPr="00E60F16" w:rsidR="00935CB1">
        <w:rPr>
          <w:rFonts w:ascii="Times New Roman" w:hAnsi="Times New Roman"/>
        </w:rPr>
        <w:t>was</w:t>
      </w:r>
      <w:r w:rsidRPr="00E60F16" w:rsidR="00CF666E">
        <w:rPr>
          <w:rFonts w:ascii="Times New Roman" w:hAnsi="Times New Roman"/>
        </w:rPr>
        <w:t xml:space="preserve"> programmed to ensure that all items are answered by the respondent.  It operate</w:t>
      </w:r>
      <w:r w:rsidRPr="00E60F16" w:rsidR="00935CB1">
        <w:rPr>
          <w:rFonts w:ascii="Times New Roman" w:hAnsi="Times New Roman"/>
        </w:rPr>
        <w:t>s</w:t>
      </w:r>
      <w:r w:rsidRPr="00E60F16" w:rsidR="00CF666E">
        <w:rPr>
          <w:rFonts w:ascii="Times New Roman" w:hAnsi="Times New Roman"/>
        </w:rPr>
        <w:t xml:space="preserve"> with common digital devices (e.g., tablet, PC) that has internet capability.  </w:t>
      </w:r>
      <w:r w:rsidRPr="00E60F16" w:rsidR="006454A8">
        <w:rPr>
          <w:rFonts w:ascii="Times New Roman" w:hAnsi="Times New Roman"/>
        </w:rPr>
        <w:t>The ARG w</w:t>
      </w:r>
      <w:r w:rsidRPr="00E60F16" w:rsidR="00935CB1">
        <w:rPr>
          <w:rFonts w:ascii="Times New Roman" w:hAnsi="Times New Roman"/>
        </w:rPr>
        <w:t>as</w:t>
      </w:r>
      <w:r w:rsidRPr="00E60F16" w:rsidR="006454A8">
        <w:rPr>
          <w:rFonts w:ascii="Times New Roman" w:hAnsi="Times New Roman"/>
        </w:rPr>
        <w:t xml:space="preserve"> also uploaded into Qualtrics</w:t>
      </w:r>
      <w:r w:rsidRPr="00E60F16" w:rsidR="00CF666E">
        <w:rPr>
          <w:rFonts w:ascii="Times New Roman" w:hAnsi="Times New Roman"/>
        </w:rPr>
        <w:t xml:space="preserve"> for easy access,</w:t>
      </w:r>
      <w:r w:rsidRPr="00E60F16" w:rsidR="006454A8">
        <w:rPr>
          <w:rFonts w:ascii="Times New Roman" w:hAnsi="Times New Roman"/>
        </w:rPr>
        <w:t xml:space="preserve"> as a job aid for consultants.</w:t>
      </w:r>
      <w:r w:rsidRPr="00E60F16" w:rsidR="00D8641F">
        <w:rPr>
          <w:rFonts w:ascii="Times New Roman" w:hAnsi="Times New Roman"/>
        </w:rPr>
        <w:t xml:space="preserve"> </w:t>
      </w:r>
    </w:p>
    <w:p w:rsidR="00563C76" w:rsidRPr="00E60F16" w:rsidP="00D8641F" w14:paraId="5A5336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C91CCD" w:rsidRPr="00E60F16" w:rsidP="00C91CCD" w14:paraId="456EDFC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rPr>
        <w:t>The DRF33 may be completed by consultants at employers’ workplaces or at Consultation programs’ offices (this depend</w:t>
      </w:r>
      <w:r w:rsidRPr="00E60F16" w:rsidR="005951AC">
        <w:rPr>
          <w:rFonts w:ascii="Times New Roman" w:hAnsi="Times New Roman"/>
        </w:rPr>
        <w:t>s</w:t>
      </w:r>
      <w:r w:rsidRPr="00E60F16">
        <w:rPr>
          <w:rFonts w:ascii="Times New Roman" w:hAnsi="Times New Roman"/>
        </w:rPr>
        <w:t xml:space="preserve"> mainly on the consultant’s preference and the availability of internet connection).  </w:t>
      </w:r>
      <w:r w:rsidRPr="00E60F16" w:rsidR="003974B7">
        <w:rPr>
          <w:rFonts w:ascii="Times New Roman" w:hAnsi="Times New Roman"/>
        </w:rPr>
        <w:t xml:space="preserve">Consultants </w:t>
      </w:r>
      <w:r w:rsidRPr="00E60F16" w:rsidR="003C152E">
        <w:rPr>
          <w:rFonts w:ascii="Times New Roman" w:hAnsi="Times New Roman"/>
        </w:rPr>
        <w:t xml:space="preserve">email </w:t>
      </w:r>
      <w:r w:rsidRPr="00E60F16" w:rsidR="007074F5">
        <w:rPr>
          <w:rFonts w:ascii="Times New Roman" w:hAnsi="Times New Roman"/>
        </w:rPr>
        <w:t>i</w:t>
      </w:r>
      <w:r w:rsidRPr="00E60F16" w:rsidR="006454A8">
        <w:rPr>
          <w:rFonts w:ascii="Times New Roman" w:hAnsi="Times New Roman"/>
        </w:rPr>
        <w:t xml:space="preserve">njury and illness data </w:t>
      </w:r>
      <w:r w:rsidRPr="00E60F16" w:rsidR="003C152E">
        <w:rPr>
          <w:rFonts w:ascii="Times New Roman" w:hAnsi="Times New Roman"/>
        </w:rPr>
        <w:t xml:space="preserve">to be uploaded </w:t>
      </w:r>
      <w:r w:rsidRPr="00E60F16" w:rsidR="006454A8">
        <w:rPr>
          <w:rFonts w:ascii="Times New Roman" w:hAnsi="Times New Roman"/>
        </w:rPr>
        <w:t>into folders within a secure Drop</w:t>
      </w:r>
      <w:r w:rsidRPr="00E60F16" w:rsidR="00BE53B6">
        <w:rPr>
          <w:rFonts w:ascii="Times New Roman" w:hAnsi="Times New Roman"/>
        </w:rPr>
        <w:t>b</w:t>
      </w:r>
      <w:r w:rsidRPr="00E60F16" w:rsidR="006454A8">
        <w:rPr>
          <w:rFonts w:ascii="Times New Roman" w:hAnsi="Times New Roman"/>
        </w:rPr>
        <w:t>ox</w:t>
      </w:r>
      <w:r w:rsidRPr="00E60F16" w:rsidR="00C87AC0">
        <w:rPr>
          <w:rFonts w:ascii="Times New Roman" w:hAnsi="Times New Roman"/>
        </w:rPr>
        <w:t xml:space="preserve"> for analysis</w:t>
      </w:r>
      <w:r w:rsidRPr="00E60F16" w:rsidR="006454A8">
        <w:rPr>
          <w:rFonts w:ascii="Times New Roman" w:hAnsi="Times New Roman"/>
        </w:rPr>
        <w:t xml:space="preserve">.  </w:t>
      </w:r>
    </w:p>
    <w:p w:rsidR="00966FC8" w:rsidRPr="00E60F16" w:rsidP="00690F56" w14:paraId="498B287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77700" w:rsidRPr="00E60F16" w:rsidP="00831496" w14:paraId="7A9D056B" w14:textId="77777777">
      <w:pPr>
        <w:keepNext/>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u w:val="single"/>
        </w:rPr>
      </w:pPr>
      <w:r w:rsidRPr="00E60F16">
        <w:rPr>
          <w:rFonts w:ascii="Times New Roman" w:hAnsi="Times New Roman"/>
          <w:b/>
          <w:u w:val="single"/>
        </w:rPr>
        <w:t>Prospective Analys</w:t>
      </w:r>
      <w:r w:rsidRPr="00E60F16" w:rsidR="00D162E0">
        <w:rPr>
          <w:rFonts w:ascii="Times New Roman" w:hAnsi="Times New Roman"/>
          <w:b/>
          <w:u w:val="single"/>
        </w:rPr>
        <w:t>i</w:t>
      </w:r>
      <w:r w:rsidRPr="00E60F16">
        <w:rPr>
          <w:rFonts w:ascii="Times New Roman" w:hAnsi="Times New Roman"/>
          <w:b/>
          <w:u w:val="single"/>
        </w:rPr>
        <w:t>s</w:t>
      </w:r>
    </w:p>
    <w:p w:rsidR="00F66A0C" w:rsidRPr="00E60F16" w:rsidP="00F66A0C" w14:paraId="74E5DB0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The Prospective A</w:t>
      </w:r>
      <w:r w:rsidRPr="00E60F16" w:rsidR="00D162E0">
        <w:rPr>
          <w:rFonts w:ascii="Times New Roman" w:hAnsi="Times New Roman"/>
        </w:rPr>
        <w:t xml:space="preserve">nalysis will </w:t>
      </w:r>
      <w:r w:rsidRPr="00E60F16" w:rsidR="006043D4">
        <w:rPr>
          <w:rFonts w:ascii="Times New Roman" w:hAnsi="Times New Roman"/>
        </w:rPr>
        <w:t xml:space="preserve">involve consultants collecting injury and illness data via phone, fax, email, </w:t>
      </w:r>
      <w:r w:rsidR="00C272F8">
        <w:rPr>
          <w:rFonts w:ascii="Times New Roman" w:hAnsi="Times New Roman"/>
        </w:rPr>
        <w:t>etc., from workplaces that received pilot study consultation visits at least 12 months prior. No new pilot study consultation visits will be conducted using the DRF33</w:t>
      </w:r>
      <w:r w:rsidRPr="00E60F16">
        <w:rPr>
          <w:rFonts w:ascii="Times New Roman" w:hAnsi="Times New Roman"/>
        </w:rPr>
        <w:t xml:space="preserve"> for the Prospective Analysis.  </w:t>
      </w:r>
    </w:p>
    <w:p w:rsidR="00F66A0C" w:rsidRPr="00E60F16" w:rsidP="00F66A0C" w14:paraId="31113AE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u w:val="single"/>
        </w:rPr>
      </w:pPr>
    </w:p>
    <w:p w:rsidR="00977700" w:rsidRPr="00E60F16" w:rsidP="00F66A0C" w14:paraId="7D0D2D7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u w:val="single"/>
        </w:rPr>
      </w:pPr>
      <w:r w:rsidRPr="00E60F16">
        <w:rPr>
          <w:rFonts w:ascii="Times New Roman" w:hAnsi="Times New Roman"/>
        </w:rPr>
        <w:t>The Prospective Analysis will</w:t>
      </w:r>
      <w:r w:rsidRPr="00E60F16" w:rsidR="00CC385E">
        <w:rPr>
          <w:rFonts w:ascii="Times New Roman" w:hAnsi="Times New Roman"/>
        </w:rPr>
        <w:t xml:space="preserve"> also involve</w:t>
      </w:r>
      <w:r w:rsidRPr="00E60F16" w:rsidR="00D162E0">
        <w:rPr>
          <w:rFonts w:ascii="Times New Roman" w:hAnsi="Times New Roman"/>
        </w:rPr>
        <w:t xml:space="preserve"> using IT equipment, data collection software, and data analysis software</w:t>
      </w:r>
      <w:r w:rsidRPr="00E60F16" w:rsidR="00CC385E">
        <w:rPr>
          <w:rFonts w:ascii="Times New Roman" w:hAnsi="Times New Roman"/>
        </w:rPr>
        <w:t xml:space="preserve"> (as described above)</w:t>
      </w:r>
      <w:r w:rsidRPr="00E60F16" w:rsidR="00D162E0">
        <w:rPr>
          <w:rFonts w:ascii="Times New Roman" w:hAnsi="Times New Roman"/>
        </w:rPr>
        <w:t xml:space="preserve">.  </w:t>
      </w:r>
      <w:r w:rsidRPr="00E60F16" w:rsidR="00EA656C">
        <w:rPr>
          <w:rFonts w:ascii="Times New Roman" w:hAnsi="Times New Roman"/>
        </w:rPr>
        <w:t xml:space="preserve">The </w:t>
      </w:r>
      <w:r w:rsidRPr="00E60F16" w:rsidR="00CC385E">
        <w:rPr>
          <w:rFonts w:ascii="Times New Roman" w:hAnsi="Times New Roman"/>
        </w:rPr>
        <w:t>injury and illness data will be uploaded into the secure</w:t>
      </w:r>
      <w:r w:rsidRPr="00E60F16" w:rsidR="00EA656C">
        <w:rPr>
          <w:rFonts w:ascii="Times New Roman" w:hAnsi="Times New Roman"/>
        </w:rPr>
        <w:t xml:space="preserve"> Drop</w:t>
      </w:r>
      <w:r w:rsidRPr="00E60F16" w:rsidR="00BE53B6">
        <w:rPr>
          <w:rFonts w:ascii="Times New Roman" w:hAnsi="Times New Roman"/>
        </w:rPr>
        <w:t>b</w:t>
      </w:r>
      <w:r w:rsidRPr="00E60F16" w:rsidR="00EA656C">
        <w:rPr>
          <w:rFonts w:ascii="Times New Roman" w:hAnsi="Times New Roman"/>
        </w:rPr>
        <w:t xml:space="preserve">ox.  </w:t>
      </w:r>
    </w:p>
    <w:p w:rsidR="00977700" w:rsidRPr="00E60F16" w:rsidP="008F153E" w14:paraId="7D95487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u w:val="single"/>
        </w:rPr>
      </w:pPr>
    </w:p>
    <w:p w:rsidR="005152F6" w:rsidRPr="00E60F16" w:rsidP="00690F56" w14:paraId="630A570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641F" w:rsidRPr="00E60F16" w:rsidP="00693D26" w14:paraId="1EBA4266" w14:textId="77777777">
      <w:pPr>
        <w:widowControl/>
        <w:autoSpaceDE/>
        <w:autoSpaceDN/>
        <w:adjustRightInd/>
        <w:spacing w:after="160" w:line="259" w:lineRule="auto"/>
        <w:ind w:left="720" w:hanging="360"/>
        <w:contextualSpacing/>
        <w:rPr>
          <w:rFonts w:ascii="Times New Roman" w:hAnsi="Times New Roman"/>
        </w:rPr>
      </w:pPr>
      <w:r w:rsidRPr="00E60F16">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E60F16" w:rsidR="00237691">
        <w:rPr>
          <w:rFonts w:ascii="Times New Roman" w:hAnsi="Times New Roman"/>
          <w:b/>
          <w:bCs/>
        </w:rPr>
        <w:t>A.</w:t>
      </w:r>
      <w:r w:rsidRPr="00E60F16">
        <w:rPr>
          <w:rFonts w:ascii="Times New Roman" w:hAnsi="Times New Roman"/>
          <w:b/>
          <w:bCs/>
        </w:rPr>
        <w:t>2 above.</w:t>
      </w:r>
      <w:r w:rsidRPr="00E60F16" w:rsidR="00DE6B3F">
        <w:rPr>
          <w:rFonts w:ascii="Times New Roman" w:hAnsi="Times New Roman"/>
        </w:rPr>
        <w:t xml:space="preserve">  </w:t>
      </w:r>
    </w:p>
    <w:p w:rsidR="00006CA0" w:rsidRPr="00E60F16" w:rsidP="000E01FA" w14:paraId="6A921121" w14:textId="77777777">
      <w:pPr>
        <w:widowControl/>
        <w:autoSpaceDE/>
        <w:autoSpaceDN/>
        <w:adjustRightInd/>
        <w:spacing w:after="160" w:line="259" w:lineRule="auto"/>
        <w:contextualSpacing/>
        <w:rPr>
          <w:rFonts w:ascii="Times New Roman" w:hAnsi="Times New Roman"/>
        </w:rPr>
      </w:pPr>
    </w:p>
    <w:p w:rsidR="00193EAF" w:rsidRPr="00E60F16" w:rsidP="00D8641F" w14:paraId="00A803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Upon completion, t</w:t>
      </w:r>
      <w:r w:rsidRPr="00E60F16" w:rsidR="00D8641F">
        <w:rPr>
          <w:rFonts w:ascii="Times New Roman" w:hAnsi="Times New Roman"/>
        </w:rPr>
        <w:t xml:space="preserve">he DRF33 </w:t>
      </w:r>
      <w:r w:rsidRPr="00E60F16">
        <w:rPr>
          <w:rFonts w:ascii="Times New Roman" w:hAnsi="Times New Roman"/>
        </w:rPr>
        <w:t xml:space="preserve">will replace the current Form 33 </w:t>
      </w:r>
      <w:r w:rsidRPr="00E60F16" w:rsidR="00D8641F">
        <w:rPr>
          <w:rFonts w:ascii="Times New Roman" w:hAnsi="Times New Roman"/>
        </w:rPr>
        <w:t>—</w:t>
      </w:r>
      <w:r w:rsidRPr="00E60F16">
        <w:rPr>
          <w:rFonts w:ascii="Times New Roman" w:hAnsi="Times New Roman"/>
        </w:rPr>
        <w:t xml:space="preserve"> not duplicate </w:t>
      </w:r>
      <w:r w:rsidRPr="00E60F16" w:rsidR="00D8641F">
        <w:rPr>
          <w:rFonts w:ascii="Times New Roman" w:hAnsi="Times New Roman"/>
        </w:rPr>
        <w:t>—</w:t>
      </w:r>
      <w:r w:rsidRPr="00E60F16">
        <w:rPr>
          <w:rFonts w:ascii="Times New Roman" w:hAnsi="Times New Roman"/>
        </w:rPr>
        <w:t xml:space="preserve"> any methods or</w:t>
      </w:r>
      <w:r w:rsidRPr="00E60F16" w:rsidR="00D8641F">
        <w:rPr>
          <w:rFonts w:ascii="Times New Roman" w:hAnsi="Times New Roman"/>
        </w:rPr>
        <w:t xml:space="preserve"> pro</w:t>
      </w:r>
      <w:r w:rsidRPr="00E60F16">
        <w:rPr>
          <w:rFonts w:ascii="Times New Roman" w:hAnsi="Times New Roman"/>
        </w:rPr>
        <w:t>cesses</w:t>
      </w:r>
      <w:r w:rsidRPr="00E60F16" w:rsidR="00D8641F">
        <w:rPr>
          <w:rFonts w:ascii="Times New Roman" w:hAnsi="Times New Roman"/>
        </w:rPr>
        <w:t xml:space="preserve"> currently used by consultants in the OSHA On-Site Consultation </w:t>
      </w:r>
      <w:r w:rsidRPr="00E60F16" w:rsidR="00D8641F">
        <w:rPr>
          <w:rFonts w:ascii="Times New Roman" w:hAnsi="Times New Roman"/>
        </w:rPr>
        <w:t xml:space="preserve">Program.  As previously </w:t>
      </w:r>
      <w:r w:rsidRPr="00E60F16" w:rsidR="006F582E">
        <w:rPr>
          <w:rFonts w:ascii="Times New Roman" w:hAnsi="Times New Roman"/>
        </w:rPr>
        <w:t>mentioned,</w:t>
      </w:r>
      <w:r w:rsidRPr="00E60F16" w:rsidR="00977700">
        <w:rPr>
          <w:rFonts w:ascii="Times New Roman" w:hAnsi="Times New Roman"/>
        </w:rPr>
        <w:t xml:space="preserve"> (in #1)</w:t>
      </w:r>
      <w:r w:rsidRPr="00E60F16">
        <w:rPr>
          <w:rFonts w:ascii="Times New Roman" w:hAnsi="Times New Roman"/>
        </w:rPr>
        <w:t xml:space="preserve">, it is necessary to revise the </w:t>
      </w:r>
      <w:r w:rsidRPr="00E60F16" w:rsidR="00D162E0">
        <w:rPr>
          <w:rFonts w:ascii="Times New Roman" w:hAnsi="Times New Roman"/>
        </w:rPr>
        <w:t xml:space="preserve">current </w:t>
      </w:r>
      <w:r w:rsidRPr="00E60F16" w:rsidR="00D8641F">
        <w:rPr>
          <w:rFonts w:ascii="Times New Roman" w:hAnsi="Times New Roman"/>
        </w:rPr>
        <w:t>Form 33</w:t>
      </w:r>
      <w:r w:rsidRPr="00E60F16">
        <w:rPr>
          <w:rFonts w:ascii="Times New Roman" w:hAnsi="Times New Roman"/>
        </w:rPr>
        <w:t xml:space="preserve"> that was developed using OSHA’s 1989 SHP Management Guidelines as the framework,</w:t>
      </w:r>
      <w:r w:rsidRPr="00E60F16" w:rsidR="00D8641F">
        <w:rPr>
          <w:rFonts w:ascii="Times New Roman" w:hAnsi="Times New Roman"/>
        </w:rPr>
        <w:t xml:space="preserve"> to align </w:t>
      </w:r>
      <w:r w:rsidRPr="00E60F16">
        <w:rPr>
          <w:rFonts w:ascii="Times New Roman" w:hAnsi="Times New Roman"/>
        </w:rPr>
        <w:t xml:space="preserve">it </w:t>
      </w:r>
      <w:r w:rsidRPr="00E60F16" w:rsidR="00D8641F">
        <w:rPr>
          <w:rFonts w:ascii="Times New Roman" w:hAnsi="Times New Roman"/>
        </w:rPr>
        <w:t>with OSHA</w:t>
      </w:r>
      <w:r w:rsidRPr="00E60F16">
        <w:rPr>
          <w:rFonts w:ascii="Times New Roman" w:hAnsi="Times New Roman"/>
        </w:rPr>
        <w:t>’s 2016</w:t>
      </w:r>
      <w:r w:rsidRPr="00E60F16" w:rsidR="00D8641F">
        <w:rPr>
          <w:rFonts w:ascii="Times New Roman" w:hAnsi="Times New Roman"/>
        </w:rPr>
        <w:t xml:space="preserve"> </w:t>
      </w:r>
      <w:r w:rsidRPr="00E60F16">
        <w:rPr>
          <w:rFonts w:ascii="Times New Roman" w:hAnsi="Times New Roman"/>
        </w:rPr>
        <w:t xml:space="preserve">RP for SHPs.  </w:t>
      </w:r>
    </w:p>
    <w:p w:rsidR="00193EAF" w:rsidRPr="00E60F16" w:rsidP="00D8641F" w14:paraId="488E5CD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D8641F" w:rsidRPr="00E60F16" w:rsidP="00D8641F" w14:paraId="188C843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Pr>
          <w:rFonts w:ascii="Times New Roman" w:hAnsi="Times New Roman"/>
        </w:rPr>
        <w:t>No available information can substitute for the information collected during the pre-test, consultation visits, SHP assessments, Prospective Analysis, and follow-up study</w:t>
      </w:r>
      <w:r w:rsidRPr="00E60F16" w:rsidR="00193EAF">
        <w:rPr>
          <w:rFonts w:ascii="Times New Roman" w:hAnsi="Times New Roman"/>
        </w:rPr>
        <w:t xml:space="preserve"> because these studies are specific to the DRF33</w:t>
      </w:r>
      <w:r w:rsidRPr="00E60F16">
        <w:rPr>
          <w:rFonts w:ascii="Times New Roman" w:hAnsi="Times New Roman"/>
        </w:rPr>
        <w:t>.</w:t>
      </w:r>
    </w:p>
    <w:p w:rsidR="005152F6" w:rsidRPr="00E60F16" w:rsidP="000E01FA" w14:paraId="61B9FF2F" w14:textId="77777777">
      <w:pPr>
        <w:widowControl/>
        <w:autoSpaceDE/>
        <w:autoSpaceDN/>
        <w:adjustRightInd/>
        <w:spacing w:after="160" w:line="259" w:lineRule="auto"/>
        <w:contextualSpacing/>
        <w:rPr>
          <w:rFonts w:ascii="Times New Roman" w:hAnsi="Times New Roman"/>
        </w:rPr>
      </w:pPr>
    </w:p>
    <w:p w:rsidR="00D8641F" w:rsidRPr="00E60F16" w:rsidP="00693D26" w14:paraId="377FA4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b/>
          <w:bCs/>
        </w:rPr>
        <w:t xml:space="preserve"> 5.</w:t>
      </w:r>
      <w:r w:rsidRPr="00E60F16">
        <w:rPr>
          <w:rFonts w:ascii="Times New Roman" w:hAnsi="Times New Roman"/>
        </w:rPr>
        <w:t xml:space="preserve">  </w:t>
      </w:r>
      <w:r w:rsidRPr="00E60F16">
        <w:rPr>
          <w:rFonts w:ascii="Times New Roman" w:hAnsi="Times New Roman"/>
          <w:b/>
          <w:bCs/>
        </w:rPr>
        <w:t>If the collection of information impacts small businesses or other small entities</w:t>
      </w:r>
      <w:r w:rsidRPr="00E60F16" w:rsidR="00237691">
        <w:rPr>
          <w:rFonts w:ascii="Times New Roman" w:hAnsi="Times New Roman"/>
          <w:b/>
          <w:bCs/>
        </w:rPr>
        <w:t>,</w:t>
      </w:r>
      <w:r w:rsidRPr="00E60F16">
        <w:rPr>
          <w:rFonts w:ascii="Times New Roman" w:hAnsi="Times New Roman"/>
          <w:b/>
          <w:bCs/>
        </w:rPr>
        <w:t xml:space="preserve"> describe any methods used to minimize burden.</w:t>
      </w:r>
      <w:r w:rsidRPr="00E60F16" w:rsidR="001301C3">
        <w:rPr>
          <w:rFonts w:ascii="Times New Roman" w:hAnsi="Times New Roman"/>
        </w:rPr>
        <w:t xml:space="preserve"> </w:t>
      </w:r>
    </w:p>
    <w:p w:rsidR="00D8641F" w:rsidRPr="00E60F16" w:rsidP="00690F56" w14:paraId="36E65B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729BF" w:rsidRPr="00E60F16" w:rsidP="000E01FA" w14:paraId="3E56194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DRF33 is a streamlined version of the current Form 33 used by consultants to assess workplace SHPs.  The DRF33 </w:t>
      </w:r>
      <w:r w:rsidRPr="00E60F16" w:rsidR="00841F36">
        <w:rPr>
          <w:rFonts w:ascii="Times New Roman" w:hAnsi="Times New Roman"/>
        </w:rPr>
        <w:t>is comprised of</w:t>
      </w:r>
      <w:r w:rsidRPr="00E60F16">
        <w:rPr>
          <w:rFonts w:ascii="Times New Roman" w:hAnsi="Times New Roman"/>
        </w:rPr>
        <w:t xml:space="preserve"> </w:t>
      </w:r>
      <w:r w:rsidRPr="00E60F16" w:rsidR="003E23E3">
        <w:rPr>
          <w:rFonts w:ascii="Times New Roman" w:hAnsi="Times New Roman"/>
        </w:rPr>
        <w:t xml:space="preserve">52 </w:t>
      </w:r>
      <w:r w:rsidRPr="00E60F16">
        <w:rPr>
          <w:rFonts w:ascii="Times New Roman" w:hAnsi="Times New Roman"/>
        </w:rPr>
        <w:t xml:space="preserve">attributes as opposed to the 58 attributes used in the current Form 33.  </w:t>
      </w:r>
    </w:p>
    <w:p w:rsidR="009729BF" w:rsidRPr="00E60F16" w:rsidP="000E01FA" w14:paraId="0814F1A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7D569B" w:rsidRPr="00E60F16" w:rsidP="00FC5E2F" w14:paraId="2686FE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Employers are not required to use consultative services.  </w:t>
      </w:r>
      <w:r w:rsidRPr="00E60F16" w:rsidR="00FC5E2F">
        <w:rPr>
          <w:rFonts w:ascii="Times New Roman" w:hAnsi="Times New Roman"/>
        </w:rPr>
        <w:t xml:space="preserve">The voluntary nature of consultative services implies that only employers </w:t>
      </w:r>
      <w:r w:rsidR="00A040EF">
        <w:rPr>
          <w:rFonts w:ascii="Times New Roman" w:hAnsi="Times New Roman"/>
        </w:rPr>
        <w:t>who desire such services will request them for technical assistance with securing safe and healthful workplaces, as well as reducing or eliminating</w:t>
      </w:r>
      <w:r w:rsidRPr="00E60F16" w:rsidR="00845BD4">
        <w:rPr>
          <w:rFonts w:ascii="Times New Roman" w:hAnsi="Times New Roman"/>
        </w:rPr>
        <w:t xml:space="preserve"> workplace incidents.  </w:t>
      </w:r>
      <w:r w:rsidRPr="00E60F16" w:rsidR="00FC5E2F">
        <w:rPr>
          <w:rFonts w:ascii="Times New Roman" w:hAnsi="Times New Roman"/>
        </w:rPr>
        <w:t xml:space="preserve">In addition, employers, themselves, do not use the SHP assessment tool (i.e., DRF33), the tool is applied by consultants.  </w:t>
      </w:r>
    </w:p>
    <w:p w:rsidR="007D569B" w:rsidRPr="00E60F16" w:rsidP="00FC5E2F" w14:paraId="23DFC5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977700" w:rsidRPr="00E60F16" w:rsidP="007D569B" w14:paraId="5AA5E9D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Small- and medium-sized businesses will not be burdened but will benefit tremendously from the studies.</w:t>
      </w:r>
      <w:r w:rsidRPr="00E60F16" w:rsidR="007D569B">
        <w:rPr>
          <w:rFonts w:ascii="Times New Roman" w:hAnsi="Times New Roman"/>
        </w:rPr>
        <w:t xml:space="preserve">  </w:t>
      </w:r>
      <w:r w:rsidRPr="00E60F16" w:rsidR="00D8641F">
        <w:rPr>
          <w:rFonts w:ascii="Times New Roman" w:hAnsi="Times New Roman"/>
        </w:rPr>
        <w:t xml:space="preserve">The results are a reduction in costs due to </w:t>
      </w:r>
      <w:r w:rsidRPr="00E60F16" w:rsidR="00C314CB">
        <w:rPr>
          <w:rFonts w:ascii="Times New Roman" w:hAnsi="Times New Roman"/>
        </w:rPr>
        <w:t xml:space="preserve">a reduction in </w:t>
      </w:r>
      <w:r w:rsidRPr="00E60F16" w:rsidR="00D8641F">
        <w:rPr>
          <w:rFonts w:ascii="Times New Roman" w:hAnsi="Times New Roman"/>
        </w:rPr>
        <w:t>workplace incidents</w:t>
      </w:r>
      <w:r w:rsidRPr="00E60F16" w:rsidR="006C5922">
        <w:rPr>
          <w:rFonts w:ascii="Times New Roman" w:hAnsi="Times New Roman"/>
        </w:rPr>
        <w:t>,</w:t>
      </w:r>
      <w:r w:rsidRPr="00E60F16" w:rsidR="00D8641F">
        <w:rPr>
          <w:rFonts w:ascii="Times New Roman" w:hAnsi="Times New Roman"/>
        </w:rPr>
        <w:t xml:space="preserve"> and enhanced productivity</w:t>
      </w:r>
      <w:r w:rsidRPr="00E60F16" w:rsidR="00446D3F">
        <w:rPr>
          <w:rFonts w:ascii="Times New Roman" w:hAnsi="Times New Roman"/>
        </w:rPr>
        <w:t xml:space="preserve"> (see </w:t>
      </w:r>
      <w:hyperlink r:id="rId15" w:history="1">
        <w:r w:rsidRPr="00E60F16" w:rsidR="00446D3F">
          <w:rPr>
            <w:rStyle w:val="Hyperlink"/>
            <w:rFonts w:ascii="Times New Roman" w:hAnsi="Times New Roman"/>
          </w:rPr>
          <w:t>Benefits of the OSHA On-Site Consultation Program, An Economic Analysis Paper</w:t>
        </w:r>
      </w:hyperlink>
      <w:r w:rsidRPr="00E60F16" w:rsidR="00446D3F">
        <w:rPr>
          <w:rFonts w:ascii="Times New Roman" w:hAnsi="Times New Roman"/>
        </w:rPr>
        <w:t>, August 1, 2018)</w:t>
      </w:r>
      <w:r w:rsidRPr="00E60F16" w:rsidR="00D8641F">
        <w:rPr>
          <w:rFonts w:ascii="Times New Roman" w:hAnsi="Times New Roman"/>
        </w:rPr>
        <w:t xml:space="preserve">.  </w:t>
      </w:r>
    </w:p>
    <w:p w:rsidR="00977700" w:rsidRPr="00E60F16" w:rsidP="000E01FA" w14:paraId="2A09F2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690F56" w:rsidRPr="00E60F16" w:rsidP="00690F56" w14:paraId="5AB6125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641F" w:rsidRPr="00E60F16" w:rsidP="00693D26" w14:paraId="15EABDE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b/>
          <w:bCs/>
        </w:rPr>
        <w:t xml:space="preserve"> 6</w:t>
      </w:r>
      <w:r w:rsidRPr="00E60F16" w:rsidR="00237691">
        <w:rPr>
          <w:rFonts w:ascii="Times New Roman" w:hAnsi="Times New Roman"/>
          <w:b/>
          <w:bCs/>
        </w:rPr>
        <w:t>.  Describe the consequence to f</w:t>
      </w:r>
      <w:r w:rsidRPr="00E60F16">
        <w:rPr>
          <w:rFonts w:ascii="Times New Roman" w:hAnsi="Times New Roman"/>
          <w:b/>
          <w:bCs/>
        </w:rPr>
        <w:t>ederal program or policy activities if the collection is not conducted or is conducted less frequently, as well as any technical or legal obstacles to reducing burden.</w:t>
      </w:r>
      <w:r w:rsidRPr="00E60F16" w:rsidR="00407390">
        <w:rPr>
          <w:rFonts w:ascii="Times New Roman" w:hAnsi="Times New Roman"/>
        </w:rPr>
        <w:t xml:space="preserve">  </w:t>
      </w:r>
    </w:p>
    <w:p w:rsidR="00DB1F05" w:rsidRPr="00E60F16" w:rsidP="00EB59B1" w14:paraId="6984B5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729BF" w:rsidRPr="00E60F16" w:rsidP="009729BF" w14:paraId="2327E3F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current Form 33 was developed using OSHA’s 1989 SHP Management Guidelines as the framework. </w:t>
      </w:r>
      <w:r w:rsidR="00A040EF">
        <w:rPr>
          <w:rFonts w:ascii="Times New Roman" w:hAnsi="Times New Roman"/>
        </w:rPr>
        <w:t>It is vital for OSHA to update Form 33 by incorporating important advancements in occupational safety and health reflected in OSHA’s 2016 RP for SHPs. The updated DRF33 will enhance the quality of consultative services provided to small—</w:t>
      </w:r>
      <w:r w:rsidRPr="00E60F16">
        <w:rPr>
          <w:rFonts w:ascii="Times New Roman" w:hAnsi="Times New Roman"/>
        </w:rPr>
        <w:t>and medium-sized businesses.</w:t>
      </w:r>
    </w:p>
    <w:p w:rsidR="009729BF" w:rsidRPr="00E60F16" w:rsidP="000E01FA" w14:paraId="4C60E89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F1B67" w:rsidRPr="00E60F16" w:rsidP="000E01FA" w14:paraId="3CC811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However, if</w:t>
      </w:r>
      <w:r w:rsidRPr="00E60F16" w:rsidR="00D8641F">
        <w:rPr>
          <w:rFonts w:ascii="Times New Roman" w:hAnsi="Times New Roman"/>
        </w:rPr>
        <w:t xml:space="preserve"> the Agency does not assess the validity and reliability of </w:t>
      </w:r>
      <w:r w:rsidRPr="00E60F16" w:rsidR="00D162E0">
        <w:rPr>
          <w:rFonts w:ascii="Times New Roman" w:hAnsi="Times New Roman"/>
        </w:rPr>
        <w:t xml:space="preserve">the </w:t>
      </w:r>
      <w:r w:rsidRPr="00E60F16" w:rsidR="00D8641F">
        <w:rPr>
          <w:rFonts w:ascii="Times New Roman" w:hAnsi="Times New Roman"/>
        </w:rPr>
        <w:t>DRF33 there w</w:t>
      </w:r>
      <w:r w:rsidRPr="00E60F16" w:rsidR="00841F36">
        <w:rPr>
          <w:rFonts w:ascii="Times New Roman" w:hAnsi="Times New Roman"/>
        </w:rPr>
        <w:t>ill</w:t>
      </w:r>
      <w:r w:rsidRPr="00E60F16" w:rsidR="00D8641F">
        <w:rPr>
          <w:rFonts w:ascii="Times New Roman" w:hAnsi="Times New Roman"/>
        </w:rPr>
        <w:t xml:space="preserve"> be no basis for </w:t>
      </w:r>
      <w:r w:rsidRPr="00E60F16" w:rsidR="008C6498">
        <w:rPr>
          <w:rFonts w:ascii="Times New Roman" w:hAnsi="Times New Roman"/>
        </w:rPr>
        <w:t>implementing</w:t>
      </w:r>
      <w:r w:rsidRPr="00E60F16" w:rsidR="00D8641F">
        <w:rPr>
          <w:rFonts w:ascii="Times New Roman" w:hAnsi="Times New Roman"/>
        </w:rPr>
        <w:t xml:space="preserve"> </w:t>
      </w:r>
      <w:r w:rsidRPr="00E60F16" w:rsidR="001F3401">
        <w:rPr>
          <w:rFonts w:ascii="Times New Roman" w:hAnsi="Times New Roman"/>
        </w:rPr>
        <w:t>the DRF33</w:t>
      </w:r>
      <w:r w:rsidRPr="00E60F16" w:rsidR="00D8641F">
        <w:rPr>
          <w:rFonts w:ascii="Times New Roman" w:hAnsi="Times New Roman"/>
        </w:rPr>
        <w:t xml:space="preserve"> as an effective SHP assessment tool</w:t>
      </w:r>
      <w:r w:rsidRPr="00E60F16" w:rsidR="008C6498">
        <w:rPr>
          <w:rFonts w:ascii="Times New Roman" w:hAnsi="Times New Roman"/>
        </w:rPr>
        <w:t xml:space="preserve"> for small</w:t>
      </w:r>
      <w:r w:rsidRPr="00E60F16" w:rsidR="008636A6">
        <w:rPr>
          <w:rFonts w:ascii="Times New Roman" w:hAnsi="Times New Roman"/>
        </w:rPr>
        <w:t>-</w:t>
      </w:r>
      <w:r w:rsidRPr="00E60F16" w:rsidR="008C6498">
        <w:rPr>
          <w:rFonts w:ascii="Times New Roman" w:hAnsi="Times New Roman"/>
        </w:rPr>
        <w:t xml:space="preserve"> and medium-sized businesses</w:t>
      </w:r>
      <w:r w:rsidRPr="00E60F16" w:rsidR="00D8641F">
        <w:rPr>
          <w:rFonts w:ascii="Times New Roman" w:hAnsi="Times New Roman"/>
        </w:rPr>
        <w:t>.  The</w:t>
      </w:r>
      <w:r w:rsidRPr="00E60F16">
        <w:rPr>
          <w:rFonts w:ascii="Times New Roman" w:hAnsi="Times New Roman"/>
        </w:rPr>
        <w:t xml:space="preserve"> pre-test,</w:t>
      </w:r>
      <w:r w:rsidRPr="00E60F16" w:rsidR="00D8641F">
        <w:rPr>
          <w:rFonts w:ascii="Times New Roman" w:hAnsi="Times New Roman"/>
        </w:rPr>
        <w:t xml:space="preserve"> </w:t>
      </w:r>
      <w:r w:rsidRPr="00E60F16" w:rsidR="00EB522B">
        <w:rPr>
          <w:rFonts w:ascii="Times New Roman" w:hAnsi="Times New Roman"/>
        </w:rPr>
        <w:t>consultation visits</w:t>
      </w:r>
      <w:r w:rsidRPr="00E60F16" w:rsidR="00353453">
        <w:rPr>
          <w:rFonts w:ascii="Times New Roman" w:hAnsi="Times New Roman"/>
        </w:rPr>
        <w:t xml:space="preserve">, </w:t>
      </w:r>
      <w:r w:rsidRPr="00E60F16" w:rsidR="00541298">
        <w:rPr>
          <w:rFonts w:ascii="Times New Roman" w:hAnsi="Times New Roman"/>
        </w:rPr>
        <w:t>SHP assessments</w:t>
      </w:r>
      <w:r w:rsidRPr="00E60F16">
        <w:rPr>
          <w:rFonts w:ascii="Times New Roman" w:hAnsi="Times New Roman"/>
        </w:rPr>
        <w:t xml:space="preserve">, </w:t>
      </w:r>
      <w:r w:rsidRPr="00E60F16" w:rsidR="00EB522B">
        <w:rPr>
          <w:rFonts w:ascii="Times New Roman" w:hAnsi="Times New Roman"/>
        </w:rPr>
        <w:t>Prospective Analysis</w:t>
      </w:r>
      <w:r w:rsidR="00A040EF">
        <w:rPr>
          <w:rFonts w:ascii="Times New Roman" w:hAnsi="Times New Roman"/>
        </w:rPr>
        <w:t>,</w:t>
      </w:r>
      <w:r w:rsidRPr="00E60F16" w:rsidR="00EB522B">
        <w:rPr>
          <w:rFonts w:ascii="Times New Roman" w:hAnsi="Times New Roman"/>
        </w:rPr>
        <w:t xml:space="preserve"> </w:t>
      </w:r>
      <w:r w:rsidRPr="00E60F16">
        <w:rPr>
          <w:rFonts w:ascii="Times New Roman" w:hAnsi="Times New Roman"/>
        </w:rPr>
        <w:t>and follow-up stud</w:t>
      </w:r>
      <w:r w:rsidRPr="00E60F16" w:rsidR="00EB522B">
        <w:rPr>
          <w:rFonts w:ascii="Times New Roman" w:hAnsi="Times New Roman"/>
        </w:rPr>
        <w:t>ies</w:t>
      </w:r>
      <w:r w:rsidRPr="00E60F16" w:rsidR="00D8641F">
        <w:rPr>
          <w:rFonts w:ascii="Times New Roman" w:hAnsi="Times New Roman"/>
        </w:rPr>
        <w:t xml:space="preserve"> </w:t>
      </w:r>
      <w:r w:rsidRPr="00E60F16">
        <w:rPr>
          <w:rFonts w:ascii="Times New Roman" w:hAnsi="Times New Roman"/>
        </w:rPr>
        <w:t>are</w:t>
      </w:r>
      <w:r w:rsidRPr="00E60F16" w:rsidR="00D8641F">
        <w:rPr>
          <w:rFonts w:ascii="Times New Roman" w:hAnsi="Times New Roman"/>
        </w:rPr>
        <w:t xml:space="preserve"> essential </w:t>
      </w:r>
      <w:r w:rsidRPr="00E60F16" w:rsidR="008C6498">
        <w:rPr>
          <w:rFonts w:ascii="Times New Roman" w:hAnsi="Times New Roman"/>
        </w:rPr>
        <w:t xml:space="preserve">to </w:t>
      </w:r>
      <w:r w:rsidRPr="00E60F16">
        <w:rPr>
          <w:rFonts w:ascii="Times New Roman" w:hAnsi="Times New Roman"/>
        </w:rPr>
        <w:t xml:space="preserve">enable OSHA to </w:t>
      </w:r>
      <w:r w:rsidRPr="00E60F16" w:rsidR="008C6498">
        <w:rPr>
          <w:rFonts w:ascii="Times New Roman" w:hAnsi="Times New Roman"/>
        </w:rPr>
        <w:t>verify the effectiveness of the tool</w:t>
      </w:r>
      <w:r w:rsidRPr="00E60F16">
        <w:rPr>
          <w:rFonts w:ascii="Times New Roman" w:hAnsi="Times New Roman"/>
        </w:rPr>
        <w:t xml:space="preserve">, </w:t>
      </w:r>
      <w:r w:rsidRPr="00E60F16" w:rsidR="008C6498">
        <w:rPr>
          <w:rFonts w:ascii="Times New Roman" w:hAnsi="Times New Roman"/>
        </w:rPr>
        <w:t xml:space="preserve">identify </w:t>
      </w:r>
      <w:r w:rsidRPr="00E60F16">
        <w:rPr>
          <w:rFonts w:ascii="Times New Roman" w:hAnsi="Times New Roman"/>
        </w:rPr>
        <w:t>any deficiencies, and implement improvement measures prior to implementation</w:t>
      </w:r>
      <w:r w:rsidRPr="00E60F16" w:rsidR="008C6498">
        <w:rPr>
          <w:rFonts w:ascii="Times New Roman" w:hAnsi="Times New Roman"/>
        </w:rPr>
        <w:t>.</w:t>
      </w:r>
      <w:r w:rsidRPr="00E60F16">
        <w:rPr>
          <w:rFonts w:ascii="Times New Roman" w:hAnsi="Times New Roman"/>
        </w:rPr>
        <w:t xml:space="preserve"> </w:t>
      </w:r>
    </w:p>
    <w:p w:rsidR="00AF1B67" w:rsidRPr="00E60F16" w:rsidP="004D312A" w14:paraId="6243B1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60F16" w:rsidP="000E01FA" w14:paraId="59EC7E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w:t>
      </w:r>
      <w:r w:rsidRPr="00E60F16" w:rsidR="00977700">
        <w:rPr>
          <w:rFonts w:ascii="Times New Roman" w:hAnsi="Times New Roman"/>
        </w:rPr>
        <w:t>Prospective Analys</w:t>
      </w:r>
      <w:r w:rsidRPr="00E60F16" w:rsidR="00870AE8">
        <w:rPr>
          <w:rFonts w:ascii="Times New Roman" w:hAnsi="Times New Roman"/>
        </w:rPr>
        <w:t>i</w:t>
      </w:r>
      <w:r w:rsidRPr="00E60F16" w:rsidR="00977700">
        <w:rPr>
          <w:rFonts w:ascii="Times New Roman" w:hAnsi="Times New Roman"/>
        </w:rPr>
        <w:t>s</w:t>
      </w:r>
      <w:r w:rsidR="00A040EF">
        <w:rPr>
          <w:rFonts w:ascii="Times New Roman" w:hAnsi="Times New Roman"/>
        </w:rPr>
        <w:t xml:space="preserve">, which will be conducted 12 months following the Pilot Study, is essential to further analyze the effectiveness of the consultation services provided to small—and medium-sized business employers using the DRF33. </w:t>
      </w:r>
      <w:r w:rsidRPr="00E60F16" w:rsidR="00FF14E3">
        <w:rPr>
          <w:rFonts w:ascii="Times New Roman" w:hAnsi="Times New Roman"/>
        </w:rPr>
        <w:t>The Prospective Analysis will involve assessing injury and illness data to determine any impact on employers’ SHPs</w:t>
      </w:r>
      <w:r w:rsidRPr="00E60F16">
        <w:rPr>
          <w:rFonts w:ascii="Times New Roman" w:hAnsi="Times New Roman"/>
        </w:rPr>
        <w:t>.</w:t>
      </w:r>
    </w:p>
    <w:p w:rsidR="00690F56" w:rsidRPr="00E60F16" w:rsidP="00690F56" w14:paraId="60B4CD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60F16" w:rsidP="00693D26" w14:paraId="132FD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rPr>
      </w:pPr>
      <w:r w:rsidRPr="00E60F16">
        <w:rPr>
          <w:rFonts w:ascii="Times New Roman" w:hAnsi="Times New Roman"/>
          <w:b/>
          <w:bCs/>
        </w:rPr>
        <w:t>7.  Explain any special circumstances that would cause an information collection to be conducted in a manner:</w:t>
      </w:r>
    </w:p>
    <w:p w:rsidR="00690F56" w:rsidRPr="00E60F16" w:rsidP="004D20AA" w14:paraId="2E174BE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65C1E" w:rsidRPr="00E60F16" w:rsidP="00E30B6A" w14:paraId="4EC8CD3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bCs/>
        </w:rPr>
        <w:t>R</w:t>
      </w:r>
      <w:r w:rsidRPr="00E60F16" w:rsidR="00690F56">
        <w:rPr>
          <w:b/>
          <w:bCs/>
        </w:rPr>
        <w:t>equiring respondents to prepare a written response to a collection of information in fewer than 30 days after receipt of it;</w:t>
      </w:r>
      <w:r w:rsidRPr="00E60F16" w:rsidR="00407390">
        <w:rPr>
          <w:sz w:val="22"/>
        </w:rPr>
        <w:t xml:space="preserve"> </w:t>
      </w:r>
    </w:p>
    <w:p w:rsidR="00465C1E" w:rsidRPr="00E60F16" w:rsidP="00D52610" w14:paraId="0874A19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sz w:val="22"/>
        </w:rPr>
      </w:pPr>
    </w:p>
    <w:p w:rsidR="00465C1E" w:rsidRPr="00E60F16" w:rsidP="003631FD" w14:paraId="7D6756E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CPPM requires respondents (consultants) to submit a Written Report to the Employer </w:t>
      </w:r>
      <w:r w:rsidRPr="00E60F16" w:rsidR="00784C01">
        <w:rPr>
          <w:rFonts w:ascii="Times New Roman" w:hAnsi="Times New Roman"/>
        </w:rPr>
        <w:t xml:space="preserve">within twenty (20) </w:t>
      </w:r>
      <w:r w:rsidRPr="00E60F16">
        <w:rPr>
          <w:rFonts w:ascii="Times New Roman" w:hAnsi="Times New Roman"/>
        </w:rPr>
        <w:t xml:space="preserve">working </w:t>
      </w:r>
      <w:r w:rsidRPr="00E60F16" w:rsidR="00784C01">
        <w:rPr>
          <w:rFonts w:ascii="Times New Roman" w:hAnsi="Times New Roman"/>
        </w:rPr>
        <w:t>days of concluding a consultation visit (or of the closing conference)</w:t>
      </w:r>
      <w:r w:rsidRPr="00E60F16" w:rsidR="00B66BA0">
        <w:rPr>
          <w:rFonts w:ascii="Times New Roman" w:hAnsi="Times New Roman"/>
        </w:rPr>
        <w:t>.  The Written R</w:t>
      </w:r>
      <w:r w:rsidRPr="00E60F16" w:rsidR="005A10B8">
        <w:rPr>
          <w:rFonts w:ascii="Times New Roman" w:hAnsi="Times New Roman"/>
        </w:rPr>
        <w:t>eport includes</w:t>
      </w:r>
      <w:r w:rsidRPr="00E60F16" w:rsidR="00EB522B">
        <w:rPr>
          <w:rFonts w:ascii="Times New Roman" w:hAnsi="Times New Roman"/>
        </w:rPr>
        <w:t xml:space="preserve"> </w:t>
      </w:r>
      <w:r w:rsidRPr="00E60F16" w:rsidR="005A10B8">
        <w:rPr>
          <w:rFonts w:ascii="Times New Roman" w:hAnsi="Times New Roman"/>
        </w:rPr>
        <w:t>a list of all hazards identified</w:t>
      </w:r>
      <w:r w:rsidRPr="00E60F16" w:rsidR="00563C76">
        <w:rPr>
          <w:rFonts w:ascii="Times New Roman" w:hAnsi="Times New Roman"/>
        </w:rPr>
        <w:t xml:space="preserve"> during the workplace assessment</w:t>
      </w:r>
      <w:r w:rsidRPr="00E60F16" w:rsidR="005A10B8">
        <w:rPr>
          <w:rFonts w:ascii="Times New Roman" w:hAnsi="Times New Roman"/>
        </w:rPr>
        <w:t xml:space="preserve">, hazard correction recommendations, correction due dates, and </w:t>
      </w:r>
      <w:r w:rsidRPr="00E60F16" w:rsidR="00784C01">
        <w:rPr>
          <w:rFonts w:ascii="Times New Roman" w:hAnsi="Times New Roman"/>
        </w:rPr>
        <w:t xml:space="preserve">findings and recommendations from any </w:t>
      </w:r>
      <w:r w:rsidRPr="00E60F16" w:rsidR="005A10B8">
        <w:rPr>
          <w:rFonts w:ascii="Times New Roman" w:hAnsi="Times New Roman"/>
        </w:rPr>
        <w:t xml:space="preserve">assessment of the employer's </w:t>
      </w:r>
      <w:r w:rsidRPr="00E60F16" w:rsidR="00784C01">
        <w:rPr>
          <w:rFonts w:ascii="Times New Roman" w:hAnsi="Times New Roman"/>
        </w:rPr>
        <w:t>SHP</w:t>
      </w:r>
      <w:r w:rsidRPr="00E60F16">
        <w:rPr>
          <w:rFonts w:ascii="Times New Roman" w:hAnsi="Times New Roman"/>
        </w:rPr>
        <w:t>.  Timely provision of information to small</w:t>
      </w:r>
      <w:r w:rsidRPr="00E60F16" w:rsidR="001C3DB0">
        <w:rPr>
          <w:rFonts w:ascii="Times New Roman" w:hAnsi="Times New Roman"/>
        </w:rPr>
        <w:t>- and medium-sized</w:t>
      </w:r>
      <w:r w:rsidRPr="00E60F16">
        <w:rPr>
          <w:rFonts w:ascii="Times New Roman" w:hAnsi="Times New Roman"/>
        </w:rPr>
        <w:t xml:space="preserve"> business</w:t>
      </w:r>
      <w:r w:rsidRPr="00E60F16" w:rsidR="00B66BA0">
        <w:rPr>
          <w:rFonts w:ascii="Times New Roman" w:hAnsi="Times New Roman"/>
        </w:rPr>
        <w:t xml:space="preserve"> employer</w:t>
      </w:r>
      <w:r w:rsidRPr="00E60F16" w:rsidR="001C3DB0">
        <w:rPr>
          <w:rFonts w:ascii="Times New Roman" w:hAnsi="Times New Roman"/>
        </w:rPr>
        <w:t>s</w:t>
      </w:r>
      <w:r w:rsidRPr="00E60F16">
        <w:rPr>
          <w:rFonts w:ascii="Times New Roman" w:hAnsi="Times New Roman"/>
        </w:rPr>
        <w:t xml:space="preserve"> is essential to promote workplace safety and health.  </w:t>
      </w:r>
    </w:p>
    <w:p w:rsidR="00690F56" w:rsidRPr="00E60F16" w:rsidP="00690F56" w14:paraId="007D8EE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E60F16" w:rsidP="00690F56" w14:paraId="6BDEC84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E60F16">
        <w:rPr>
          <w:b/>
          <w:bCs/>
        </w:rPr>
        <w:t>equiring respondents to submit more than an original and two copies of any document;</w:t>
      </w:r>
      <w:r w:rsidRPr="00E60F16" w:rsidR="00407390">
        <w:rPr>
          <w:sz w:val="22"/>
        </w:rPr>
        <w:t xml:space="preserve"> </w:t>
      </w:r>
    </w:p>
    <w:p w:rsidR="00690F56" w:rsidRPr="00E60F16" w:rsidP="00690F56" w14:paraId="5CB5CE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84C01" w:rsidRPr="00E60F16" w:rsidP="00465C1E" w14:paraId="45D0CAB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 xml:space="preserve">The CPPM does not require respondents (consultants) to submit more than an original and two copies of any documents to </w:t>
      </w:r>
      <w:r w:rsidRPr="00E60F16" w:rsidR="004B4242">
        <w:rPr>
          <w:bCs/>
        </w:rPr>
        <w:t xml:space="preserve">OSHA or </w:t>
      </w:r>
      <w:r w:rsidRPr="00E60F16">
        <w:rPr>
          <w:bCs/>
        </w:rPr>
        <w:t>emp</w:t>
      </w:r>
      <w:r w:rsidRPr="00E60F16" w:rsidR="004B4242">
        <w:rPr>
          <w:bCs/>
        </w:rPr>
        <w:t>loyers that receive consultative</w:t>
      </w:r>
      <w:r w:rsidRPr="00E60F16">
        <w:rPr>
          <w:bCs/>
        </w:rPr>
        <w:t xml:space="preserve"> services.  </w:t>
      </w:r>
    </w:p>
    <w:p w:rsidR="00784C01" w:rsidRPr="00E60F16" w:rsidP="00465C1E" w14:paraId="75FCCBA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p>
    <w:p w:rsidR="00465C1E" w:rsidRPr="00E60F16" w:rsidP="00465C1E" w14:paraId="7E1DC05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Similarly, employers who receive consultative services are not required to submit any original document or more than two copies of any document</w:t>
      </w:r>
      <w:r w:rsidRPr="00E60F16" w:rsidR="004B4242">
        <w:rPr>
          <w:bCs/>
        </w:rPr>
        <w:t xml:space="preserve"> to consultants</w:t>
      </w:r>
      <w:r w:rsidRPr="00E60F16">
        <w:rPr>
          <w:bCs/>
        </w:rPr>
        <w:t>.</w:t>
      </w:r>
    </w:p>
    <w:p w:rsidR="00465C1E" w:rsidRPr="00E60F16" w:rsidP="00D52610" w14:paraId="566817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RPr="00E60F16" w:rsidP="00690F56" w14:paraId="7253CF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E60F16">
        <w:rPr>
          <w:b/>
          <w:bCs/>
        </w:rPr>
        <w:t>equiring respondents to retain records, other than health, medical, government contract, grant-in-aid, or tax records for more than three years;</w:t>
      </w:r>
      <w:r w:rsidRPr="00E60F16" w:rsidR="00407390">
        <w:rPr>
          <w:sz w:val="22"/>
        </w:rPr>
        <w:t xml:space="preserve"> </w:t>
      </w:r>
    </w:p>
    <w:p w:rsidR="00690F56" w:rsidRPr="00E60F16" w:rsidP="00D52610" w14:paraId="145F6BB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465C1E" w:rsidRPr="00E60F16" w:rsidP="00465C1E" w14:paraId="2BB40B8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State On-Site Consultation program</w:t>
      </w:r>
      <w:r w:rsidRPr="00E60F16" w:rsidR="00784C01">
        <w:rPr>
          <w:bCs/>
        </w:rPr>
        <w:t xml:space="preserve">s follow their state’s record retention requirements.  </w:t>
      </w:r>
    </w:p>
    <w:p w:rsidR="00784C01" w:rsidRPr="00E60F16" w:rsidP="00465C1E" w14:paraId="352BB8F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p>
    <w:p w:rsidR="00784C01" w:rsidRPr="00E60F16" w:rsidP="00465C1E" w14:paraId="696319D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 xml:space="preserve">Employers who use consultative services are not required to comply with any records retention requirements as a result of using such services. </w:t>
      </w:r>
    </w:p>
    <w:p w:rsidR="00465C1E" w:rsidRPr="00E60F16" w:rsidP="00690F56" w14:paraId="19E4407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E60F16" w:rsidP="00690F56" w14:paraId="64895DB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I</w:t>
      </w:r>
      <w:r w:rsidRPr="00E60F16">
        <w:rPr>
          <w:b/>
          <w:bCs/>
        </w:rPr>
        <w:t>n connection with a statistical survey</w:t>
      </w:r>
      <w:r w:rsidRPr="00E60F16" w:rsidR="00237691">
        <w:rPr>
          <w:b/>
          <w:bCs/>
        </w:rPr>
        <w:t>,</w:t>
      </w:r>
      <w:r w:rsidRPr="00E60F16">
        <w:rPr>
          <w:b/>
          <w:bCs/>
        </w:rPr>
        <w:t xml:space="preserve"> that is not designed to produce valid and reliable results that can be generalized to the universe of study;</w:t>
      </w:r>
      <w:r w:rsidRPr="00E60F16" w:rsidR="00E940F4">
        <w:rPr>
          <w:sz w:val="22"/>
        </w:rPr>
        <w:t xml:space="preserve"> </w:t>
      </w:r>
    </w:p>
    <w:p w:rsidR="00690F56" w:rsidRPr="00E60F16" w:rsidP="00690F56" w14:paraId="04DCD2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E30B6A" w:rsidRPr="00E60F16" w:rsidP="00E30B6A" w14:paraId="2675181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 xml:space="preserve">The </w:t>
      </w:r>
      <w:r w:rsidRPr="00E60F16" w:rsidR="004B4242">
        <w:rPr>
          <w:bCs/>
        </w:rPr>
        <w:t xml:space="preserve">methods </w:t>
      </w:r>
      <w:r w:rsidR="00E12953">
        <w:rPr>
          <w:bCs/>
        </w:rPr>
        <w:t xml:space="preserve">used to collect and analyze data were designed by a psychometrician/statistician and </w:t>
      </w:r>
      <w:r w:rsidRPr="00E60F16" w:rsidR="004B4242">
        <w:rPr>
          <w:bCs/>
        </w:rPr>
        <w:t>reviewed by OSHA economists</w:t>
      </w:r>
      <w:r w:rsidRPr="00E60F16" w:rsidR="005137B7">
        <w:rPr>
          <w:bCs/>
        </w:rPr>
        <w:t>/</w:t>
      </w:r>
      <w:r w:rsidRPr="00E60F16" w:rsidR="005962BB">
        <w:rPr>
          <w:bCs/>
        </w:rPr>
        <w:t>statisticians</w:t>
      </w:r>
      <w:r w:rsidRPr="00E60F16" w:rsidR="004B4242">
        <w:rPr>
          <w:bCs/>
        </w:rPr>
        <w:t xml:space="preserve"> (see #1 and #16).</w:t>
      </w:r>
      <w:r w:rsidRPr="00E60F16">
        <w:rPr>
          <w:bCs/>
        </w:rPr>
        <w:t xml:space="preserve"> </w:t>
      </w:r>
      <w:r w:rsidRPr="00E60F16" w:rsidR="004B4242">
        <w:rPr>
          <w:bCs/>
        </w:rPr>
        <w:t xml:space="preserve"> The statistical survey is designed to be appropriate to assess </w:t>
      </w:r>
      <w:r w:rsidRPr="00E60F16">
        <w:rPr>
          <w:bCs/>
        </w:rPr>
        <w:t xml:space="preserve">occupational safety and health </w:t>
      </w:r>
      <w:r w:rsidRPr="00E60F16" w:rsidR="004B4242">
        <w:rPr>
          <w:bCs/>
        </w:rPr>
        <w:t xml:space="preserve">conditions </w:t>
      </w:r>
      <w:r w:rsidRPr="00E60F16">
        <w:rPr>
          <w:bCs/>
        </w:rPr>
        <w:t>in small</w:t>
      </w:r>
      <w:r w:rsidRPr="00E60F16" w:rsidR="008636A6">
        <w:rPr>
          <w:bCs/>
        </w:rPr>
        <w:t>-</w:t>
      </w:r>
      <w:r w:rsidRPr="00E60F16">
        <w:rPr>
          <w:bCs/>
        </w:rPr>
        <w:t xml:space="preserve"> </w:t>
      </w:r>
      <w:r w:rsidRPr="00E60F16" w:rsidR="00784C01">
        <w:rPr>
          <w:bCs/>
        </w:rPr>
        <w:t xml:space="preserve">and medium-sized </w:t>
      </w:r>
      <w:r w:rsidRPr="00E60F16" w:rsidR="00566436">
        <w:rPr>
          <w:bCs/>
        </w:rPr>
        <w:t xml:space="preserve">business </w:t>
      </w:r>
      <w:r w:rsidRPr="00E60F16">
        <w:rPr>
          <w:bCs/>
        </w:rPr>
        <w:t>workp</w:t>
      </w:r>
      <w:r w:rsidRPr="00E60F16" w:rsidR="004B4242">
        <w:rPr>
          <w:bCs/>
        </w:rPr>
        <w:t>laces using the DRF33</w:t>
      </w:r>
      <w:r w:rsidRPr="00E60F16">
        <w:rPr>
          <w:bCs/>
        </w:rPr>
        <w:t>.</w:t>
      </w:r>
    </w:p>
    <w:p w:rsidR="00E30B6A" w:rsidRPr="00E60F16" w:rsidP="00D52610" w14:paraId="752B2D9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D8641F" w:rsidRPr="00E60F16" w:rsidP="00690F56" w14:paraId="1480A28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R</w:t>
      </w:r>
      <w:r w:rsidRPr="00E60F16" w:rsidR="00690F56">
        <w:rPr>
          <w:b/>
          <w:bCs/>
        </w:rPr>
        <w:t>equiring the use of statistical data classification that has not been reviewed and approved by OMB;</w:t>
      </w:r>
    </w:p>
    <w:p w:rsidR="00D52C52" w:rsidRPr="00E60F16" w:rsidP="00D52610" w14:paraId="25E87A4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D52C52" w:rsidRPr="00E60F16" w:rsidP="00D52C52" w14:paraId="62A6B53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 xml:space="preserve">The </w:t>
      </w:r>
      <w:r w:rsidRPr="00E60F16" w:rsidR="004B4242">
        <w:rPr>
          <w:bCs/>
        </w:rPr>
        <w:t xml:space="preserve">data </w:t>
      </w:r>
      <w:r w:rsidR="00E12953">
        <w:rPr>
          <w:bCs/>
        </w:rPr>
        <w:t>analysis</w:t>
      </w:r>
      <w:r w:rsidRPr="00E60F16" w:rsidR="00E12953">
        <w:rPr>
          <w:bCs/>
        </w:rPr>
        <w:t xml:space="preserve"> </w:t>
      </w:r>
      <w:r w:rsidRPr="00E60F16">
        <w:rPr>
          <w:bCs/>
        </w:rPr>
        <w:t xml:space="preserve">methods that will be used </w:t>
      </w:r>
      <w:r w:rsidRPr="00E60F16" w:rsidR="008C6498">
        <w:rPr>
          <w:bCs/>
        </w:rPr>
        <w:t>are</w:t>
      </w:r>
      <w:r w:rsidRPr="00E60F16">
        <w:rPr>
          <w:bCs/>
        </w:rPr>
        <w:t xml:space="preserve"> extensively described in #16 below for OMB </w:t>
      </w:r>
      <w:r w:rsidRPr="00E60F16" w:rsidR="00784C01">
        <w:rPr>
          <w:bCs/>
        </w:rPr>
        <w:t xml:space="preserve">review and </w:t>
      </w:r>
      <w:r w:rsidRPr="00E60F16">
        <w:rPr>
          <w:bCs/>
        </w:rPr>
        <w:t>approval.</w:t>
      </w:r>
    </w:p>
    <w:p w:rsidR="00D8641F" w:rsidRPr="00E60F16" w:rsidP="00D52610" w14:paraId="308352F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690F56" w:rsidRPr="00E60F16" w:rsidP="000E01FA" w14:paraId="39122F2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T</w:t>
      </w:r>
      <w:r w:rsidRPr="00E60F16">
        <w:rPr>
          <w:b/>
          <w:bCs/>
        </w:rPr>
        <w:t>hat includes a pledge of confidentially that is not supported by authority established in statu</w:t>
      </w:r>
      <w:r w:rsidRPr="00E60F16" w:rsidR="00CD215D">
        <w:rPr>
          <w:b/>
          <w:bCs/>
        </w:rPr>
        <w:t>t</w:t>
      </w:r>
      <w:r w:rsidRPr="00E60F16">
        <w:rPr>
          <w:b/>
          <w:bCs/>
        </w:rPr>
        <w:t>e or regulation</w:t>
      </w:r>
      <w:r w:rsidRPr="00E60F16" w:rsidR="00237691">
        <w:rPr>
          <w:b/>
          <w:bCs/>
        </w:rPr>
        <w:t>,</w:t>
      </w:r>
      <w:r w:rsidRPr="00E60F16">
        <w:rPr>
          <w:b/>
          <w:bCs/>
        </w:rPr>
        <w:t xml:space="preserve"> that is not supported by disclosure and data security policies that are consistent with the pledge, or which unnecessarily impedes sharing of data with other agencies for compatible confidential use; or</w:t>
      </w:r>
      <w:r w:rsidRPr="00E60F16" w:rsidR="00E940F4">
        <w:rPr>
          <w:sz w:val="22"/>
        </w:rPr>
        <w:t xml:space="preserve"> </w:t>
      </w:r>
    </w:p>
    <w:p w:rsidR="00D8641F" w:rsidRPr="00E60F16" w:rsidP="00D52610" w14:paraId="09A80D8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sz w:val="22"/>
        </w:rPr>
      </w:pPr>
      <w:r w:rsidRPr="00E60F16">
        <w:rPr>
          <w:b/>
          <w:bCs/>
        </w:rPr>
        <w:t>r</w:t>
      </w:r>
      <w:r w:rsidRPr="00E60F16" w:rsidR="00690F56">
        <w:rPr>
          <w:b/>
          <w:bCs/>
        </w:rPr>
        <w:t xml:space="preserve">equiring respondents to submit proprietary trade secret, or other confidential information unless the agency can </w:t>
      </w:r>
      <w:r w:rsidRPr="00E60F16">
        <w:rPr>
          <w:b/>
          <w:bCs/>
        </w:rPr>
        <w:t>demonstrate</w:t>
      </w:r>
      <w:r w:rsidRPr="00E60F16" w:rsidR="00690F56">
        <w:rPr>
          <w:b/>
          <w:bCs/>
        </w:rPr>
        <w:t xml:space="preserve"> that it has instituted procedures to protect the information's confidentially to the extent permitted by law.</w:t>
      </w:r>
      <w:r w:rsidRPr="00E60F16" w:rsidR="00125BE7">
        <w:rPr>
          <w:sz w:val="22"/>
        </w:rPr>
        <w:t xml:space="preserve"> </w:t>
      </w:r>
    </w:p>
    <w:p w:rsidR="00D8641F" w:rsidRPr="00E60F16" w:rsidP="0091422F" w14:paraId="0F1C32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Cs/>
        </w:rPr>
      </w:pPr>
    </w:p>
    <w:p w:rsidR="006C4547" w:rsidRPr="00E60F16" w:rsidP="006C4547" w14:paraId="47BF1B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During the opening conference of each consultation visit, consultants are required to explain relevant Consultation program policies and procedures, including </w:t>
      </w:r>
      <w:r w:rsidRPr="00E60F16" w:rsidR="008B2150">
        <w:rPr>
          <w:rFonts w:ascii="Times New Roman" w:hAnsi="Times New Roman"/>
        </w:rPr>
        <w:t xml:space="preserve">privacy </w:t>
      </w:r>
      <w:r w:rsidRPr="00E60F16">
        <w:rPr>
          <w:rFonts w:ascii="Times New Roman" w:hAnsi="Times New Roman"/>
        </w:rPr>
        <w:t xml:space="preserve">requirements, and employer’s rights and obligations as specified in the CPPM. </w:t>
      </w:r>
    </w:p>
    <w:p w:rsidR="003026BA" w:rsidRPr="00E60F16" w:rsidP="0091422F" w14:paraId="0992E8E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91422F" w:rsidRPr="00E60F16" w:rsidP="0091422F" w14:paraId="63FE508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 xml:space="preserve">As an integral part of the OSHA On-Site Consultation Program, the DRF33 Pilot Study, </w:t>
      </w:r>
      <w:r w:rsidRPr="00E60F16" w:rsidR="00F638F5">
        <w:rPr>
          <w:bCs/>
        </w:rPr>
        <w:t xml:space="preserve">including the </w:t>
      </w:r>
      <w:r w:rsidRPr="00E60F16">
        <w:rPr>
          <w:bCs/>
        </w:rPr>
        <w:t>Prospective Analys</w:t>
      </w:r>
      <w:r w:rsidRPr="00E60F16" w:rsidR="001F3401">
        <w:rPr>
          <w:bCs/>
        </w:rPr>
        <w:t>i</w:t>
      </w:r>
      <w:r w:rsidRPr="00E60F16">
        <w:rPr>
          <w:bCs/>
        </w:rPr>
        <w:t xml:space="preserve">s, </w:t>
      </w:r>
      <w:r w:rsidR="00411F87">
        <w:rPr>
          <w:bCs/>
        </w:rPr>
        <w:t>must comply with the Consultation Program's privacy requirements</w:t>
      </w:r>
      <w:r w:rsidRPr="00E60F16">
        <w:rPr>
          <w:bCs/>
        </w:rPr>
        <w:t>, as specified in the CPPM and required by</w:t>
      </w:r>
      <w:r w:rsidRPr="00E60F16" w:rsidR="006C4547">
        <w:rPr>
          <w:bCs/>
        </w:rPr>
        <w:t xml:space="preserve"> 29 CFR 1908.6.</w:t>
      </w:r>
    </w:p>
    <w:p w:rsidR="006C4547" w:rsidRPr="00E60F16" w:rsidP="006C4547" w14:paraId="2E63CD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C4547" w:rsidRPr="00E60F16" w:rsidP="00C21227" w14:paraId="45C77A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Consultation programs are prohibited from disclosing the identity of employers r</w:t>
      </w:r>
      <w:r w:rsidRPr="00E60F16" w:rsidR="00B66BA0">
        <w:rPr>
          <w:rFonts w:ascii="Times New Roman" w:hAnsi="Times New Roman"/>
        </w:rPr>
        <w:t>equesting consultation services</w:t>
      </w:r>
      <w:r w:rsidRPr="00E60F16">
        <w:rPr>
          <w:rFonts w:ascii="Times New Roman" w:hAnsi="Times New Roman"/>
        </w:rPr>
        <w:t xml:space="preserve"> and any findings from consultation visits, with anyone other than the employer requesting consultative services, unless the employer fails to take timely action to eliminate employees’ exposure to an imminent danger hazard, or fails to correct a serious or imminent danger hazard within the agreed upon timeframe</w:t>
      </w:r>
      <w:r w:rsidRPr="00E60F16" w:rsidR="00E40D81">
        <w:rPr>
          <w:rFonts w:ascii="Times New Roman" w:hAnsi="Times New Roman"/>
        </w:rPr>
        <w:t xml:space="preserve"> or any extension thereof</w:t>
      </w:r>
      <w:r w:rsidRPr="00E60F16">
        <w:rPr>
          <w:rFonts w:ascii="Times New Roman" w:hAnsi="Times New Roman"/>
        </w:rPr>
        <w:t xml:space="preserve">.  In such instances, the Consultation program must share the information with the appropriate enforcement authorities (see 29 CFR 1908.6(f)(1)&amp;(4) and 29 CFR 1908.7(a)(3)).  </w:t>
      </w:r>
    </w:p>
    <w:p w:rsidR="00C21227" w:rsidRPr="00E60F16" w:rsidP="00C21227" w14:paraId="10C4D22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C21227" w:rsidRPr="00E60F16" w:rsidP="00C21227" w14:paraId="69BE46FA"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60F16">
        <w:tab/>
      </w:r>
      <w:r w:rsidRPr="00E60F16" w:rsidR="001B62E0">
        <w:t xml:space="preserve">Per </w:t>
      </w:r>
      <w:r w:rsidRPr="00E60F16">
        <w:t>1908.7(a)(3): “The identity of employers requesting onsite consultation, as well as the file of the consultant's visit, shall not be provided to OSHA for use in any compliance activity, except as provided for in §1908.6(f)(1) (failure to eliminate imminent danger)</w:t>
      </w:r>
      <w:r w:rsidRPr="00E60F16" w:rsidR="0030742D">
        <w:t>,</w:t>
      </w:r>
      <w:r w:rsidRPr="00E60F16">
        <w:t xml:space="preserve"> §1908.6(f)(4) (failure to eliminate serious hazards)</w:t>
      </w:r>
      <w:r w:rsidRPr="00E60F16" w:rsidR="0030742D">
        <w:t>,</w:t>
      </w:r>
      <w:r w:rsidRPr="00E60F16">
        <w:t xml:space="preserve"> </w:t>
      </w:r>
      <w:r w:rsidRPr="00E60F16" w:rsidR="0030742D">
        <w:t>§1908.6</w:t>
      </w:r>
      <w:r w:rsidRPr="00E60F16">
        <w:t>(b)(1) (inspection deferral)</w:t>
      </w:r>
      <w:r w:rsidRPr="00E60F16" w:rsidR="0030742D">
        <w:t>,</w:t>
      </w:r>
      <w:r w:rsidRPr="00E60F16">
        <w:t xml:space="preserve"> and </w:t>
      </w:r>
      <w:r w:rsidRPr="00E60F16" w:rsidR="0030742D">
        <w:t>§1908.6</w:t>
      </w:r>
      <w:r w:rsidRPr="00E60F16">
        <w:t>(b)(4) (recognition and exemption program).”</w:t>
      </w:r>
    </w:p>
    <w:p w:rsidR="00C21227" w:rsidRPr="00E60F16" w:rsidP="00C21227" w14:paraId="43B5E2DA"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B62E0" w:rsidRPr="00E60F16" w:rsidP="001B62E0" w14:paraId="33CC8C9A"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 xml:space="preserve">Per 1908.7(b)(1): “An onsite consultative visit already in progress will have priority over OSHA compliance inspections except as provided in paragraph (b)(2) of this section.  The consultant and the employer shall notify the compliance officer of the visit in progress and request </w:t>
      </w:r>
      <w:r w:rsidR="00411F87">
        <w:t xml:space="preserve">a </w:t>
      </w:r>
      <w:r w:rsidRPr="00E60F16">
        <w:t xml:space="preserve">delay of the inspection until after the visit is completed.  An onsite consultative visit shall be considered "in progress" in relation to the working conditions, hazards, or situations covered by the visit from the beginning of the opening conference through the end of the correction due dates and any extensions thereof.  OSHA may, in </w:t>
      </w:r>
      <w:r w:rsidRPr="00E60F16">
        <w:t>exercising its authority to schedule compliance inspections, assign a lower priority to worksites where consultation visits are scheduled.”</w:t>
      </w:r>
    </w:p>
    <w:p w:rsidR="001B62E0" w:rsidRPr="00E60F16" w:rsidP="00C21227" w14:paraId="493ACDC1"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B62E0" w:rsidRPr="00E60F16" w:rsidP="004D20AA" w14:paraId="6FF44ED6"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60F16">
        <w:tab/>
        <w:t>1908.7(b)(4): “The recognition and exemption program operated by the OSHA consultation projects provide incentives and support to smaller, high-hazard employers to work with their employees to develop, implement, and continuously improve the effectiveness of their workplace safety and health management system.”</w:t>
      </w:r>
    </w:p>
    <w:p w:rsidR="001B62E0" w:rsidRPr="00E60F16" w:rsidP="00C21227" w14:paraId="0A814CE6"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1227" w:rsidRPr="00E60F16" w:rsidP="00C21227" w14:paraId="1D6FCF6D"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60F16">
        <w:tab/>
        <w:t>Per 1908.6(f)(1): “An employer must take immediate action to eliminate employee exposure to a hazard which, in the judgment of the consultant, presents an imminent danger to employees.  If the employer fails to take the necessary action, the consultant must immediately notify the affected employees and the appropriate OSHA enforcement authority and provide the relevant information.”</w:t>
      </w:r>
    </w:p>
    <w:p w:rsidR="00C21227" w:rsidRPr="00E60F16" w:rsidP="00C21227" w14:paraId="6575411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C21227" w:rsidRPr="00E60F16" w:rsidP="00C21227" w14:paraId="5E4F0DE8"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60F16">
        <w:tab/>
        <w:t xml:space="preserve">1908.6(f)(4): “If the employer fails to take the action necessary to correct a serious hazard within the established time frame or any extensions thereof, the consultation manager shall immediately notify the appropriate OSHA enforcement authority and provide the relevant information. </w:t>
      </w:r>
      <w:r w:rsidRPr="00E60F16" w:rsidR="001B62E0">
        <w:t xml:space="preserve"> </w:t>
      </w:r>
      <w:r w:rsidRPr="00E60F16">
        <w:t>The OSHA enforcement authority will make a determination, based on a review of the facts, whether enforcement activity is warranted.”</w:t>
      </w:r>
    </w:p>
    <w:p w:rsidR="00C21227" w:rsidRPr="00E60F16" w:rsidP="001B62E0" w14:paraId="19D5757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3026BA" w:rsidRPr="00E60F16" w:rsidP="003026BA" w14:paraId="2D083D8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 xml:space="preserve">Per 29 CFR 1908.6(g)(2): “Because the consultant's written report contains information considered confidential, and because disclosure of such reports would adversely affect the operation of the OSHA consultation program, the state shall not disclose the consultant's written report except to the employer for whom it was prepared and as provided for in §1908.7(a)(3). </w:t>
      </w:r>
      <w:r w:rsidRPr="00E60F16" w:rsidR="001B62E0">
        <w:t xml:space="preserve"> </w:t>
      </w:r>
      <w:r w:rsidRPr="00E60F16">
        <w:t xml:space="preserve">The state may also disclose information contained in the consultant's written report to the extent required by 29 CFR 1910.1020 or other applicable OSHA standards or regulations.”  </w:t>
      </w:r>
    </w:p>
    <w:p w:rsidR="003026BA" w:rsidRPr="00E60F16" w:rsidP="000E01FA" w14:paraId="302E5CE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p>
    <w:p w:rsidR="001B62E0" w:rsidRPr="00E60F16" w:rsidP="001B62E0" w14:paraId="7DB00953" w14:textId="77777777">
      <w:pPr>
        <w:pStyle w:val="Level1"/>
        <w:ind w:left="720" w:firstLine="0"/>
      </w:pPr>
      <w:r w:rsidRPr="00E60F16">
        <w:t>Per 29 CFR 1908.6(h)(1): “The consultant shall preserve the confidentiality of information obtained as the result of a consultative visit which contains or might reveal a trade secret of the employer.”  A trade secret, as referenced in Section 15 of the Occupational Safety and Health (OSH) Act, includes information concerning or related to processes, operations, style of work, or apparatus, or to the identity, confidential statistical data, amount or source of any income, profits, losses, or expenditures of any person, firm, partnership, corporation, or association.  See 18 USC 1905.  It is essential to the effective enforcement of the OSH Act that Consultation program personnel preserve the confidentiality of all information and investigations which might reveal a trade secret.</w:t>
      </w:r>
    </w:p>
    <w:p w:rsidR="001B62E0" w:rsidRPr="00E60F16" w:rsidP="003026BA" w14:paraId="6562A07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p>
    <w:p w:rsidR="00361858" w:rsidRPr="00E60F16" w:rsidP="008F153E" w14:paraId="13B239D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Cs/>
        </w:rPr>
      </w:pPr>
      <w:r w:rsidRPr="00E60F16">
        <w:rPr>
          <w:bCs/>
        </w:rPr>
        <w:t xml:space="preserve">Per </w:t>
      </w:r>
      <w:r w:rsidRPr="00E60F16" w:rsidR="00D8641F">
        <w:rPr>
          <w:bCs/>
        </w:rPr>
        <w:t>29 CFR Part 1908.6(h)(2)):</w:t>
      </w:r>
      <w:r w:rsidRPr="00E60F16" w:rsidR="003026BA">
        <w:rPr>
          <w:bCs/>
        </w:rPr>
        <w:t xml:space="preserve"> </w:t>
      </w:r>
      <w:r w:rsidRPr="00E60F16" w:rsidR="0091422F">
        <w:rPr>
          <w:bCs/>
        </w:rPr>
        <w:t>“</w:t>
      </w:r>
      <w:r w:rsidRPr="00E60F16" w:rsidR="00DE6E03">
        <w:rPr>
          <w:bCs/>
        </w:rPr>
        <w:t>Disclosure of Consultation p</w:t>
      </w:r>
      <w:r w:rsidRPr="00E60F16" w:rsidR="00D8641F">
        <w:rPr>
          <w:bCs/>
        </w:rPr>
        <w:t xml:space="preserve">rogram information which identifies employers who have requested the services of a consultant would adversely affect the operation of the OSHA </w:t>
      </w:r>
      <w:r w:rsidRPr="00E60F16" w:rsidR="00D52C52">
        <w:rPr>
          <w:bCs/>
        </w:rPr>
        <w:t>C</w:t>
      </w:r>
      <w:r w:rsidRPr="00E60F16" w:rsidR="00D8641F">
        <w:rPr>
          <w:bCs/>
        </w:rPr>
        <w:t xml:space="preserve">onsultation </w:t>
      </w:r>
      <w:r w:rsidRPr="00E60F16" w:rsidR="00D52C52">
        <w:rPr>
          <w:bCs/>
        </w:rPr>
        <w:t>P</w:t>
      </w:r>
      <w:r w:rsidRPr="00E60F16" w:rsidR="00D8641F">
        <w:rPr>
          <w:bCs/>
        </w:rPr>
        <w:t xml:space="preserve">rogram as well as breach the confidentiality of commercial information not customarily disclosed by the employer. </w:t>
      </w:r>
      <w:r w:rsidRPr="00E60F16" w:rsidR="00D52C52">
        <w:rPr>
          <w:bCs/>
        </w:rPr>
        <w:t xml:space="preserve"> </w:t>
      </w:r>
      <w:r w:rsidRPr="00E60F16" w:rsidR="001B62E0">
        <w:rPr>
          <w:bCs/>
        </w:rPr>
        <w:t xml:space="preserve"> </w:t>
      </w:r>
      <w:r w:rsidRPr="00E60F16" w:rsidR="00D8641F">
        <w:rPr>
          <w:bCs/>
        </w:rPr>
        <w:t xml:space="preserve">Accordingly, the </w:t>
      </w:r>
      <w:r w:rsidRPr="00E60F16" w:rsidR="00E52B2A">
        <w:rPr>
          <w:bCs/>
        </w:rPr>
        <w:t>s</w:t>
      </w:r>
      <w:r w:rsidRPr="00E60F16" w:rsidR="00D8641F">
        <w:rPr>
          <w:bCs/>
        </w:rPr>
        <w:t xml:space="preserve">tate shall keep such information confidential. </w:t>
      </w:r>
      <w:r w:rsidRPr="00E60F16" w:rsidR="00D52C52">
        <w:rPr>
          <w:bCs/>
        </w:rPr>
        <w:t xml:space="preserve"> </w:t>
      </w:r>
      <w:r w:rsidRPr="00E60F16" w:rsidR="00D8641F">
        <w:rPr>
          <w:bCs/>
        </w:rPr>
        <w:t xml:space="preserve">The </w:t>
      </w:r>
      <w:r w:rsidRPr="00E60F16" w:rsidR="00E52B2A">
        <w:rPr>
          <w:bCs/>
        </w:rPr>
        <w:t>s</w:t>
      </w:r>
      <w:r w:rsidRPr="00E60F16" w:rsidR="00D8641F">
        <w:rPr>
          <w:bCs/>
        </w:rPr>
        <w:t xml:space="preserve">tate shall provide </w:t>
      </w:r>
      <w:r w:rsidRPr="00E60F16" w:rsidR="00D52C52">
        <w:rPr>
          <w:bCs/>
        </w:rPr>
        <w:t>C</w:t>
      </w:r>
      <w:r w:rsidRPr="00E60F16" w:rsidR="00D8641F">
        <w:rPr>
          <w:bCs/>
        </w:rPr>
        <w:t xml:space="preserve">onsultation program information requested by OSHA, including information which </w:t>
      </w:r>
      <w:r w:rsidRPr="00E60F16" w:rsidR="00D8641F">
        <w:rPr>
          <w:bCs/>
        </w:rPr>
        <w:t xml:space="preserve">identifies employers who have requested consultation services. </w:t>
      </w:r>
      <w:r w:rsidRPr="00E60F16" w:rsidR="00D52C52">
        <w:rPr>
          <w:bCs/>
        </w:rPr>
        <w:t xml:space="preserve"> </w:t>
      </w:r>
      <w:r w:rsidRPr="00E60F16" w:rsidR="00D8641F">
        <w:rPr>
          <w:bCs/>
        </w:rPr>
        <w:t xml:space="preserve">OSHA may use such information to administer the </w:t>
      </w:r>
      <w:r w:rsidRPr="00E60F16" w:rsidR="00D52C52">
        <w:rPr>
          <w:bCs/>
        </w:rPr>
        <w:t>C</w:t>
      </w:r>
      <w:r w:rsidRPr="00E60F16" w:rsidR="00D8641F">
        <w:rPr>
          <w:bCs/>
        </w:rPr>
        <w:t xml:space="preserve">onsultation </w:t>
      </w:r>
      <w:r w:rsidRPr="00E60F16" w:rsidR="00D52C52">
        <w:rPr>
          <w:bCs/>
        </w:rPr>
        <w:t>P</w:t>
      </w:r>
      <w:r w:rsidRPr="00E60F16" w:rsidR="00D8641F">
        <w:rPr>
          <w:bCs/>
        </w:rPr>
        <w:t xml:space="preserve">rogram and to evaluate </w:t>
      </w:r>
      <w:r w:rsidRPr="00E60F16" w:rsidR="00E52B2A">
        <w:rPr>
          <w:bCs/>
        </w:rPr>
        <w:t>s</w:t>
      </w:r>
      <w:r w:rsidRPr="00E60F16" w:rsidR="00D8641F">
        <w:rPr>
          <w:bCs/>
        </w:rPr>
        <w:t xml:space="preserve">tate and federal performance under that </w:t>
      </w:r>
      <w:r w:rsidRPr="00E60F16" w:rsidR="00D52C52">
        <w:rPr>
          <w:bCs/>
        </w:rPr>
        <w:t>P</w:t>
      </w:r>
      <w:r w:rsidRPr="00E60F16" w:rsidR="00D8641F">
        <w:rPr>
          <w:bCs/>
        </w:rPr>
        <w:t>rogram, but shall, to the maximum extent permitted by law, treat information which identifies specific employers as exempt from public disclosure.</w:t>
      </w:r>
      <w:r w:rsidRPr="00E60F16" w:rsidR="00D52C52">
        <w:rPr>
          <w:bCs/>
        </w:rPr>
        <w:t>”</w:t>
      </w:r>
      <w:r w:rsidRPr="00E60F16" w:rsidR="00D8641F">
        <w:rPr>
          <w:bCs/>
        </w:rPr>
        <w:t xml:space="preserve"> </w:t>
      </w:r>
    </w:p>
    <w:p w:rsidR="00690F56" w:rsidRPr="00E60F16" w:rsidP="00690F56" w14:paraId="3760B8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641F" w:rsidRPr="00E60F16" w:rsidP="00693D26" w14:paraId="149F75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sz w:val="22"/>
        </w:rPr>
      </w:pPr>
      <w:r w:rsidRPr="00E60F16">
        <w:rPr>
          <w:rFonts w:ascii="Times New Roman" w:hAnsi="Times New Roman"/>
          <w:b/>
          <w:bCs/>
        </w:rPr>
        <w:t xml:space="preserve"> 8.  If applicable, provide a copy and identify the date and page number of publication in the </w:t>
      </w:r>
      <w:r w:rsidRPr="00E60F16">
        <w:rPr>
          <w:rStyle w:val="Heading2Char"/>
          <w:rFonts w:ascii="Times New Roman" w:hAnsi="Times New Roman" w:cs="Times New Roman"/>
          <w:bCs w:val="0"/>
          <w:sz w:val="24"/>
          <w:szCs w:val="24"/>
        </w:rPr>
        <w:t>Federal Register</w:t>
      </w:r>
      <w:r w:rsidRPr="00E60F16">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E60F16" w:rsidR="00E46EE5">
        <w:rPr>
          <w:rFonts w:ascii="Times New Roman" w:hAnsi="Times New Roman"/>
          <w:b/>
          <w:bCs/>
        </w:rPr>
        <w:t xml:space="preserve"> </w:t>
      </w:r>
      <w:r w:rsidRPr="00E60F16">
        <w:rPr>
          <w:rFonts w:ascii="Times New Roman" w:hAnsi="Times New Roman"/>
          <w:b/>
          <w:bCs/>
        </w:rPr>
        <w:t>Specifically address comments received on cost and hour burden.</w:t>
      </w:r>
      <w:r w:rsidRPr="00E60F16" w:rsidR="00E940F4">
        <w:rPr>
          <w:rFonts w:ascii="Times New Roman" w:hAnsi="Times New Roman"/>
          <w:sz w:val="22"/>
        </w:rPr>
        <w:t xml:space="preserve">  </w:t>
      </w:r>
    </w:p>
    <w:p w:rsidR="00570F22" w:rsidRPr="00E60F16" w:rsidP="00693D26" w14:paraId="447743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sz w:val="22"/>
        </w:rPr>
      </w:pPr>
    </w:p>
    <w:p w:rsidR="00570F22" w:rsidRPr="00E60F16" w:rsidP="00570F22" w14:paraId="2E53C35B" w14:textId="77777777">
      <w:pPr>
        <w:pStyle w:val="ListParagraph"/>
        <w:rPr>
          <w:rFonts w:ascii="Times New Roman" w:hAnsi="Times New Roman"/>
        </w:rPr>
      </w:pPr>
      <w:r w:rsidRPr="00F55604">
        <w:rPr>
          <w:rFonts w:ascii="Times New Roman" w:hAnsi="Times New Roman"/>
        </w:rPr>
        <w:t xml:space="preserve">As required by the Paperwork Reduction Act of 1995 (PRA) (44 U.S.C. 506(c)(2)(A)), </w:t>
      </w:r>
      <w:bookmarkStart w:id="1" w:name="_Hlk103343894"/>
      <w:r w:rsidRPr="00F55604">
        <w:rPr>
          <w:rFonts w:ascii="Times New Roman" w:hAnsi="Times New Roman"/>
        </w:rPr>
        <w:t xml:space="preserve">OSHA published a notice in the </w:t>
      </w:r>
      <w:r w:rsidRPr="00F55604">
        <w:rPr>
          <w:rFonts w:ascii="Times New Roman" w:hAnsi="Times New Roman"/>
          <w:i/>
        </w:rPr>
        <w:t>Federal Register</w:t>
      </w:r>
      <w:r w:rsidRPr="00F55604">
        <w:rPr>
          <w:rFonts w:ascii="Times New Roman" w:hAnsi="Times New Roman"/>
        </w:rPr>
        <w:t xml:space="preserve"> on </w:t>
      </w:r>
      <w:r w:rsidR="008F37BD">
        <w:rPr>
          <w:rFonts w:ascii="Times New Roman" w:hAnsi="Times New Roman"/>
        </w:rPr>
        <w:t>January 13, 2025</w:t>
      </w:r>
      <w:r w:rsidRPr="006155A6" w:rsidR="009A3C06">
        <w:rPr>
          <w:rFonts w:ascii="Times New Roman" w:hAnsi="Times New Roman"/>
          <w:b/>
          <w:bCs/>
        </w:rPr>
        <w:t xml:space="preserve"> </w:t>
      </w:r>
      <w:r w:rsidRPr="008F37BD">
        <w:rPr>
          <w:rFonts w:ascii="Times New Roman" w:hAnsi="Times New Roman"/>
        </w:rPr>
        <w:t>(</w:t>
      </w:r>
      <w:r w:rsidRPr="008F37BD" w:rsidR="008F37BD">
        <w:rPr>
          <w:rFonts w:ascii="Times New Roman" w:hAnsi="Times New Roman"/>
        </w:rPr>
        <w:t>90</w:t>
      </w:r>
      <w:r w:rsidRPr="008F37BD">
        <w:rPr>
          <w:rFonts w:ascii="Times New Roman" w:hAnsi="Times New Roman"/>
        </w:rPr>
        <w:t xml:space="preserve"> FR</w:t>
      </w:r>
      <w:r w:rsidRPr="008F37BD" w:rsidR="009A3C06">
        <w:rPr>
          <w:rFonts w:ascii="Times New Roman" w:hAnsi="Times New Roman"/>
        </w:rPr>
        <w:t xml:space="preserve"> </w:t>
      </w:r>
      <w:r w:rsidRPr="008F37BD" w:rsidR="008F37BD">
        <w:rPr>
          <w:rFonts w:ascii="Times New Roman" w:hAnsi="Times New Roman"/>
        </w:rPr>
        <w:t>2756</w:t>
      </w:r>
      <w:r w:rsidRPr="008F37BD">
        <w:rPr>
          <w:rFonts w:ascii="Times New Roman" w:hAnsi="Times New Roman"/>
        </w:rPr>
        <w:t>)</w:t>
      </w:r>
      <w:r w:rsidRPr="006155A6">
        <w:rPr>
          <w:rFonts w:ascii="Times New Roman" w:hAnsi="Times New Roman"/>
          <w:b/>
          <w:bCs/>
          <w:color w:val="FF0000"/>
        </w:rPr>
        <w:t xml:space="preserve"> </w:t>
      </w:r>
      <w:r w:rsidRPr="00F55604">
        <w:rPr>
          <w:rFonts w:ascii="Times New Roman" w:hAnsi="Times New Roman"/>
        </w:rPr>
        <w:t xml:space="preserve">soliciting comments on its proposal to extend the Office of </w:t>
      </w:r>
      <w:bookmarkEnd w:id="1"/>
      <w:r w:rsidRPr="00F55604">
        <w:rPr>
          <w:rFonts w:ascii="Times New Roman" w:hAnsi="Times New Roman"/>
        </w:rPr>
        <w:t>Management and Budget’s (OMB) approval of the information collection requirements specified in the pilot study 1218-0</w:t>
      </w:r>
      <w:r w:rsidRPr="00F55604" w:rsidR="00D9687A">
        <w:rPr>
          <w:rFonts w:ascii="Times New Roman" w:hAnsi="Times New Roman"/>
        </w:rPr>
        <w:t>280</w:t>
      </w:r>
      <w:r w:rsidRPr="00F55604">
        <w:rPr>
          <w:rFonts w:ascii="Times New Roman" w:hAnsi="Times New Roman"/>
        </w:rPr>
        <w:t xml:space="preserve">. </w:t>
      </w:r>
      <w:r w:rsidRPr="00F55604" w:rsidR="009A3C06">
        <w:rPr>
          <w:rFonts w:ascii="Times New Roman" w:hAnsi="Times New Roman"/>
        </w:rPr>
        <w:t xml:space="preserve">The docket number is OSHA-2021-0013.  </w:t>
      </w:r>
      <w:r w:rsidRPr="00F55604">
        <w:rPr>
          <w:rFonts w:ascii="Times New Roman" w:hAnsi="Times New Roman"/>
        </w:rPr>
        <w:t xml:space="preserve">This notice is part of a preclearance consultation program that </w:t>
      </w:r>
      <w:r w:rsidR="00411F87">
        <w:rPr>
          <w:rFonts w:ascii="Times New Roman" w:hAnsi="Times New Roman"/>
        </w:rPr>
        <w:t>allows interested parties</w:t>
      </w:r>
      <w:r w:rsidRPr="00F55604">
        <w:rPr>
          <w:rFonts w:ascii="Times New Roman" w:hAnsi="Times New Roman"/>
        </w:rPr>
        <w:t xml:space="preserve"> to comment on OSHA’s new request for clearance </w:t>
      </w:r>
      <w:r w:rsidRPr="00F55604" w:rsidR="00347F7F">
        <w:rPr>
          <w:rFonts w:ascii="Times New Roman" w:hAnsi="Times New Roman"/>
        </w:rPr>
        <w:t>of information</w:t>
      </w:r>
      <w:r w:rsidRPr="00F55604">
        <w:rPr>
          <w:rFonts w:ascii="Times New Roman" w:hAnsi="Times New Roman"/>
        </w:rPr>
        <w:t xml:space="preserve">. The Agency </w:t>
      </w:r>
      <w:r w:rsidR="00A4237F">
        <w:rPr>
          <w:rFonts w:ascii="Times New Roman" w:hAnsi="Times New Roman"/>
        </w:rPr>
        <w:t>did not receive</w:t>
      </w:r>
      <w:r w:rsidR="00B51899">
        <w:rPr>
          <w:rFonts w:ascii="Times New Roman" w:hAnsi="Times New Roman"/>
        </w:rPr>
        <w:t xml:space="preserve"> </w:t>
      </w:r>
      <w:r w:rsidRPr="00F55604">
        <w:rPr>
          <w:rFonts w:ascii="Times New Roman" w:hAnsi="Times New Roman"/>
        </w:rPr>
        <w:t>any comments submitted in response to this notice.</w:t>
      </w:r>
    </w:p>
    <w:p w:rsidR="00690F56" w:rsidRPr="00E60F16" w:rsidP="00690F56" w14:paraId="5E7A43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641F" w:rsidRPr="00E60F16" w:rsidP="00693D26" w14:paraId="136AAD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2"/>
        </w:rPr>
      </w:pPr>
      <w:r w:rsidRPr="00E60F16">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60F16">
        <w:rPr>
          <w:rFonts w:ascii="Times New Roman" w:hAnsi="Times New Roman"/>
          <w:sz w:val="22"/>
        </w:rPr>
        <w:t>.</w:t>
      </w:r>
      <w:r w:rsidRPr="00E60F16" w:rsidR="00E940F4">
        <w:rPr>
          <w:rFonts w:ascii="Times New Roman" w:hAnsi="Times New Roman"/>
          <w:sz w:val="22"/>
        </w:rPr>
        <w:t xml:space="preserve"> </w:t>
      </w:r>
      <w:r w:rsidRPr="00E60F16" w:rsidR="000D7F4B">
        <w:rPr>
          <w:rFonts w:ascii="Times New Roman" w:hAnsi="Times New Roman"/>
          <w:sz w:val="22"/>
        </w:rPr>
        <w:t xml:space="preserve">  </w:t>
      </w:r>
    </w:p>
    <w:p w:rsidR="00361858" w:rsidRPr="00E60F16" w:rsidP="000E01FA" w14:paraId="7E8829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2"/>
        </w:rPr>
      </w:pPr>
    </w:p>
    <w:p w:rsidR="00EE5F49" w:rsidRPr="00E60F16" w:rsidP="00361858" w14:paraId="489C117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 xml:space="preserve">The National Association of Occupational Safety and Health Consultation Programs (OSHCON) is made up of Consultation Program Managers responsible for overseeing the daily operations of Consultation programs nationwide.  </w:t>
      </w:r>
      <w:r w:rsidRPr="00E60F16" w:rsidR="002E182B">
        <w:t xml:space="preserve">OSHCON was formed in 1985 to provide a united voice to address issues and challenges that face Consultation programs.  </w:t>
      </w:r>
      <w:r w:rsidRPr="00E60F16">
        <w:t xml:space="preserve">OSHCON is a professional resource for On-Site Consultation programs operated by </w:t>
      </w:r>
      <w:r w:rsidRPr="00E60F16" w:rsidR="00E52B2A">
        <w:t>s</w:t>
      </w:r>
      <w:r w:rsidRPr="00E60F16">
        <w:t xml:space="preserve">tate agencies or universities.    </w:t>
      </w:r>
    </w:p>
    <w:p w:rsidR="00EE5F49" w:rsidRPr="00E60F16" w:rsidP="00361858" w14:paraId="26570D8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EE5F49" w:rsidRPr="00E60F16" w:rsidP="00361858" w14:paraId="74AE9AD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 xml:space="preserve">OSHCON has participated in the </w:t>
      </w:r>
      <w:r w:rsidRPr="00E60F16" w:rsidR="008F153E">
        <w:t xml:space="preserve">OSHA </w:t>
      </w:r>
      <w:r w:rsidRPr="00E60F16">
        <w:t xml:space="preserve">Form 33 Revision Project since its inception, and OSHCON members from the University of South Florida and Georgia Institute of Technology Consultation programs continue to provide subject matter expertise for </w:t>
      </w:r>
      <w:r w:rsidRPr="00E60F16" w:rsidR="008D777F">
        <w:t>the Pilot Study</w:t>
      </w:r>
      <w:r w:rsidRPr="00E60F16" w:rsidR="00D443BA">
        <w:t>, including the Prospective Analysis</w:t>
      </w:r>
      <w:r w:rsidRPr="00E60F16">
        <w:t xml:space="preserve">.  </w:t>
      </w:r>
    </w:p>
    <w:p w:rsidR="00EE5F49" w:rsidRPr="00E60F16" w:rsidP="00361858" w14:paraId="6977A0D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690F56" w:rsidRPr="00E60F16" w:rsidP="00690F56" w14:paraId="2D625D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8641F" w:rsidRPr="00E60F16" w:rsidP="00693D26" w14:paraId="31B756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z w:val="22"/>
        </w:rPr>
      </w:pPr>
      <w:r w:rsidRPr="00E60F16">
        <w:rPr>
          <w:rFonts w:ascii="Times New Roman" w:hAnsi="Times New Roman"/>
          <w:b/>
          <w:bCs/>
        </w:rPr>
        <w:t>Consultation with representatives of those from whom information is to be obtained or those who must compile records should occur at least once every 3 years</w:t>
      </w:r>
      <w:r w:rsidRPr="00E60F16" w:rsidR="00901EF6">
        <w:rPr>
          <w:rFonts w:ascii="Times New Roman" w:hAnsi="Times New Roman"/>
          <w:b/>
          <w:bCs/>
        </w:rPr>
        <w:t xml:space="preserve"> --</w:t>
      </w:r>
      <w:r w:rsidRPr="00E60F16">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r w:rsidRPr="00E60F16" w:rsidR="00D86F03">
        <w:rPr>
          <w:rFonts w:ascii="Times New Roman" w:hAnsi="Times New Roman"/>
          <w:sz w:val="22"/>
        </w:rPr>
        <w:t xml:space="preserve">  </w:t>
      </w:r>
    </w:p>
    <w:p w:rsidR="007D34AD" w:rsidRPr="00E60F16" w:rsidP="000E01FA" w14:paraId="6189D1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rPr>
      </w:pPr>
    </w:p>
    <w:p w:rsidR="0058107B" w:rsidRPr="00E60F16" w:rsidP="0058107B" w14:paraId="7F42DC2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 xml:space="preserve">OSHA is requesting </w:t>
      </w:r>
      <w:r w:rsidRPr="00E60F16" w:rsidR="00050A1E">
        <w:t>a 3</w:t>
      </w:r>
      <w:r w:rsidRPr="00E60F16" w:rsidR="00343694">
        <w:t>.</w:t>
      </w:r>
      <w:r w:rsidR="005937FE">
        <w:t>0</w:t>
      </w:r>
      <w:r w:rsidRPr="00E60F16" w:rsidR="00050A1E">
        <w:t xml:space="preserve">-year extension of </w:t>
      </w:r>
      <w:r w:rsidRPr="00E60F16" w:rsidR="006442BE">
        <w:t xml:space="preserve">the initial </w:t>
      </w:r>
      <w:r w:rsidRPr="00E60F16">
        <w:t xml:space="preserve">OMB approval to </w:t>
      </w:r>
      <w:r w:rsidRPr="00E60F16" w:rsidR="00050A1E">
        <w:t>complete the Pilot Study</w:t>
      </w:r>
      <w:r w:rsidRPr="00E60F16" w:rsidR="004C3E4F">
        <w:t xml:space="preserve">: the remaining 24 SHP assessments, Prospective Analysis, and follow-up studies.  </w:t>
      </w:r>
      <w:r w:rsidRPr="00E60F16">
        <w:t>These studies do not require consultation with representatives of those from whom information will be collected because consultants participating in any of the studies described herein will continue to follow established policies and procedures specified in the CPPM when providing consultative services to small</w:t>
      </w:r>
      <w:r w:rsidRPr="00E60F16" w:rsidR="008636A6">
        <w:t>-</w:t>
      </w:r>
      <w:r w:rsidRPr="00E60F16">
        <w:t xml:space="preserve"> and medium-sized </w:t>
      </w:r>
      <w:r w:rsidRPr="00E60F16" w:rsidR="00553B8A">
        <w:t>businesses</w:t>
      </w:r>
      <w:r w:rsidRPr="00E60F16">
        <w:t xml:space="preserve">.  </w:t>
      </w:r>
    </w:p>
    <w:p w:rsidR="0058107B" w:rsidRPr="00E60F16" w:rsidP="0058107B" w14:paraId="4304718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1B62E0" w:rsidRPr="00E60F16" w:rsidP="0058107B" w14:paraId="1C83114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Employers from small</w:t>
      </w:r>
      <w:r w:rsidRPr="00E60F16" w:rsidR="008636A6">
        <w:t>-</w:t>
      </w:r>
      <w:r w:rsidRPr="00E60F16">
        <w:t xml:space="preserve"> and medium-sized businesses voluntarily request no-cost consultative services from Consultation programs nationwide to improve workplace safety and health conditions.  Consultants from Consultation programs currently utilize the OSHA Form 33 to assess </w:t>
      </w:r>
      <w:r w:rsidRPr="00E60F16" w:rsidR="00553B8A">
        <w:t xml:space="preserve">the </w:t>
      </w:r>
      <w:r w:rsidRPr="00E60F16">
        <w:t>SHPs of small</w:t>
      </w:r>
      <w:r w:rsidRPr="00E60F16" w:rsidR="008636A6">
        <w:t>-</w:t>
      </w:r>
      <w:r w:rsidRPr="00E60F16">
        <w:t xml:space="preserve"> and medium-sized businesses following CPPM policies and procedures and will continue to do so when applying the DRF33.  </w:t>
      </w:r>
    </w:p>
    <w:p w:rsidR="00A30896" w:rsidRPr="00E60F16" w:rsidP="007D34AD" w14:paraId="6B3B434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876E5B" w:rsidRPr="00E60F16" w:rsidP="007D34AD" w14:paraId="5B90331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Additionally, i</w:t>
      </w:r>
      <w:r w:rsidRPr="00E60F16" w:rsidR="00F40F6B">
        <w:t xml:space="preserve">n accordance with the CPPM, Consultation programs must explain relevant policies and procedures to employers prior to conducting a consultation visit.  This provides employers with an opportunity to decide whether to proceed with the consultation visit.  </w:t>
      </w:r>
    </w:p>
    <w:p w:rsidR="00876E5B" w:rsidRPr="00E60F16" w:rsidP="007D34AD" w14:paraId="4604B36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2E182B" w:rsidRPr="00E60F16" w:rsidP="008F153E" w14:paraId="3D642DA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Consultation programs routinely survey small</w:t>
      </w:r>
      <w:r w:rsidR="00AB348B">
        <w:t xml:space="preserve">—and medium-sized businesses that use their services to obtain feedback. This information will be useful in evaluating the overall SHP assessment process before finalizing it. </w:t>
      </w:r>
      <w:r w:rsidRPr="00E60F16" w:rsidR="00A30896">
        <w:t xml:space="preserve">Consultants </w:t>
      </w:r>
      <w:r w:rsidRPr="00E60F16" w:rsidR="0058107B">
        <w:t xml:space="preserve">participating in the studies </w:t>
      </w:r>
      <w:r w:rsidRPr="00E60F16" w:rsidR="00A30896">
        <w:t xml:space="preserve">will be able to provide feedback to OSHA through </w:t>
      </w:r>
      <w:r w:rsidRPr="00E60F16" w:rsidR="00FE6F9E">
        <w:t>6</w:t>
      </w:r>
      <w:r w:rsidRPr="00E60F16" w:rsidR="00A30896">
        <w:t xml:space="preserve"> open-ended survey questions.</w:t>
      </w:r>
    </w:p>
    <w:p w:rsidR="0060114B" w:rsidRPr="00E60F16" w:rsidP="000E01FA" w14:paraId="4738E7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690F56" w:rsidRPr="00E60F16" w:rsidP="00693D26" w14:paraId="6D1595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sz w:val="22"/>
        </w:rPr>
      </w:pPr>
      <w:r w:rsidRPr="00E60F16">
        <w:rPr>
          <w:rFonts w:ascii="Times New Roman" w:hAnsi="Times New Roman"/>
          <w:b/>
          <w:bCs/>
        </w:rPr>
        <w:t xml:space="preserve">9.  Explain any decision to provide any payments or gift to respondents, other than </w:t>
      </w:r>
      <w:r w:rsidRPr="00E60F16" w:rsidR="006E1A08">
        <w:rPr>
          <w:rFonts w:ascii="Times New Roman" w:hAnsi="Times New Roman"/>
          <w:b/>
          <w:bCs/>
        </w:rPr>
        <w:t>remuneration</w:t>
      </w:r>
      <w:r w:rsidRPr="00E60F16">
        <w:rPr>
          <w:rFonts w:ascii="Times New Roman" w:hAnsi="Times New Roman"/>
          <w:b/>
          <w:bCs/>
        </w:rPr>
        <w:t xml:space="preserve"> of contractors or grantees.</w:t>
      </w:r>
      <w:r w:rsidRPr="00E60F16" w:rsidR="00D86F03">
        <w:rPr>
          <w:rFonts w:ascii="Times New Roman" w:hAnsi="Times New Roman"/>
          <w:sz w:val="22"/>
        </w:rPr>
        <w:t xml:space="preserve"> </w:t>
      </w:r>
    </w:p>
    <w:p w:rsidR="007D34AD" w:rsidRPr="00E60F16" w:rsidP="00690F56" w14:paraId="701924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E182B" w:rsidRPr="00E60F16" w:rsidP="000E01FA" w14:paraId="0F8962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No payments or gifts of any kind will be provided to respondents (i.e., consultants completing the DRF33), other than the remuneration that they receive as state employees working for </w:t>
      </w:r>
      <w:r w:rsidRPr="00E60F16" w:rsidR="00FE6F9E">
        <w:rPr>
          <w:rFonts w:ascii="Times New Roman" w:hAnsi="Times New Roman"/>
        </w:rPr>
        <w:t>s</w:t>
      </w:r>
      <w:r w:rsidRPr="00E60F16" w:rsidR="0091422F">
        <w:rPr>
          <w:rFonts w:ascii="Times New Roman" w:hAnsi="Times New Roman"/>
        </w:rPr>
        <w:t xml:space="preserve">tate On-Site </w:t>
      </w:r>
      <w:r w:rsidRPr="00E60F16">
        <w:rPr>
          <w:rFonts w:ascii="Times New Roman" w:hAnsi="Times New Roman"/>
        </w:rPr>
        <w:t xml:space="preserve">Consultation programs.  </w:t>
      </w:r>
    </w:p>
    <w:p w:rsidR="002E182B" w:rsidRPr="00E60F16" w:rsidP="000E01FA" w14:paraId="2482E6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D8641F" w:rsidRPr="00E60F16" w:rsidP="000E01FA" w14:paraId="4CD4D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No payments or gifts of any kind will be provided to small</w:t>
      </w:r>
      <w:r w:rsidRPr="00E60F16" w:rsidR="008636A6">
        <w:rPr>
          <w:rFonts w:ascii="Times New Roman" w:hAnsi="Times New Roman"/>
        </w:rPr>
        <w:t>-</w:t>
      </w:r>
      <w:r w:rsidRPr="00E60F16">
        <w:rPr>
          <w:rFonts w:ascii="Times New Roman" w:hAnsi="Times New Roman"/>
        </w:rPr>
        <w:t xml:space="preserve"> </w:t>
      </w:r>
      <w:r w:rsidRPr="00E60F16" w:rsidR="0091422F">
        <w:rPr>
          <w:rFonts w:ascii="Times New Roman" w:hAnsi="Times New Roman"/>
        </w:rPr>
        <w:t xml:space="preserve">and medium-sized </w:t>
      </w:r>
      <w:r w:rsidRPr="00E60F16">
        <w:rPr>
          <w:rFonts w:ascii="Times New Roman" w:hAnsi="Times New Roman"/>
        </w:rPr>
        <w:t xml:space="preserve">businesses that utilize consultative services to assess their SHPs.  These businesses will </w:t>
      </w:r>
      <w:r w:rsidRPr="00E60F16" w:rsidR="0058107B">
        <w:rPr>
          <w:rFonts w:ascii="Times New Roman" w:hAnsi="Times New Roman"/>
        </w:rPr>
        <w:t>benefit</w:t>
      </w:r>
      <w:r w:rsidRPr="00E60F16">
        <w:rPr>
          <w:rFonts w:ascii="Times New Roman" w:hAnsi="Times New Roman"/>
        </w:rPr>
        <w:t xml:space="preserve"> from no-cost consultative services funded 90</w:t>
      </w:r>
      <w:r w:rsidRPr="00E60F16" w:rsidR="008A0DB9">
        <w:rPr>
          <w:rFonts w:ascii="Times New Roman" w:hAnsi="Times New Roman"/>
        </w:rPr>
        <w:t xml:space="preserve"> percent </w:t>
      </w:r>
      <w:r w:rsidRPr="00E60F16">
        <w:rPr>
          <w:rFonts w:ascii="Times New Roman" w:hAnsi="Times New Roman"/>
        </w:rPr>
        <w:t>by OSHA</w:t>
      </w:r>
      <w:r w:rsidRPr="00E60F16" w:rsidR="0058107B">
        <w:rPr>
          <w:rFonts w:ascii="Times New Roman" w:hAnsi="Times New Roman"/>
        </w:rPr>
        <w:t xml:space="preserve"> and 10</w:t>
      </w:r>
      <w:r w:rsidRPr="00E60F16" w:rsidR="008A0DB9">
        <w:rPr>
          <w:rFonts w:ascii="Times New Roman" w:hAnsi="Times New Roman"/>
        </w:rPr>
        <w:t xml:space="preserve"> percent</w:t>
      </w:r>
      <w:r w:rsidRPr="00E60F16" w:rsidR="0058107B">
        <w:rPr>
          <w:rFonts w:ascii="Times New Roman" w:hAnsi="Times New Roman"/>
        </w:rPr>
        <w:t xml:space="preserve"> by </w:t>
      </w:r>
      <w:r w:rsidRPr="00E60F16" w:rsidR="00B533ED">
        <w:rPr>
          <w:rFonts w:ascii="Times New Roman" w:hAnsi="Times New Roman"/>
        </w:rPr>
        <w:t xml:space="preserve">the </w:t>
      </w:r>
      <w:r w:rsidRPr="00E60F16" w:rsidR="002E182B">
        <w:rPr>
          <w:rFonts w:ascii="Times New Roman" w:hAnsi="Times New Roman"/>
        </w:rPr>
        <w:t>state</w:t>
      </w:r>
      <w:r w:rsidRPr="00E60F16" w:rsidR="0058107B">
        <w:rPr>
          <w:rFonts w:ascii="Times New Roman" w:hAnsi="Times New Roman"/>
        </w:rPr>
        <w:t>s</w:t>
      </w:r>
      <w:r w:rsidRPr="00E60F16">
        <w:rPr>
          <w:rFonts w:ascii="Times New Roman" w:hAnsi="Times New Roman"/>
        </w:rPr>
        <w:t>.</w:t>
      </w:r>
    </w:p>
    <w:p w:rsidR="00690F56" w:rsidRPr="00E60F16" w:rsidP="00690F56" w14:paraId="1B5DE6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8641F" w:rsidRPr="00E60F16" w:rsidP="00693D26" w14:paraId="7C67A2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bCs/>
        </w:rPr>
      </w:pPr>
      <w:r w:rsidRPr="00E60F16">
        <w:rPr>
          <w:rFonts w:ascii="Times New Roman" w:hAnsi="Times New Roman"/>
          <w:b/>
          <w:bCs/>
        </w:rPr>
        <w:t xml:space="preserve">10.  </w:t>
      </w:r>
      <w:r w:rsidRPr="00E60F16" w:rsidR="00690F56">
        <w:rPr>
          <w:rFonts w:ascii="Times New Roman" w:hAnsi="Times New Roman"/>
          <w:b/>
          <w:bCs/>
        </w:rPr>
        <w:t>Describe any assurance of confidentiality provided to respondents and the basis for the assurance in statute, regulation, or agency policy.</w:t>
      </w:r>
      <w:r w:rsidRPr="00E60F16" w:rsidR="00D86F03">
        <w:rPr>
          <w:rFonts w:ascii="Times New Roman" w:hAnsi="Times New Roman"/>
          <w:b/>
          <w:bCs/>
        </w:rPr>
        <w:t xml:space="preserve"> </w:t>
      </w:r>
    </w:p>
    <w:p w:rsidR="007D34AD" w:rsidRPr="00E60F16" w:rsidP="00690F56" w14:paraId="2EC210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1422F" w:rsidRPr="00E60F16" w:rsidP="0091422F" w14:paraId="65ED44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Consultants</w:t>
      </w:r>
      <w:r w:rsidRPr="00E60F16" w:rsidR="00D8641F">
        <w:rPr>
          <w:rFonts w:ascii="Times New Roman" w:hAnsi="Times New Roman"/>
        </w:rPr>
        <w:t xml:space="preserve"> </w:t>
      </w:r>
      <w:r w:rsidRPr="00E60F16">
        <w:rPr>
          <w:rFonts w:ascii="Times New Roman" w:hAnsi="Times New Roman"/>
        </w:rPr>
        <w:t>follow the policies and procedures in the CPPM when using</w:t>
      </w:r>
      <w:r w:rsidRPr="00E60F16" w:rsidR="00D8641F">
        <w:rPr>
          <w:rFonts w:ascii="Times New Roman" w:hAnsi="Times New Roman"/>
        </w:rPr>
        <w:t xml:space="preserve"> the current </w:t>
      </w:r>
      <w:r w:rsidRPr="00E60F16">
        <w:rPr>
          <w:rFonts w:ascii="Times New Roman" w:hAnsi="Times New Roman"/>
        </w:rPr>
        <w:t xml:space="preserve">Form 33 to assess </w:t>
      </w:r>
      <w:r w:rsidRPr="00E60F16" w:rsidR="00D8641F">
        <w:rPr>
          <w:rFonts w:ascii="Times New Roman" w:hAnsi="Times New Roman"/>
        </w:rPr>
        <w:t>SHPs duri</w:t>
      </w:r>
      <w:r w:rsidRPr="00E60F16">
        <w:rPr>
          <w:rFonts w:ascii="Times New Roman" w:hAnsi="Times New Roman"/>
        </w:rPr>
        <w:t>ng consultation visits to small</w:t>
      </w:r>
      <w:r w:rsidRPr="00E60F16" w:rsidR="008636A6">
        <w:rPr>
          <w:rFonts w:ascii="Times New Roman" w:hAnsi="Times New Roman"/>
        </w:rPr>
        <w:t>-</w:t>
      </w:r>
      <w:r w:rsidRPr="00E60F16">
        <w:rPr>
          <w:rFonts w:ascii="Times New Roman" w:hAnsi="Times New Roman"/>
        </w:rPr>
        <w:t xml:space="preserve"> and medium-sized workplaces, when employers</w:t>
      </w:r>
      <w:r w:rsidRPr="00E60F16" w:rsidR="00D8641F">
        <w:rPr>
          <w:rFonts w:ascii="Times New Roman" w:hAnsi="Times New Roman"/>
        </w:rPr>
        <w:t xml:space="preserve"> request such services.  </w:t>
      </w:r>
      <w:r w:rsidRPr="00E60F16">
        <w:rPr>
          <w:rFonts w:ascii="Times New Roman" w:hAnsi="Times New Roman"/>
        </w:rPr>
        <w:t xml:space="preserve">Similarly, </w:t>
      </w:r>
      <w:r w:rsidRPr="00E60F16" w:rsidR="00D8641F">
        <w:rPr>
          <w:rFonts w:ascii="Times New Roman" w:hAnsi="Times New Roman"/>
        </w:rPr>
        <w:t>policies and procedures for providing consultative services described in the CPPM apply to SHP assessments conducted</w:t>
      </w:r>
      <w:r w:rsidRPr="00E60F16">
        <w:rPr>
          <w:rFonts w:ascii="Times New Roman" w:hAnsi="Times New Roman"/>
        </w:rPr>
        <w:t xml:space="preserve"> using the DRF33</w:t>
      </w:r>
      <w:r w:rsidRPr="00E60F16" w:rsidR="00D8641F">
        <w:rPr>
          <w:rFonts w:ascii="Times New Roman" w:hAnsi="Times New Roman"/>
        </w:rPr>
        <w:t xml:space="preserve">.  </w:t>
      </w:r>
    </w:p>
    <w:p w:rsidR="0091422F" w:rsidRPr="00E60F16" w:rsidP="0091422F" w14:paraId="5A5DE4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D8641F" w:rsidRPr="00E60F16" w:rsidP="0091422F" w14:paraId="5F0EB8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During the opening conference of each consultation visit, consultants are required to explain relevant Consultation program policies and procedures, including</w:t>
      </w:r>
      <w:r w:rsidRPr="00E60F16" w:rsidR="008B2150">
        <w:rPr>
          <w:rFonts w:ascii="Times New Roman" w:hAnsi="Times New Roman"/>
        </w:rPr>
        <w:t xml:space="preserve"> privacy </w:t>
      </w:r>
      <w:r w:rsidRPr="00E60F16">
        <w:rPr>
          <w:rFonts w:ascii="Times New Roman" w:hAnsi="Times New Roman"/>
        </w:rPr>
        <w:t xml:space="preserve">requirements and employer’s rights and obligations. </w:t>
      </w:r>
    </w:p>
    <w:p w:rsidR="00D8641F" w:rsidRPr="00E60F16" w:rsidP="00D8641F" w14:paraId="52C6E6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338584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Consultation programs are prohibited from disclosing the identity of employers requesting consultation services and any findings from consultation visits with anyone other than the employer requesting consultative services unless the employer fails to take timely action to eliminate employees’ exposure to an imminent danger hazard, or fails to correct a serious or imminent danger hazard within the agreed upon timeframe</w:t>
      </w:r>
      <w:r w:rsidRPr="00E60F16" w:rsidR="00B533ED">
        <w:rPr>
          <w:rFonts w:ascii="Times New Roman" w:hAnsi="Times New Roman"/>
        </w:rPr>
        <w:t xml:space="preserve"> or any extensions thereof</w:t>
      </w:r>
      <w:r w:rsidRPr="00E60F16">
        <w:rPr>
          <w:rFonts w:ascii="Times New Roman" w:hAnsi="Times New Roman"/>
        </w:rPr>
        <w:t xml:space="preserve">.  In such instances, the Consultation program must share the information with the appropriate enforcement authorities (see 29 CFR 1908.6(f)(1)&amp;(4) and 29 CFR 1908.7(a)(3)).  </w:t>
      </w:r>
    </w:p>
    <w:p w:rsidR="0058107B" w:rsidRPr="00E60F16" w:rsidP="0058107B" w14:paraId="243378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659B8C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Per 1908.7(a)(3): “The identity of employers requesting onsite consultation, as well as the file of the consultant's visit, shall not be provided to OSHA for use in any compliance activity, except as provided for in §1908.6(f)(1) (failure to eliminate imminent danger,) §1908.6(f)(4) (failure to eliminate serious hazards,) paragraph (b)(1) of this section (inspection deferral) and paragraph (b)(4) of this section (recognition and exemption program).”</w:t>
      </w:r>
    </w:p>
    <w:p w:rsidR="0058107B" w:rsidRPr="00E60F16" w:rsidP="0058107B" w14:paraId="1B66F2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577724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Per 1908.7(b)(1): “An onsite consultative visit already in progress will have priority over OSHA compliance inspections except as provided in paragraph (b)(2) of this section.  The consultant and the employer shall notify the compliance officer of the visit in progress and request delay of the inspection until after the visit is completed.  An onsite consultative visit shall be considered "in progress" in relation to the working conditions, hazards, or situations covered by the visit from the beginning of the opening conference through the end of the correction due dates and any extensions thereof.  OSHA may, in exercising its authority to schedule compliance inspections, assign a lower priority to worksites where consultation visits are scheduled.”</w:t>
      </w:r>
    </w:p>
    <w:p w:rsidR="0058107B" w:rsidRPr="00E60F16" w:rsidP="0058107B" w14:paraId="10B34E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49C441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1908.7(b)(4): “The recognition and exemption program operated by the OSHA consultation projects provide incentives and support to smaller, high-hazard employers to work with their employees to develop, implement, and continuously improve the effectiveness of their workplace safety and health management system.”</w:t>
      </w:r>
    </w:p>
    <w:p w:rsidR="0058107B" w:rsidRPr="00E60F16" w:rsidP="0058107B" w14:paraId="09183E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020F49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Per 1908.6(f)(1): “An employer must take immediate action to eliminate employee exposure to a hazard which, in the judgment of the consultant, presents an imminent danger to employees.  If the employer fails to take the necessary action, the consultant must immediately notify the affected employees and the appropriate OSHA enforcement authority and provide the relevant information.”</w:t>
      </w:r>
    </w:p>
    <w:p w:rsidR="0058107B" w:rsidRPr="00E60F16" w:rsidP="0058107B" w14:paraId="1F89B3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00A718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Per 1908.6(f)(4): “If the employer fails to take the action necessary to correct a serious hazard within the established time frame or any extensions thereof, the consultation manager shall immediately notify the appropriate OSHA enforcement authority and provide the relevant information.  The OSHA enforcement authority will make a </w:t>
      </w:r>
      <w:r w:rsidRPr="00E60F16">
        <w:rPr>
          <w:rFonts w:ascii="Times New Roman" w:hAnsi="Times New Roman"/>
        </w:rPr>
        <w:t>determination, based on a review of the facts, whether enforcement activity is warranted.”</w:t>
      </w:r>
    </w:p>
    <w:p w:rsidR="0058107B" w:rsidRPr="00E60F16" w:rsidP="0058107B" w14:paraId="25526D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107B" w:rsidRPr="00E60F16" w:rsidP="0058107B" w14:paraId="664A81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Per 29 CFR 1908.6(g)(2): “Because the consultant's written report contains information considered confidential, and because disclosure of such reports would adversely affect the operation of the OSHA consultation program, the state shall not disclose the consultant's written report except to the employer for whom it was prepared and as provided for in §1908.7(a)(3).  The state may also disclose information contained in the consultant's written report to the extent required by 29 CFR 1910.1020 or other applicable OSHA standards or regulations.”  </w:t>
      </w:r>
    </w:p>
    <w:p w:rsidR="0058107B" w:rsidRPr="00E60F16" w:rsidP="0058107B" w14:paraId="534F3E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58107B" w:rsidRPr="00E60F16" w:rsidP="0058107B" w14:paraId="222450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Per 29 CFR 1908.6(h)(1): “The consultant shall preserve the confidentiality of information obtained as the result of a consultative visit which contains or might reveal a trade secret of the employer.”  A trade secret, as referenced in Section 15 of the Occupational Safety and Health (OSH) Act, includes information concerning or related to processes, operations, style of work, or apparatus, or to the identity, confidential statistical data, amount or source of any income, profits, losses, or expenditures of any person, firm, partnership, corporation, or association.  See 18 USC 1905.  It is essential to the effective enforcement of the OSH Act that Consultation program personnel preserve the confidentiality of all information and investigations which might reveal a trade secret.</w:t>
      </w:r>
    </w:p>
    <w:p w:rsidR="0058107B" w:rsidRPr="00E60F16" w:rsidP="0058107B" w14:paraId="6642A6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58107B" w:rsidRPr="00E60F16" w:rsidP="008F153E" w14:paraId="25F046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Per 29 CFR Part 1908.6(h)(2)): “Disclosure of Consultation program information which identifies employers who have requested the services of a consultant would adversely affect the operation of the OSHA Consultation Program as well as breach the confidentiality of commercial information not customarily disclosed by the employer.   Accordingly, the state shall keep such information confidential.  The state shall provide Consultation program information requested by OSHA, including information which identifies employers who have requested consultation services.  OSHA may use such information to administer the Consultation Program and to evaluate state and federal performance under that Program, but shall, to the maximum extent permitted by law, treat information which identifies specific employers as exempt from public disclosure.” </w:t>
      </w:r>
    </w:p>
    <w:p w:rsidR="00690F56" w:rsidRPr="00E60F16" w:rsidP="00690F56" w14:paraId="0DDA16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60F16" w:rsidP="00693D26" w14:paraId="02A1AE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sz w:val="22"/>
          <w:szCs w:val="22"/>
        </w:rPr>
      </w:pPr>
      <w:r w:rsidRPr="00E60F16">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E60F16" w:rsidR="00C667F3">
        <w:rPr>
          <w:rFonts w:ascii="Times New Roman" w:hAnsi="Times New Roman"/>
          <w:b/>
          <w:bCs/>
        </w:rPr>
        <w:t>a</w:t>
      </w:r>
      <w:r w:rsidRPr="00E60F1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r w:rsidRPr="00E60F16" w:rsidR="00D86F03">
        <w:rPr>
          <w:rFonts w:ascii="Times New Roman" w:hAnsi="Times New Roman"/>
          <w:sz w:val="22"/>
          <w:szCs w:val="22"/>
        </w:rPr>
        <w:t xml:space="preserve">  </w:t>
      </w:r>
    </w:p>
    <w:p w:rsidR="002E182B" w:rsidRPr="00E60F16" w:rsidP="00690F56" w14:paraId="0FAD19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p>
    <w:p w:rsidR="00D8641F" w:rsidRPr="00E60F16" w:rsidP="00D8641F" w14:paraId="7EBC4E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bCs/>
        </w:rPr>
      </w:pPr>
      <w:r w:rsidRPr="00E60F16">
        <w:rPr>
          <w:rFonts w:ascii="Times New Roman" w:hAnsi="Times New Roman"/>
        </w:rPr>
        <w:t>Th</w:t>
      </w:r>
      <w:r w:rsidRPr="00E60F16" w:rsidR="00993D7E">
        <w:rPr>
          <w:rFonts w:ascii="Times New Roman" w:hAnsi="Times New Roman"/>
        </w:rPr>
        <w:t xml:space="preserve">e studies </w:t>
      </w:r>
      <w:r w:rsidRPr="00E60F16" w:rsidR="00FE6F9E">
        <w:rPr>
          <w:rFonts w:ascii="Times New Roman" w:hAnsi="Times New Roman"/>
        </w:rPr>
        <w:t xml:space="preserve">described herein, </w:t>
      </w:r>
      <w:r w:rsidRPr="00E60F16" w:rsidR="00993D7E">
        <w:rPr>
          <w:rFonts w:ascii="Times New Roman" w:hAnsi="Times New Roman"/>
        </w:rPr>
        <w:t xml:space="preserve">for which </w:t>
      </w:r>
      <w:r w:rsidRPr="00E60F16" w:rsidR="00B533ED">
        <w:rPr>
          <w:rFonts w:ascii="Times New Roman" w:hAnsi="Times New Roman"/>
        </w:rPr>
        <w:t>a 3</w:t>
      </w:r>
      <w:r w:rsidRPr="00E60F16" w:rsidR="00343694">
        <w:rPr>
          <w:rFonts w:ascii="Times New Roman" w:hAnsi="Times New Roman"/>
        </w:rPr>
        <w:t>.</w:t>
      </w:r>
      <w:r w:rsidR="005937FE">
        <w:rPr>
          <w:rFonts w:ascii="Times New Roman" w:hAnsi="Times New Roman"/>
        </w:rPr>
        <w:t>0</w:t>
      </w:r>
      <w:r w:rsidRPr="00E60F16" w:rsidR="00B533ED">
        <w:rPr>
          <w:rFonts w:ascii="Times New Roman" w:hAnsi="Times New Roman"/>
        </w:rPr>
        <w:t xml:space="preserve">-year extension of the initial </w:t>
      </w:r>
      <w:r w:rsidRPr="00E60F16" w:rsidR="00375490">
        <w:rPr>
          <w:rFonts w:ascii="Times New Roman" w:hAnsi="Times New Roman"/>
        </w:rPr>
        <w:t xml:space="preserve">OMB approval is </w:t>
      </w:r>
      <w:r w:rsidRPr="00E60F16" w:rsidR="00993D7E">
        <w:rPr>
          <w:rFonts w:ascii="Times New Roman" w:hAnsi="Times New Roman"/>
        </w:rPr>
        <w:t xml:space="preserve">requested </w:t>
      </w:r>
      <w:r w:rsidRPr="00E60F16" w:rsidR="00375490">
        <w:rPr>
          <w:rFonts w:ascii="Times New Roman" w:hAnsi="Times New Roman"/>
        </w:rPr>
        <w:t>require SHP assessments conducted by consultants</w:t>
      </w:r>
      <w:r w:rsidRPr="00E60F16">
        <w:rPr>
          <w:rFonts w:ascii="Times New Roman" w:hAnsi="Times New Roman"/>
        </w:rPr>
        <w:t xml:space="preserve"> using the DRF33.  The DRF33 assesses wor</w:t>
      </w:r>
      <w:r w:rsidRPr="00E60F16" w:rsidR="008F153E">
        <w:rPr>
          <w:rFonts w:ascii="Times New Roman" w:hAnsi="Times New Roman"/>
        </w:rPr>
        <w:t xml:space="preserve">kplace SHPs using </w:t>
      </w:r>
      <w:r w:rsidRPr="00E60F16" w:rsidR="004C63B6">
        <w:rPr>
          <w:rFonts w:ascii="Times New Roman" w:hAnsi="Times New Roman"/>
        </w:rPr>
        <w:t xml:space="preserve">52 </w:t>
      </w:r>
      <w:r w:rsidRPr="00E60F16" w:rsidR="008F153E">
        <w:rPr>
          <w:rFonts w:ascii="Times New Roman" w:hAnsi="Times New Roman"/>
        </w:rPr>
        <w:t xml:space="preserve">attributes or </w:t>
      </w:r>
      <w:r w:rsidRPr="00E60F16">
        <w:rPr>
          <w:rFonts w:ascii="Times New Roman" w:hAnsi="Times New Roman"/>
        </w:rPr>
        <w:t xml:space="preserve">assessment </w:t>
      </w:r>
      <w:r w:rsidRPr="00E60F16" w:rsidR="00553B8A">
        <w:rPr>
          <w:rFonts w:ascii="Times New Roman" w:hAnsi="Times New Roman"/>
        </w:rPr>
        <w:t xml:space="preserve">criteria </w:t>
      </w:r>
      <w:r w:rsidRPr="00E60F16">
        <w:rPr>
          <w:rFonts w:ascii="Times New Roman" w:hAnsi="Times New Roman"/>
        </w:rPr>
        <w:t xml:space="preserve">focused on specific </w:t>
      </w:r>
      <w:r w:rsidRPr="00E60F16" w:rsidR="007D0A7A">
        <w:rPr>
          <w:rFonts w:ascii="Times New Roman" w:hAnsi="Times New Roman"/>
        </w:rPr>
        <w:t xml:space="preserve">occupational safety and health characteristics </w:t>
      </w:r>
      <w:r w:rsidRPr="00E60F16">
        <w:rPr>
          <w:rFonts w:ascii="Times New Roman" w:hAnsi="Times New Roman"/>
        </w:rPr>
        <w:t>described in the OSHA RP for SHPs, therefore, no questions of a sensitive nature will be asked.</w:t>
      </w:r>
    </w:p>
    <w:p w:rsidR="00D8641F" w:rsidRPr="00E60F16" w:rsidP="00690F56" w14:paraId="19125F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94D58" w:rsidRPr="00E60F16" w:rsidP="00182367" w14:paraId="70E521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bCs/>
        </w:rPr>
      </w:pPr>
      <w:r w:rsidRPr="00E60F16">
        <w:rPr>
          <w:rFonts w:ascii="Times New Roman" w:hAnsi="Times New Roman"/>
          <w:b/>
          <w:bCs/>
        </w:rPr>
        <w:t>12.  Provide estimates of the hour burden of the collection of information.  The statement should:</w:t>
      </w:r>
    </w:p>
    <w:p w:rsidR="00690F56" w:rsidRPr="00E60F16" w:rsidP="00690F56" w14:paraId="2151CA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E60F16" w:rsidP="00C667F3" w14:paraId="59C4CEC6"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Indicate the number of respondents, frequency of response, annual hour burden, and an explanation o</w:t>
      </w:r>
      <w:r w:rsidRPr="00E60F16" w:rsidR="00D2331B">
        <w:rPr>
          <w:rFonts w:ascii="Times New Roman" w:hAnsi="Times New Roman"/>
          <w:b/>
          <w:bCs/>
        </w:rPr>
        <w:t xml:space="preserve">f </w:t>
      </w:r>
      <w:r w:rsidRPr="00E60F1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E60F16" w:rsidR="00CD215D">
        <w:rPr>
          <w:rFonts w:ascii="Times New Roman" w:hAnsi="Times New Roman"/>
          <w:b/>
          <w:bCs/>
        </w:rPr>
        <w:t xml:space="preserve"> </w:t>
      </w:r>
      <w:r w:rsidRPr="00E60F16">
        <w:rPr>
          <w:rFonts w:ascii="Times New Roman" w:hAnsi="Times New Roman"/>
          <w:b/>
          <w:bCs/>
        </w:rPr>
        <w:t>for customary and usual business practices.</w:t>
      </w:r>
    </w:p>
    <w:p w:rsidR="00690F56" w:rsidRPr="00E60F16" w:rsidP="00690F56" w14:paraId="6E3D59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E60F16" w:rsidP="007A7F79" w14:paraId="42AE8979"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60F16">
        <w:rPr>
          <w:b/>
        </w:rPr>
        <w:t xml:space="preserve">If this </w:t>
      </w:r>
      <w:r w:rsidRPr="00E60F16">
        <w:rPr>
          <w:b/>
          <w:bCs/>
        </w:rPr>
        <w:t>request for approval covers more than one form, provide separate hour burden estimates for each form.</w:t>
      </w:r>
    </w:p>
    <w:p w:rsidR="00882B1D" w:rsidRPr="00E60F16" w:rsidP="00AF2C11" w14:paraId="3CDCB45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E60F16" w:rsidP="00C667F3" w14:paraId="79FFF93F"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E60F16" w:rsidR="00312124">
        <w:rPr>
          <w:rFonts w:ascii="Times New Roman" w:hAnsi="Times New Roman"/>
          <w:b/>
          <w:bCs/>
        </w:rPr>
        <w:t>this cost</w:t>
      </w:r>
      <w:r w:rsidRPr="00E60F16" w:rsidR="00C667F3">
        <w:rPr>
          <w:rFonts w:ascii="Times New Roman" w:hAnsi="Times New Roman"/>
          <w:b/>
          <w:bCs/>
        </w:rPr>
        <w:t xml:space="preserve"> should be included in Item 14</w:t>
      </w:r>
      <w:r w:rsidRPr="00E60F16">
        <w:rPr>
          <w:rFonts w:ascii="Times New Roman" w:hAnsi="Times New Roman"/>
          <w:b/>
          <w:bCs/>
        </w:rPr>
        <w:t>.</w:t>
      </w:r>
    </w:p>
    <w:p w:rsidR="00647C9E" w:rsidRPr="00E60F16" w:rsidP="00647C9E" w14:paraId="6C09DF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E3115" w:rsidRPr="00E60F16" w:rsidP="00693D26" w14:paraId="51C45E00" w14:textId="77777777">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hanging="360"/>
        <w:rPr>
          <w:rFonts w:ascii="Times New Roman" w:hAnsi="Times New Roman"/>
          <w:b/>
          <w:bCs/>
        </w:rPr>
      </w:pPr>
      <w:r w:rsidRPr="00E60F16">
        <w:rPr>
          <w:rFonts w:ascii="Times New Roman" w:hAnsi="Times New Roman"/>
          <w:b/>
          <w:bCs/>
        </w:rPr>
        <w:t>Respondent Burden Hour and Cost Burden Determinations</w:t>
      </w:r>
      <w:r w:rsidRPr="00E60F16" w:rsidR="00354B5D">
        <w:rPr>
          <w:rFonts w:ascii="Times New Roman" w:hAnsi="Times New Roman"/>
          <w:b/>
          <w:bCs/>
        </w:rPr>
        <w:t xml:space="preserve"> for </w:t>
      </w:r>
      <w:r w:rsidRPr="00E60F16" w:rsidR="00182367">
        <w:rPr>
          <w:rFonts w:ascii="Times New Roman" w:hAnsi="Times New Roman"/>
          <w:b/>
          <w:bCs/>
        </w:rPr>
        <w:t>s</w:t>
      </w:r>
      <w:r w:rsidRPr="00E60F16" w:rsidR="0015627A">
        <w:rPr>
          <w:rFonts w:ascii="Times New Roman" w:hAnsi="Times New Roman"/>
          <w:b/>
          <w:bCs/>
        </w:rPr>
        <w:t>tate On-Site Consultation program</w:t>
      </w:r>
      <w:r w:rsidRPr="00E60F16" w:rsidR="00354B5D">
        <w:rPr>
          <w:rFonts w:ascii="Times New Roman" w:hAnsi="Times New Roman"/>
          <w:b/>
          <w:bCs/>
        </w:rPr>
        <w:t>s</w:t>
      </w:r>
    </w:p>
    <w:p w:rsidR="006E3115" w:rsidRPr="00E60F16" w:rsidP="005F39B8" w14:paraId="755701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u w:val="single"/>
        </w:rPr>
      </w:pPr>
    </w:p>
    <w:p w:rsidR="006E3115" w:rsidRPr="00E60F16" w:rsidP="00E74030" w14:paraId="25F22928" w14:textId="77777777">
      <w:pPr>
        <w:keepNext/>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
          <w:bCs/>
          <w:u w:val="single"/>
        </w:rPr>
        <w:t>Wage Rate Determinations</w:t>
      </w:r>
    </w:p>
    <w:p w:rsidR="006E3115" w:rsidRPr="00E60F16" w:rsidP="00693D26" w14:paraId="5621BC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The Agency determined the wage rates from mean hourly wage earnings to represent the cost of employee time.  For the relevant standard occupational classification category, OSHA used the wage rates reported </w:t>
      </w:r>
      <w:r w:rsidRPr="00E60F16" w:rsidR="007D0A7A">
        <w:rPr>
          <w:rFonts w:ascii="Times New Roman" w:hAnsi="Times New Roman"/>
          <w:bCs/>
        </w:rPr>
        <w:t xml:space="preserve">by the U.S. Department of Labor’s </w:t>
      </w:r>
      <w:r w:rsidRPr="00E60F16">
        <w:rPr>
          <w:rFonts w:ascii="Times New Roman" w:hAnsi="Times New Roman"/>
          <w:bCs/>
        </w:rPr>
        <w:t>Bureau of Labor Statistics</w:t>
      </w:r>
      <w:r w:rsidRPr="00E60F16" w:rsidR="007D0A7A">
        <w:rPr>
          <w:rFonts w:ascii="Times New Roman" w:hAnsi="Times New Roman"/>
          <w:bCs/>
        </w:rPr>
        <w:t xml:space="preserve"> (BLS) in the </w:t>
      </w:r>
      <w:r w:rsidRPr="00E60F16" w:rsidR="006C3226">
        <w:rPr>
          <w:rFonts w:ascii="Times New Roman" w:hAnsi="Times New Roman"/>
          <w:bCs/>
          <w:i/>
        </w:rPr>
        <w:t>Occupational Employment and Wage Statistics (OEWS)</w:t>
      </w:r>
      <w:r w:rsidRPr="00E60F16" w:rsidR="00AE54A2">
        <w:rPr>
          <w:rFonts w:ascii="Times New Roman" w:hAnsi="Times New Roman"/>
          <w:bCs/>
          <w:iCs/>
        </w:rPr>
        <w:t xml:space="preserve"> data</w:t>
      </w:r>
      <w:r w:rsidRPr="00E60F16" w:rsidR="006C3226">
        <w:rPr>
          <w:rFonts w:ascii="Times New Roman" w:hAnsi="Times New Roman"/>
          <w:bCs/>
          <w:i/>
        </w:rPr>
        <w:t>, May 202</w:t>
      </w:r>
      <w:r w:rsidRPr="00E60F16" w:rsidR="0087184D">
        <w:rPr>
          <w:rFonts w:ascii="Times New Roman" w:hAnsi="Times New Roman"/>
          <w:bCs/>
          <w:i/>
        </w:rPr>
        <w:t>3</w:t>
      </w:r>
      <w:r w:rsidRPr="00E60F16" w:rsidR="007D0A7A">
        <w:rPr>
          <w:rFonts w:ascii="Times New Roman" w:hAnsi="Times New Roman"/>
          <w:bCs/>
          <w:i/>
        </w:rPr>
        <w:t xml:space="preserve"> report</w:t>
      </w:r>
      <w:r w:rsidRPr="00E60F16" w:rsidR="0015325A">
        <w:rPr>
          <w:rFonts w:ascii="Times New Roman" w:hAnsi="Times New Roman"/>
          <w:bCs/>
        </w:rPr>
        <w:t xml:space="preserve">.  </w:t>
      </w:r>
      <w:r w:rsidRPr="00E60F16" w:rsidR="006C3226">
        <w:rPr>
          <w:rFonts w:ascii="Times New Roman" w:hAnsi="Times New Roman"/>
          <w:bCs/>
        </w:rPr>
        <w:t>OEWS data is available at</w:t>
      </w:r>
      <w:r w:rsidRPr="00E60F16" w:rsidR="00DE4234">
        <w:rPr>
          <w:rFonts w:ascii="Times New Roman" w:hAnsi="Times New Roman"/>
          <w:bCs/>
        </w:rPr>
        <w:t xml:space="preserve"> </w:t>
      </w:r>
      <w:hyperlink r:id="rId16" w:history="1">
        <w:r w:rsidRPr="00E60F16" w:rsidR="00DE4234">
          <w:rPr>
            <w:rStyle w:val="Hyperlink"/>
            <w:rFonts w:ascii="Times New Roman" w:hAnsi="Times New Roman"/>
            <w:bCs/>
          </w:rPr>
          <w:t>https://www.bls.gov/oes/tables.htm</w:t>
        </w:r>
      </w:hyperlink>
      <w:r w:rsidRPr="00E60F16" w:rsidR="0015325A">
        <w:rPr>
          <w:rStyle w:val="Hyperlink"/>
          <w:rFonts w:ascii="Times New Roman" w:hAnsi="Times New Roman"/>
          <w:color w:val="auto"/>
        </w:rPr>
        <w:t xml:space="preserve"> </w:t>
      </w:r>
      <w:r w:rsidRPr="00E60F16" w:rsidR="0015325A">
        <w:rPr>
          <w:rFonts w:ascii="Times New Roman" w:hAnsi="Times New Roman"/>
          <w:bCs/>
        </w:rPr>
        <w:t xml:space="preserve">[date accessed: </w:t>
      </w:r>
      <w:r w:rsidR="00DF7109">
        <w:rPr>
          <w:rFonts w:ascii="Times New Roman" w:hAnsi="Times New Roman"/>
          <w:bCs/>
        </w:rPr>
        <w:t>May 21</w:t>
      </w:r>
      <w:r w:rsidRPr="00E60F16" w:rsidR="0015325A">
        <w:rPr>
          <w:rFonts w:ascii="Times New Roman" w:hAnsi="Times New Roman"/>
          <w:bCs/>
        </w:rPr>
        <w:t>, 2024]</w:t>
      </w:r>
      <w:r w:rsidRPr="00E60F16" w:rsidR="006C3226">
        <w:rPr>
          <w:rFonts w:ascii="Times New Roman" w:hAnsi="Times New Roman"/>
        </w:rPr>
        <w:t xml:space="preserve">.  </w:t>
      </w:r>
      <w:r w:rsidRPr="00E60F16">
        <w:rPr>
          <w:rFonts w:ascii="Times New Roman" w:hAnsi="Times New Roman"/>
          <w:bCs/>
        </w:rPr>
        <w:t xml:space="preserve">To access </w:t>
      </w:r>
      <w:r w:rsidRPr="00E60F16" w:rsidR="00E50698">
        <w:rPr>
          <w:rFonts w:ascii="Times New Roman" w:hAnsi="Times New Roman"/>
          <w:bCs/>
        </w:rPr>
        <w:t>these</w:t>
      </w:r>
      <w:r w:rsidRPr="00E60F16">
        <w:rPr>
          <w:rFonts w:ascii="Times New Roman" w:hAnsi="Times New Roman"/>
          <w:bCs/>
        </w:rPr>
        <w:t xml:space="preserve"> wage rate</w:t>
      </w:r>
      <w:r w:rsidRPr="00E60F16" w:rsidR="00E50698">
        <w:rPr>
          <w:rFonts w:ascii="Times New Roman" w:hAnsi="Times New Roman"/>
          <w:bCs/>
        </w:rPr>
        <w:t>s</w:t>
      </w:r>
      <w:r w:rsidRPr="00E60F16">
        <w:rPr>
          <w:rFonts w:ascii="Times New Roman" w:hAnsi="Times New Roman"/>
          <w:bCs/>
        </w:rPr>
        <w:t>, select the year, “</w:t>
      </w:r>
      <w:r w:rsidRPr="00E60F16" w:rsidR="00327DF0">
        <w:rPr>
          <w:rFonts w:ascii="Times New Roman" w:hAnsi="Times New Roman"/>
          <w:bCs/>
        </w:rPr>
        <w:t>National</w:t>
      </w:r>
      <w:r w:rsidRPr="00E60F16" w:rsidR="00E50698">
        <w:rPr>
          <w:rFonts w:ascii="Times New Roman" w:hAnsi="Times New Roman"/>
          <w:bCs/>
        </w:rPr>
        <w:t xml:space="preserve">,” </w:t>
      </w:r>
      <w:r w:rsidRPr="00E60F16">
        <w:rPr>
          <w:rFonts w:ascii="Times New Roman" w:hAnsi="Times New Roman"/>
          <w:bCs/>
        </w:rPr>
        <w:t xml:space="preserve">and the Standard Occupational Classification (SOC) code.  </w:t>
      </w:r>
    </w:p>
    <w:p w:rsidR="006E3115" w:rsidRPr="00E60F16" w:rsidP="00693D26" w14:paraId="6753B8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C474C8" w:rsidRPr="00E60F16" w:rsidP="00C474C8" w14:paraId="11CF1057" w14:textId="77777777">
      <w:pPr>
        <w:widowControl/>
        <w:ind w:left="720"/>
        <w:rPr>
          <w:rFonts w:ascii="Times New Roman" w:hAnsi="Times New Roman"/>
        </w:rPr>
      </w:pPr>
      <w:r w:rsidRPr="00E60F16">
        <w:rPr>
          <w:rFonts w:ascii="Times New Roman" w:hAnsi="Times New Roman"/>
        </w:rPr>
        <w:t xml:space="preserve">To account for fringe benefits, the Agency </w:t>
      </w:r>
      <w:r w:rsidRPr="00E60F16" w:rsidR="00EB2897">
        <w:rPr>
          <w:rFonts w:ascii="Times New Roman" w:hAnsi="Times New Roman"/>
        </w:rPr>
        <w:t>applied to the wage rates</w:t>
      </w:r>
      <w:r w:rsidRPr="00E60F16" w:rsidR="008E4D2B">
        <w:rPr>
          <w:rFonts w:ascii="Times New Roman" w:hAnsi="Times New Roman"/>
        </w:rPr>
        <w:t xml:space="preserve"> a</w:t>
      </w:r>
      <w:r w:rsidRPr="00E60F16">
        <w:rPr>
          <w:rFonts w:ascii="Times New Roman" w:hAnsi="Times New Roman"/>
        </w:rPr>
        <w:t xml:space="preserve"> </w:t>
      </w:r>
      <w:r w:rsidRPr="00E60F16" w:rsidR="008E4D2B">
        <w:rPr>
          <w:rFonts w:ascii="Times New Roman" w:hAnsi="Times New Roman"/>
        </w:rPr>
        <w:t>f</w:t>
      </w:r>
      <w:r w:rsidRPr="00E60F16">
        <w:rPr>
          <w:rFonts w:ascii="Times New Roman" w:hAnsi="Times New Roman"/>
        </w:rPr>
        <w:t>ringe</w:t>
      </w:r>
      <w:r w:rsidRPr="00E60F16" w:rsidR="008E4D2B">
        <w:rPr>
          <w:rFonts w:ascii="Times New Roman" w:hAnsi="Times New Roman"/>
        </w:rPr>
        <w:t xml:space="preserve"> benefit</w:t>
      </w:r>
      <w:r w:rsidRPr="00E60F16">
        <w:rPr>
          <w:rFonts w:ascii="Times New Roman" w:hAnsi="Times New Roman"/>
        </w:rPr>
        <w:t xml:space="preserve"> markup based on data found in Table 2 of the following BLS release: </w:t>
      </w:r>
      <w:r w:rsidRPr="00E60F16">
        <w:rPr>
          <w:rFonts w:ascii="Times New Roman" w:hAnsi="Times New Roman"/>
          <w:i/>
          <w:iCs/>
        </w:rPr>
        <w:t xml:space="preserve">Employer Costs for Employee Compensation, </w:t>
      </w:r>
      <w:r w:rsidRPr="00E60F16">
        <w:rPr>
          <w:rFonts w:ascii="Times New Roman" w:hAnsi="Times New Roman"/>
        </w:rPr>
        <w:t xml:space="preserve">news release text, released 10:00 AM (EDT), </w:t>
      </w:r>
      <w:r w:rsidR="00EF7AC7">
        <w:rPr>
          <w:rFonts w:ascii="Times New Roman" w:hAnsi="Times New Roman"/>
        </w:rPr>
        <w:t>June</w:t>
      </w:r>
      <w:r w:rsidRPr="00E60F16">
        <w:rPr>
          <w:rFonts w:ascii="Times New Roman" w:hAnsi="Times New Roman"/>
        </w:rPr>
        <w:t xml:space="preserve"> 2024 (</w:t>
      </w:r>
      <w:hyperlink r:id="rId17" w:history="1">
        <w:r w:rsidRPr="00E60F16">
          <w:rPr>
            <w:rStyle w:val="Hyperlink"/>
            <w:rFonts w:ascii="Times New Roman" w:hAnsi="Times New Roman"/>
          </w:rPr>
          <w:t>Table 2. Civilian workers by occupational and industry group - 2024 Q01 Results (bls.gov)</w:t>
        </w:r>
      </w:hyperlink>
      <w:r w:rsidRPr="00E60F16">
        <w:rPr>
          <w:rFonts w:ascii="Times New Roman" w:hAnsi="Times New Roman"/>
        </w:rPr>
        <w:t>.</w:t>
      </w:r>
      <w:r w:rsidR="00CD72B4">
        <w:rPr>
          <w:rFonts w:ascii="Times New Roman" w:hAnsi="Times New Roman"/>
        </w:rPr>
        <w:t xml:space="preserve">  </w:t>
      </w:r>
      <w:r w:rsidRPr="00E60F16">
        <w:rPr>
          <w:rFonts w:ascii="Times New Roman" w:hAnsi="Times New Roman"/>
        </w:rPr>
        <w:t>BLS reported that for civilian workers, fringe benefits accounted for 31.2 percent of total compensation and wages accounted for the remaining 68.8 percent.</w:t>
      </w:r>
      <w:r w:rsidRPr="00E60F16" w:rsidR="005030D4">
        <w:rPr>
          <w:rFonts w:ascii="Times New Roman" w:hAnsi="Times New Roman"/>
        </w:rPr>
        <w:t xml:space="preserve">  </w:t>
      </w:r>
      <w:r w:rsidRPr="00E60F16">
        <w:rPr>
          <w:rFonts w:ascii="Times New Roman" w:hAnsi="Times New Roman"/>
        </w:rPr>
        <w:t>In addition, Table 3 of the same news release indicates that for state and local government workers, fringe benefits accounted for 38.1 percent of total compensation and wages accounted for the remaining 61.9 percent (</w:t>
      </w:r>
      <w:hyperlink r:id="rId18" w:history="1">
        <w:r w:rsidRPr="00E60F16">
          <w:rPr>
            <w:rStyle w:val="Hyperlink"/>
            <w:rFonts w:ascii="Times New Roman" w:hAnsi="Times New Roman"/>
          </w:rPr>
          <w:t>Table 3. State and local government workers by occupational and industry group - 2024 Q01 Results (bls.gov)</w:t>
        </w:r>
      </w:hyperlink>
      <w:r w:rsidRPr="00E60F16">
        <w:rPr>
          <w:rFonts w:ascii="Times New Roman" w:hAnsi="Times New Roman"/>
        </w:rPr>
        <w:t xml:space="preserve">). </w:t>
      </w:r>
      <w:r w:rsidRPr="00E60F16" w:rsidR="00870906">
        <w:rPr>
          <w:rFonts w:ascii="Times New Roman" w:hAnsi="Times New Roman"/>
        </w:rPr>
        <w:t xml:space="preserve"> </w:t>
      </w:r>
      <w:r w:rsidRPr="00E60F16">
        <w:rPr>
          <w:rFonts w:ascii="Times New Roman" w:hAnsi="Times New Roman"/>
        </w:rPr>
        <w:t xml:space="preserve">To calculate the loaded hourly wage </w:t>
      </w:r>
      <w:r w:rsidRPr="00E60F16">
        <w:rPr>
          <w:rFonts w:ascii="Times New Roman" w:hAnsi="Times New Roman"/>
        </w:rPr>
        <w:t xml:space="preserve">for each occupation, the agency divided the mean hourly wage rate by 1 minus the fringe benefits. </w:t>
      </w:r>
    </w:p>
    <w:p w:rsidR="00C474C8" w:rsidRPr="00E60F16" w:rsidP="00C474C8" w14:paraId="4FB2A4D5" w14:textId="77777777">
      <w:pPr>
        <w:widowControl/>
        <w:ind w:left="7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56"/>
      </w:tblGrid>
      <w:tr w14:paraId="56EF356F" w14:textId="77777777" w:rsidTr="005F39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8246" w:type="dxa"/>
            <w:tcBorders>
              <w:top w:val="nil"/>
              <w:left w:val="nil"/>
              <w:bottom w:val="single" w:sz="4" w:space="0" w:color="auto"/>
              <w:right w:val="nil"/>
            </w:tcBorders>
          </w:tcPr>
          <w:p w:rsidR="006E3115" w:rsidRPr="00E60F16" w:rsidP="006E3115" w14:paraId="136A67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2"/>
              <w:gridCol w:w="1414"/>
              <w:gridCol w:w="1536"/>
              <w:gridCol w:w="1176"/>
              <w:gridCol w:w="1682"/>
            </w:tblGrid>
            <w:tr w14:paraId="3CB0B54A" w14:textId="77777777" w:rsidTr="00E74030">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30" w:type="dxa"/>
                  <w:gridSpan w:val="5"/>
                  <w:shd w:val="clear" w:color="auto" w:fill="auto"/>
                </w:tcPr>
                <w:p w:rsidR="006E3115" w:rsidRPr="00E60F16" w:rsidP="00C7580B" w14:paraId="7409F2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rPr>
                  </w:pPr>
                  <w:r w:rsidRPr="00E60F16">
                    <w:rPr>
                      <w:rFonts w:ascii="Times New Roman" w:hAnsi="Times New Roman"/>
                      <w:b/>
                      <w:bCs/>
                    </w:rPr>
                    <w:t>WAGE HOUR ESTIMATES</w:t>
                  </w:r>
                </w:p>
              </w:tc>
            </w:tr>
            <w:tr w14:paraId="30E8FDE4" w14:textId="77777777" w:rsidTr="00E74030">
              <w:tblPrEx>
                <w:tblW w:w="9030" w:type="dxa"/>
                <w:tblLook w:val="04A0"/>
              </w:tblPrEx>
              <w:tc>
                <w:tcPr>
                  <w:tcW w:w="3222" w:type="dxa"/>
                  <w:shd w:val="clear" w:color="auto" w:fill="auto"/>
                </w:tcPr>
                <w:p w:rsidR="006E3115" w:rsidRPr="00E60F16" w:rsidP="006E3115" w14:paraId="62279F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Occupational Title</w:t>
                  </w:r>
                </w:p>
              </w:tc>
              <w:tc>
                <w:tcPr>
                  <w:tcW w:w="1414" w:type="dxa"/>
                  <w:shd w:val="clear" w:color="auto" w:fill="auto"/>
                </w:tcPr>
                <w:p w:rsidR="006E3115" w:rsidRPr="00E60F16" w:rsidP="006E3115" w14:paraId="252DB6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Standard Occupation Code</w:t>
                  </w:r>
                  <w:r w:rsidR="007500BA">
                    <w:rPr>
                      <w:rFonts w:ascii="Times New Roman" w:hAnsi="Times New Roman"/>
                      <w:b/>
                      <w:bCs/>
                    </w:rPr>
                    <w:t xml:space="preserve"> (SOC)</w:t>
                  </w:r>
                </w:p>
              </w:tc>
              <w:tc>
                <w:tcPr>
                  <w:tcW w:w="1536" w:type="dxa"/>
                  <w:shd w:val="clear" w:color="auto" w:fill="auto"/>
                </w:tcPr>
                <w:p w:rsidR="006E3115" w:rsidRPr="00E60F16" w:rsidP="006E3115" w14:paraId="65C53A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Mean Hour Wage Rate</w:t>
                  </w:r>
                </w:p>
                <w:p w:rsidR="006E3115" w:rsidRPr="00E60F16" w:rsidP="006E3115" w14:paraId="5A54AB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(A)</w:t>
                  </w:r>
                </w:p>
                <w:p w:rsidR="006E3115" w:rsidRPr="00E60F16" w:rsidP="006E3115" w14:paraId="7D559B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c>
                <w:tcPr>
                  <w:tcW w:w="1176" w:type="dxa"/>
                  <w:shd w:val="clear" w:color="auto" w:fill="auto"/>
                </w:tcPr>
                <w:p w:rsidR="006E3115" w:rsidRPr="00E60F16" w:rsidP="006E3115" w14:paraId="584B25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Fringe Benefits (B)</w:t>
                  </w:r>
                </w:p>
              </w:tc>
              <w:tc>
                <w:tcPr>
                  <w:tcW w:w="1682" w:type="dxa"/>
                  <w:shd w:val="clear" w:color="auto" w:fill="auto"/>
                </w:tcPr>
                <w:p w:rsidR="006E3115" w:rsidRPr="00E60F16" w:rsidP="006E3115" w14:paraId="55EC0E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 xml:space="preserve">Loaded Hourly Wage Rate </w:t>
                  </w:r>
                </w:p>
                <w:p w:rsidR="006E3115" w:rsidRPr="00E60F16" w:rsidP="006E3115" w14:paraId="5BF714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(C) = (A)/((1-(B))</w:t>
                  </w:r>
                </w:p>
              </w:tc>
            </w:tr>
            <w:tr w14:paraId="32E44700" w14:textId="77777777" w:rsidTr="00E74030">
              <w:tblPrEx>
                <w:tblW w:w="9030" w:type="dxa"/>
                <w:tblLook w:val="04A0"/>
              </w:tblPrEx>
              <w:tc>
                <w:tcPr>
                  <w:tcW w:w="3222" w:type="dxa"/>
                  <w:shd w:val="clear" w:color="auto" w:fill="auto"/>
                </w:tcPr>
                <w:p w:rsidR="006E3115" w:rsidRPr="00E60F16" w:rsidP="006E3115" w14:paraId="7560DA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Administrative Services Manager (Consultation Program Manager)</w:t>
                  </w:r>
                </w:p>
              </w:tc>
              <w:tc>
                <w:tcPr>
                  <w:tcW w:w="1414" w:type="dxa"/>
                  <w:shd w:val="clear" w:color="auto" w:fill="auto"/>
                </w:tcPr>
                <w:p w:rsidR="006E3115" w:rsidRPr="00E60F16" w:rsidP="006E3115" w14:paraId="1FB90B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11-301</w:t>
                  </w:r>
                  <w:r w:rsidRPr="00E60F16" w:rsidR="00450B6C">
                    <w:rPr>
                      <w:rFonts w:ascii="Times New Roman" w:hAnsi="Times New Roman"/>
                      <w:bCs/>
                    </w:rPr>
                    <w:t>0</w:t>
                  </w:r>
                </w:p>
              </w:tc>
              <w:tc>
                <w:tcPr>
                  <w:tcW w:w="1536" w:type="dxa"/>
                  <w:shd w:val="clear" w:color="auto" w:fill="auto"/>
                </w:tcPr>
                <w:p w:rsidR="006E3115" w:rsidRPr="00E60F16" w:rsidP="00450B6C" w14:paraId="18F194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w:t>
                  </w:r>
                  <w:r w:rsidRPr="00E60F16" w:rsidR="00450B6C">
                    <w:rPr>
                      <w:rFonts w:ascii="Times New Roman" w:hAnsi="Times New Roman"/>
                      <w:bCs/>
                    </w:rPr>
                    <w:t>5</w:t>
                  </w:r>
                  <w:r w:rsidRPr="00E60F16" w:rsidR="007F0DFF">
                    <w:rPr>
                      <w:rFonts w:ascii="Times New Roman" w:hAnsi="Times New Roman"/>
                      <w:bCs/>
                    </w:rPr>
                    <w:t>6</w:t>
                  </w:r>
                  <w:r w:rsidRPr="00E60F16" w:rsidR="00450B6C">
                    <w:rPr>
                      <w:rFonts w:ascii="Times New Roman" w:hAnsi="Times New Roman"/>
                      <w:bCs/>
                    </w:rPr>
                    <w:t>.</w:t>
                  </w:r>
                  <w:r w:rsidRPr="00E60F16" w:rsidR="007F0DFF">
                    <w:rPr>
                      <w:rFonts w:ascii="Times New Roman" w:hAnsi="Times New Roman"/>
                      <w:bCs/>
                    </w:rPr>
                    <w:t>56</w:t>
                  </w:r>
                </w:p>
              </w:tc>
              <w:tc>
                <w:tcPr>
                  <w:tcW w:w="1176" w:type="dxa"/>
                  <w:shd w:val="clear" w:color="auto" w:fill="auto"/>
                </w:tcPr>
                <w:p w:rsidR="006E3115" w:rsidRPr="00E60F16" w:rsidP="006E3115" w14:paraId="06E0B4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0.381</w:t>
                  </w:r>
                </w:p>
              </w:tc>
              <w:tc>
                <w:tcPr>
                  <w:tcW w:w="1682" w:type="dxa"/>
                  <w:shd w:val="clear" w:color="auto" w:fill="auto"/>
                </w:tcPr>
                <w:p w:rsidR="006E3115" w:rsidRPr="00E60F16" w:rsidP="007A3556" w14:paraId="758964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$91.37</w:t>
                  </w:r>
                </w:p>
              </w:tc>
            </w:tr>
            <w:tr w14:paraId="1968E00E" w14:textId="77777777" w:rsidTr="00E74030">
              <w:tblPrEx>
                <w:tblW w:w="9030" w:type="dxa"/>
                <w:tblLook w:val="04A0"/>
              </w:tblPrEx>
              <w:tc>
                <w:tcPr>
                  <w:tcW w:w="3222" w:type="dxa"/>
                  <w:shd w:val="clear" w:color="auto" w:fill="auto"/>
                </w:tcPr>
                <w:p w:rsidR="006E3115" w:rsidRPr="00E60F16" w:rsidP="006E3115" w14:paraId="7A849E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Occupational Health and Safety Specialist (Consultant)</w:t>
                  </w:r>
                </w:p>
              </w:tc>
              <w:tc>
                <w:tcPr>
                  <w:tcW w:w="1414" w:type="dxa"/>
                  <w:shd w:val="clear" w:color="auto" w:fill="auto"/>
                </w:tcPr>
                <w:p w:rsidR="006E3115" w:rsidRPr="00E60F16" w:rsidP="006E3115" w14:paraId="4CC328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19-5011</w:t>
                  </w:r>
                </w:p>
              </w:tc>
              <w:tc>
                <w:tcPr>
                  <w:tcW w:w="1536" w:type="dxa"/>
                  <w:shd w:val="clear" w:color="auto" w:fill="auto"/>
                </w:tcPr>
                <w:p w:rsidR="006E3115" w:rsidRPr="00E60F16" w:rsidP="006E3115" w14:paraId="75FAF6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$41.14</w:t>
                  </w:r>
                </w:p>
              </w:tc>
              <w:tc>
                <w:tcPr>
                  <w:tcW w:w="1176" w:type="dxa"/>
                  <w:shd w:val="clear" w:color="auto" w:fill="auto"/>
                </w:tcPr>
                <w:p w:rsidR="006E3115" w:rsidRPr="00E60F16" w:rsidP="006E3115" w14:paraId="37BCDA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0.381</w:t>
                  </w:r>
                </w:p>
              </w:tc>
              <w:tc>
                <w:tcPr>
                  <w:tcW w:w="1682" w:type="dxa"/>
                  <w:shd w:val="clear" w:color="auto" w:fill="auto"/>
                </w:tcPr>
                <w:p w:rsidR="006E3115" w:rsidRPr="00E60F16" w:rsidP="007A3556" w14:paraId="63178C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$66.46</w:t>
                  </w:r>
                </w:p>
              </w:tc>
            </w:tr>
            <w:tr w14:paraId="6F366F92" w14:textId="77777777" w:rsidTr="00E74030">
              <w:tblPrEx>
                <w:tblW w:w="9030" w:type="dxa"/>
                <w:tblLook w:val="04A0"/>
              </w:tblPrEx>
              <w:tc>
                <w:tcPr>
                  <w:tcW w:w="3222" w:type="dxa"/>
                  <w:shd w:val="clear" w:color="auto" w:fill="auto"/>
                </w:tcPr>
                <w:p w:rsidR="006E3115" w:rsidRPr="00E60F16" w:rsidP="006E3115" w14:paraId="676846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Secretaries, Except Legal, Medical, and Executive (Clerical/Secretary)</w:t>
                  </w:r>
                </w:p>
              </w:tc>
              <w:tc>
                <w:tcPr>
                  <w:tcW w:w="1414" w:type="dxa"/>
                  <w:shd w:val="clear" w:color="auto" w:fill="auto"/>
                </w:tcPr>
                <w:p w:rsidR="006E3115" w:rsidRPr="00E60F16" w:rsidP="006E3115" w14:paraId="267074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43-6014</w:t>
                  </w:r>
                </w:p>
              </w:tc>
              <w:tc>
                <w:tcPr>
                  <w:tcW w:w="1536" w:type="dxa"/>
                  <w:shd w:val="clear" w:color="auto" w:fill="auto"/>
                </w:tcPr>
                <w:p w:rsidR="006E3115" w:rsidRPr="00E60F16" w:rsidP="006E3115" w14:paraId="433A9F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$21.87</w:t>
                  </w:r>
                </w:p>
              </w:tc>
              <w:tc>
                <w:tcPr>
                  <w:tcW w:w="1176" w:type="dxa"/>
                  <w:shd w:val="clear" w:color="auto" w:fill="auto"/>
                </w:tcPr>
                <w:p w:rsidR="006E3115" w:rsidRPr="00E60F16" w:rsidP="006E3115" w14:paraId="3B0C41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0.312</w:t>
                  </w:r>
                </w:p>
              </w:tc>
              <w:tc>
                <w:tcPr>
                  <w:tcW w:w="1682" w:type="dxa"/>
                  <w:shd w:val="clear" w:color="auto" w:fill="auto"/>
                </w:tcPr>
                <w:p w:rsidR="006E3115" w:rsidRPr="00E60F16" w:rsidP="007A3556" w14:paraId="603513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$31.79</w:t>
                  </w:r>
                </w:p>
              </w:tc>
            </w:tr>
            <w:tr w14:paraId="60494C5B" w14:textId="77777777" w:rsidTr="00E74030">
              <w:tblPrEx>
                <w:tblW w:w="9030" w:type="dxa"/>
                <w:tblLook w:val="04A0"/>
              </w:tblPrEx>
              <w:tc>
                <w:tcPr>
                  <w:tcW w:w="3222" w:type="dxa"/>
                  <w:shd w:val="clear" w:color="auto" w:fill="auto"/>
                </w:tcPr>
                <w:p w:rsidR="006E3115" w:rsidRPr="00E60F16" w:rsidP="006E3115" w14:paraId="166318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General and Operations Managers (Employers)</w:t>
                  </w:r>
                </w:p>
              </w:tc>
              <w:tc>
                <w:tcPr>
                  <w:tcW w:w="1414" w:type="dxa"/>
                  <w:shd w:val="clear" w:color="auto" w:fill="auto"/>
                </w:tcPr>
                <w:p w:rsidR="006E3115" w:rsidRPr="00E60F16" w:rsidP="006E3115" w14:paraId="72AAB0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11-1021</w:t>
                  </w:r>
                </w:p>
              </w:tc>
              <w:tc>
                <w:tcPr>
                  <w:tcW w:w="1536" w:type="dxa"/>
                  <w:shd w:val="clear" w:color="auto" w:fill="auto"/>
                </w:tcPr>
                <w:p w:rsidR="006E3115" w:rsidRPr="00E60F16" w:rsidP="006E3115" w14:paraId="193D58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$62.18</w:t>
                  </w:r>
                </w:p>
              </w:tc>
              <w:tc>
                <w:tcPr>
                  <w:tcW w:w="1176" w:type="dxa"/>
                  <w:shd w:val="clear" w:color="auto" w:fill="auto"/>
                </w:tcPr>
                <w:p w:rsidR="006E3115" w:rsidRPr="00E60F16" w:rsidP="006E3115" w14:paraId="61698F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0.312</w:t>
                  </w:r>
                </w:p>
              </w:tc>
              <w:tc>
                <w:tcPr>
                  <w:tcW w:w="1682" w:type="dxa"/>
                  <w:shd w:val="clear" w:color="auto" w:fill="auto"/>
                </w:tcPr>
                <w:p w:rsidR="006E3115" w:rsidRPr="00E60F16" w:rsidP="007A3556" w14:paraId="29B001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$90.38</w:t>
                  </w:r>
                </w:p>
              </w:tc>
            </w:tr>
          </w:tbl>
          <w:p w:rsidR="006E3115" w:rsidRPr="00E60F16" w:rsidP="006E3115" w14:paraId="77032C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E3115" w:rsidRPr="00E60F16" w:rsidP="006E3115" w14:paraId="4FC1BF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tc>
      </w:tr>
    </w:tbl>
    <w:p w:rsidR="006E3115" w:rsidRPr="00E60F16" w:rsidP="006E3115" w14:paraId="31E1CC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174C14" w:rsidRPr="00E60F16" w:rsidP="00693D26" w14:paraId="3E5ECC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There are two groups of respondents that will </w:t>
      </w:r>
      <w:r w:rsidRPr="00E60F16" w:rsidR="008F153E">
        <w:rPr>
          <w:rFonts w:ascii="Times New Roman" w:hAnsi="Times New Roman"/>
          <w:bCs/>
        </w:rPr>
        <w:t>participate in the studies</w:t>
      </w:r>
      <w:r w:rsidRPr="00E60F16">
        <w:rPr>
          <w:rFonts w:ascii="Times New Roman" w:hAnsi="Times New Roman"/>
          <w:bCs/>
        </w:rPr>
        <w:t xml:space="preserve">: i.) </w:t>
      </w:r>
      <w:r w:rsidRPr="00E60F16" w:rsidR="00E143A8">
        <w:rPr>
          <w:rFonts w:ascii="Times New Roman" w:hAnsi="Times New Roman"/>
          <w:bCs/>
        </w:rPr>
        <w:t>s</w:t>
      </w:r>
      <w:r w:rsidRPr="00E60F16" w:rsidR="0015627A">
        <w:rPr>
          <w:rFonts w:ascii="Times New Roman" w:hAnsi="Times New Roman"/>
          <w:bCs/>
        </w:rPr>
        <w:t>tate On-Site Consultation program</w:t>
      </w:r>
      <w:r w:rsidRPr="00E60F16">
        <w:rPr>
          <w:rFonts w:ascii="Times New Roman" w:hAnsi="Times New Roman"/>
          <w:bCs/>
        </w:rPr>
        <w:t xml:space="preserve">s, and ii.) employers </w:t>
      </w:r>
      <w:r w:rsidRPr="00E60F16" w:rsidR="00375490">
        <w:rPr>
          <w:rFonts w:ascii="Times New Roman" w:hAnsi="Times New Roman"/>
          <w:bCs/>
        </w:rPr>
        <w:t>that voluntarily request and receive</w:t>
      </w:r>
      <w:r w:rsidRPr="00E60F16">
        <w:rPr>
          <w:rFonts w:ascii="Times New Roman" w:hAnsi="Times New Roman"/>
          <w:bCs/>
        </w:rPr>
        <w:t xml:space="preserve"> On-Site Consultation services.  </w:t>
      </w:r>
    </w:p>
    <w:p w:rsidR="00E00507" w:rsidRPr="00E60F16" w:rsidP="00693D26" w14:paraId="55CC65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E00507" w:rsidRPr="00E60F16" w:rsidP="00E00507" w14:paraId="1D4F15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For the remaining activities to complete the Pilot Study, the Agency estimates the total burden hours for both groups of respondents for </w:t>
      </w:r>
      <w:r w:rsidRPr="00E60F16" w:rsidR="00D17B33">
        <w:rPr>
          <w:rFonts w:ascii="Times New Roman" w:hAnsi="Times New Roman"/>
          <w:bCs/>
        </w:rPr>
        <w:t xml:space="preserve">the remaining </w:t>
      </w:r>
      <w:r w:rsidRPr="00E60F16">
        <w:rPr>
          <w:rFonts w:ascii="Times New Roman" w:hAnsi="Times New Roman"/>
          <w:bCs/>
        </w:rPr>
        <w:t xml:space="preserve">studies/analyses for which OMB approval is requested to be </w:t>
      </w:r>
      <w:r w:rsidRPr="00E60F16" w:rsidR="00D17B33">
        <w:rPr>
          <w:rFonts w:ascii="Times New Roman" w:hAnsi="Times New Roman"/>
          <w:b/>
          <w:bCs/>
        </w:rPr>
        <w:t>887.</w:t>
      </w:r>
      <w:r w:rsidRPr="00E60F16" w:rsidR="00313E1B">
        <w:rPr>
          <w:rFonts w:ascii="Times New Roman" w:hAnsi="Times New Roman"/>
          <w:b/>
          <w:bCs/>
        </w:rPr>
        <w:t>3</w:t>
      </w:r>
      <w:r w:rsidRPr="00E60F16">
        <w:rPr>
          <w:rFonts w:ascii="Times New Roman" w:hAnsi="Times New Roman"/>
          <w:b/>
          <w:bCs/>
        </w:rPr>
        <w:t xml:space="preserve"> </w:t>
      </w:r>
      <w:r w:rsidRPr="00E60F16">
        <w:rPr>
          <w:rFonts w:ascii="Times New Roman" w:hAnsi="Times New Roman"/>
          <w:bCs/>
        </w:rPr>
        <w:t xml:space="preserve">hours; </w:t>
      </w:r>
      <w:r w:rsidRPr="00E60F16" w:rsidR="00D17B33">
        <w:rPr>
          <w:rFonts w:ascii="Times New Roman" w:hAnsi="Times New Roman"/>
          <w:b/>
          <w:bCs/>
        </w:rPr>
        <w:t>799.</w:t>
      </w:r>
      <w:r w:rsidRPr="00E60F16" w:rsidR="00620337">
        <w:rPr>
          <w:rFonts w:ascii="Times New Roman" w:hAnsi="Times New Roman"/>
          <w:b/>
          <w:bCs/>
        </w:rPr>
        <w:t>5</w:t>
      </w:r>
      <w:r w:rsidRPr="00E60F16">
        <w:rPr>
          <w:rFonts w:ascii="Times New Roman" w:hAnsi="Times New Roman"/>
          <w:b/>
          <w:bCs/>
        </w:rPr>
        <w:t xml:space="preserve"> </w:t>
      </w:r>
      <w:r w:rsidRPr="00E60F16">
        <w:rPr>
          <w:rFonts w:ascii="Times New Roman" w:hAnsi="Times New Roman"/>
          <w:bCs/>
        </w:rPr>
        <w:t>hours for state On-Site Consultation programs (see Table 1a</w:t>
      </w:r>
      <w:r w:rsidRPr="00E60F16" w:rsidR="00D17B33">
        <w:rPr>
          <w:rFonts w:ascii="Times New Roman" w:hAnsi="Times New Roman"/>
          <w:bCs/>
        </w:rPr>
        <w:t xml:space="preserve">, </w:t>
      </w:r>
      <w:r w:rsidRPr="00E60F16">
        <w:rPr>
          <w:rFonts w:ascii="Times New Roman" w:hAnsi="Times New Roman"/>
          <w:bCs/>
        </w:rPr>
        <w:t>Estimated Respondent (State Consultation programs) Hour and Cost Burden for Pilot Study; and Table 1b</w:t>
      </w:r>
      <w:r w:rsidRPr="00E60F16" w:rsidR="00D17B33">
        <w:rPr>
          <w:rFonts w:ascii="Times New Roman" w:hAnsi="Times New Roman"/>
          <w:bCs/>
        </w:rPr>
        <w:t xml:space="preserve">, </w:t>
      </w:r>
      <w:r w:rsidRPr="00E60F16">
        <w:rPr>
          <w:rFonts w:ascii="Times New Roman" w:hAnsi="Times New Roman"/>
          <w:bCs/>
        </w:rPr>
        <w:t xml:space="preserve">Estimated Respondent (State Consultation programs) Hour and Cost Burden for the Prospective Analysis); and </w:t>
      </w:r>
      <w:r w:rsidRPr="00E60F16" w:rsidR="00D17B33">
        <w:rPr>
          <w:rFonts w:ascii="Times New Roman" w:hAnsi="Times New Roman"/>
          <w:b/>
          <w:bCs/>
        </w:rPr>
        <w:t xml:space="preserve">87.8 </w:t>
      </w:r>
      <w:r w:rsidRPr="00E60F16">
        <w:rPr>
          <w:rFonts w:ascii="Times New Roman" w:hAnsi="Times New Roman"/>
          <w:bCs/>
        </w:rPr>
        <w:t xml:space="preserve">hours for </w:t>
      </w:r>
      <w:r w:rsidRPr="00E60F16">
        <w:rPr>
          <w:rFonts w:ascii="Times New Roman" w:hAnsi="Times New Roman"/>
          <w:bCs/>
          <w:iCs/>
        </w:rPr>
        <w:t>employers (see Table 2,</w:t>
      </w:r>
      <w:r w:rsidRPr="00E60F16">
        <w:rPr>
          <w:rFonts w:ascii="Times New Roman" w:hAnsi="Times New Roman"/>
          <w:bCs/>
          <w:i/>
          <w:iCs/>
        </w:rPr>
        <w:t xml:space="preserve"> </w:t>
      </w:r>
      <w:r w:rsidRPr="00E60F16">
        <w:rPr>
          <w:rFonts w:ascii="Times New Roman" w:hAnsi="Times New Roman"/>
          <w:bCs/>
          <w:iCs/>
        </w:rPr>
        <w:t>Summary of Estimated Annualized Respondent (Employer) Hour and Cost Burden).</w:t>
      </w:r>
    </w:p>
    <w:p w:rsidR="00E00507" w:rsidRPr="00E60F16" w:rsidP="00693D26" w14:paraId="7E030E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174C14" w:rsidRPr="00E60F16" w:rsidP="00693D26" w14:paraId="564CEF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4A5FE0" w:rsidRPr="00E60F16" w:rsidP="00182367" w14:paraId="608400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In </w:t>
      </w:r>
      <w:r w:rsidRPr="00E60F16" w:rsidR="008E78B2">
        <w:rPr>
          <w:rFonts w:ascii="Times New Roman" w:hAnsi="Times New Roman"/>
          <w:bCs/>
        </w:rPr>
        <w:t xml:space="preserve">the previously approved </w:t>
      </w:r>
      <w:r w:rsidRPr="00E60F16" w:rsidR="00AF4CEA">
        <w:rPr>
          <w:rFonts w:ascii="Times New Roman" w:hAnsi="Times New Roman"/>
          <w:bCs/>
        </w:rPr>
        <w:t xml:space="preserve">ICR, </w:t>
      </w:r>
      <w:r w:rsidRPr="00E60F16" w:rsidR="008E78B2">
        <w:rPr>
          <w:rFonts w:ascii="Times New Roman" w:hAnsi="Times New Roman"/>
          <w:bCs/>
        </w:rPr>
        <w:t>OMB</w:t>
      </w:r>
      <w:r w:rsidRPr="00E60F16" w:rsidR="00AF4CEA">
        <w:rPr>
          <w:rFonts w:ascii="Times New Roman" w:hAnsi="Times New Roman"/>
          <w:bCs/>
        </w:rPr>
        <w:t>#</w:t>
      </w:r>
      <w:r w:rsidRPr="00E60F16" w:rsidR="008E78B2">
        <w:rPr>
          <w:rFonts w:ascii="Times New Roman" w:hAnsi="Times New Roman"/>
          <w:bCs/>
        </w:rPr>
        <w:t xml:space="preserve"> 1218-0280 (approved in June 2022), t</w:t>
      </w:r>
      <w:r w:rsidRPr="00E60F16" w:rsidR="00174C14">
        <w:rPr>
          <w:rFonts w:ascii="Times New Roman" w:hAnsi="Times New Roman"/>
          <w:bCs/>
        </w:rPr>
        <w:t>he Agency estimate</w:t>
      </w:r>
      <w:r w:rsidRPr="00E60F16" w:rsidR="00D17B33">
        <w:rPr>
          <w:rFonts w:ascii="Times New Roman" w:hAnsi="Times New Roman"/>
          <w:bCs/>
        </w:rPr>
        <w:t>d</w:t>
      </w:r>
      <w:r w:rsidRPr="00E60F16" w:rsidR="00174C14">
        <w:rPr>
          <w:rFonts w:ascii="Times New Roman" w:hAnsi="Times New Roman"/>
          <w:bCs/>
        </w:rPr>
        <w:t xml:space="preserve"> the total burden hours for both groups of respondents for all studies/analyses </w:t>
      </w:r>
      <w:r w:rsidRPr="00E60F16" w:rsidR="00D17B33">
        <w:rPr>
          <w:rFonts w:ascii="Times New Roman" w:hAnsi="Times New Roman"/>
          <w:bCs/>
        </w:rPr>
        <w:t xml:space="preserve">to complete the entire Pilot Study </w:t>
      </w:r>
      <w:r w:rsidRPr="00E60F16" w:rsidR="00174C14">
        <w:rPr>
          <w:rFonts w:ascii="Times New Roman" w:hAnsi="Times New Roman"/>
          <w:bCs/>
        </w:rPr>
        <w:t xml:space="preserve">to be </w:t>
      </w:r>
      <w:r w:rsidRPr="00E60F16" w:rsidR="00FC5591">
        <w:rPr>
          <w:rFonts w:ascii="Times New Roman" w:hAnsi="Times New Roman"/>
          <w:b/>
          <w:bCs/>
        </w:rPr>
        <w:t>4,</w:t>
      </w:r>
      <w:r w:rsidRPr="00E60F16" w:rsidR="00D239C9">
        <w:rPr>
          <w:rFonts w:ascii="Times New Roman" w:hAnsi="Times New Roman"/>
          <w:b/>
          <w:bCs/>
        </w:rPr>
        <w:t>974</w:t>
      </w:r>
      <w:r w:rsidRPr="00E60F16" w:rsidR="00174C14">
        <w:rPr>
          <w:rFonts w:ascii="Times New Roman" w:hAnsi="Times New Roman"/>
          <w:b/>
          <w:bCs/>
        </w:rPr>
        <w:t xml:space="preserve"> </w:t>
      </w:r>
      <w:r w:rsidRPr="00E60F16" w:rsidR="00174C14">
        <w:rPr>
          <w:rFonts w:ascii="Times New Roman" w:hAnsi="Times New Roman"/>
          <w:bCs/>
        </w:rPr>
        <w:t xml:space="preserve">hours; </w:t>
      </w:r>
      <w:r w:rsidRPr="00E60F16" w:rsidR="00FC5591">
        <w:rPr>
          <w:rFonts w:ascii="Times New Roman" w:hAnsi="Times New Roman"/>
          <w:b/>
          <w:bCs/>
        </w:rPr>
        <w:t xml:space="preserve">4,810 </w:t>
      </w:r>
      <w:r w:rsidRPr="00E60F16" w:rsidR="00174C14">
        <w:rPr>
          <w:rFonts w:ascii="Times New Roman" w:hAnsi="Times New Roman"/>
          <w:bCs/>
        </w:rPr>
        <w:t xml:space="preserve">hours </w:t>
      </w:r>
      <w:r w:rsidRPr="00E60F16" w:rsidR="00375490">
        <w:rPr>
          <w:rFonts w:ascii="Times New Roman" w:hAnsi="Times New Roman"/>
          <w:bCs/>
        </w:rPr>
        <w:t xml:space="preserve">for </w:t>
      </w:r>
      <w:r w:rsidRPr="00E60F16" w:rsidR="00182367">
        <w:rPr>
          <w:rFonts w:ascii="Times New Roman" w:hAnsi="Times New Roman"/>
          <w:bCs/>
        </w:rPr>
        <w:t>s</w:t>
      </w:r>
      <w:r w:rsidRPr="00E60F16" w:rsidR="0015627A">
        <w:rPr>
          <w:rFonts w:ascii="Times New Roman" w:hAnsi="Times New Roman"/>
          <w:bCs/>
        </w:rPr>
        <w:t>tate On-Site Consultation program</w:t>
      </w:r>
      <w:r w:rsidRPr="00E60F16" w:rsidR="00174C14">
        <w:rPr>
          <w:rFonts w:ascii="Times New Roman" w:hAnsi="Times New Roman"/>
          <w:bCs/>
        </w:rPr>
        <w:t>s (</w:t>
      </w:r>
      <w:r w:rsidRPr="00E60F16" w:rsidR="00182367">
        <w:rPr>
          <w:rFonts w:ascii="Times New Roman" w:hAnsi="Times New Roman"/>
          <w:bCs/>
        </w:rPr>
        <w:t xml:space="preserve">see </w:t>
      </w:r>
      <w:r w:rsidRPr="00E60F16">
        <w:rPr>
          <w:rFonts w:ascii="Times New Roman" w:hAnsi="Times New Roman"/>
          <w:bCs/>
        </w:rPr>
        <w:t xml:space="preserve">Appendix A, </w:t>
      </w:r>
      <w:r w:rsidRPr="00E60F16" w:rsidR="00182367">
        <w:rPr>
          <w:rFonts w:ascii="Times New Roman" w:hAnsi="Times New Roman"/>
          <w:bCs/>
        </w:rPr>
        <w:t xml:space="preserve">Estimated Respondent (State Consultation programs) Hour and Cost Burden for Pilot Study; and </w:t>
      </w:r>
      <w:r w:rsidRPr="00E60F16">
        <w:rPr>
          <w:rFonts w:ascii="Times New Roman" w:hAnsi="Times New Roman"/>
          <w:bCs/>
        </w:rPr>
        <w:t>Appendix B,</w:t>
      </w:r>
      <w:r w:rsidRPr="00E60F16" w:rsidR="00182367">
        <w:rPr>
          <w:rFonts w:ascii="Times New Roman" w:hAnsi="Times New Roman"/>
          <w:bCs/>
        </w:rPr>
        <w:t xml:space="preserve"> Estimated Respondent (State Consultation programs) Hour and Cost Burden for the Prospective Analysis);</w:t>
      </w:r>
      <w:r w:rsidRPr="00E60F16" w:rsidR="00174C14">
        <w:rPr>
          <w:rFonts w:ascii="Times New Roman" w:hAnsi="Times New Roman"/>
          <w:bCs/>
        </w:rPr>
        <w:t xml:space="preserve"> and </w:t>
      </w:r>
      <w:r w:rsidRPr="00E60F16" w:rsidR="00D239C9">
        <w:rPr>
          <w:rFonts w:ascii="Times New Roman" w:hAnsi="Times New Roman"/>
          <w:b/>
          <w:bCs/>
        </w:rPr>
        <w:t>164</w:t>
      </w:r>
      <w:r w:rsidRPr="00E60F16" w:rsidR="00174C14">
        <w:rPr>
          <w:rFonts w:ascii="Times New Roman" w:hAnsi="Times New Roman"/>
          <w:b/>
          <w:bCs/>
        </w:rPr>
        <w:t xml:space="preserve"> </w:t>
      </w:r>
      <w:r w:rsidRPr="00E60F16" w:rsidR="00174C14">
        <w:rPr>
          <w:rFonts w:ascii="Times New Roman" w:hAnsi="Times New Roman"/>
          <w:bCs/>
        </w:rPr>
        <w:t xml:space="preserve">hours for </w:t>
      </w:r>
      <w:r w:rsidRPr="00E60F16" w:rsidR="00174C14">
        <w:rPr>
          <w:rFonts w:ascii="Times New Roman" w:hAnsi="Times New Roman"/>
          <w:bCs/>
          <w:iCs/>
        </w:rPr>
        <w:t xml:space="preserve">employers (see </w:t>
      </w:r>
      <w:r w:rsidRPr="00E60F16">
        <w:rPr>
          <w:rFonts w:ascii="Times New Roman" w:hAnsi="Times New Roman"/>
          <w:bCs/>
          <w:iCs/>
        </w:rPr>
        <w:t>Appendix C</w:t>
      </w:r>
      <w:r w:rsidRPr="00E60F16" w:rsidR="00174C14">
        <w:rPr>
          <w:rFonts w:ascii="Times New Roman" w:hAnsi="Times New Roman"/>
          <w:bCs/>
          <w:iCs/>
        </w:rPr>
        <w:t>,</w:t>
      </w:r>
      <w:r w:rsidRPr="00E60F16" w:rsidR="00174C14">
        <w:rPr>
          <w:rFonts w:ascii="Times New Roman" w:hAnsi="Times New Roman"/>
          <w:bCs/>
          <w:i/>
          <w:iCs/>
        </w:rPr>
        <w:t xml:space="preserve"> </w:t>
      </w:r>
      <w:r w:rsidRPr="00E60F16" w:rsidR="00174C14">
        <w:rPr>
          <w:rFonts w:ascii="Times New Roman" w:hAnsi="Times New Roman"/>
          <w:bCs/>
          <w:iCs/>
        </w:rPr>
        <w:t>Summary of Estimated Annualized Respondent (Employer) Hour and Cost Burden).</w:t>
      </w:r>
    </w:p>
    <w:p w:rsidR="000312B1" w:rsidRPr="00E60F16" w:rsidP="005D20D8" w14:paraId="4306F3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C7129F" w14:paraId="7CB537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
          <w:bCs/>
          <w:u w:val="single"/>
        </w:rPr>
        <w:t>Burden Hour Estimates for State On-Site Consultation Programs</w:t>
      </w:r>
      <w:r w:rsidRPr="00E60F16">
        <w:rPr>
          <w:rFonts w:ascii="Times New Roman" w:hAnsi="Times New Roman"/>
          <w:bCs/>
        </w:rPr>
        <w:t>:</w:t>
      </w:r>
    </w:p>
    <w:p w:rsidR="00647C9E" w:rsidRPr="00E60F16" w:rsidP="00693D26" w14:paraId="4F1EE4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The following regulations require information collection and/or reporting on the part of </w:t>
      </w:r>
      <w:r w:rsidRPr="00E60F16" w:rsidR="00D239C9">
        <w:rPr>
          <w:rFonts w:ascii="Times New Roman" w:hAnsi="Times New Roman"/>
          <w:bCs/>
        </w:rPr>
        <w:t>s</w:t>
      </w:r>
      <w:r w:rsidRPr="00E60F16" w:rsidR="0015627A">
        <w:rPr>
          <w:rFonts w:ascii="Times New Roman" w:hAnsi="Times New Roman"/>
          <w:bCs/>
        </w:rPr>
        <w:t>tate On-Site Consultation program</w:t>
      </w:r>
      <w:r w:rsidRPr="00E60F16">
        <w:rPr>
          <w:rFonts w:ascii="Times New Roman" w:hAnsi="Times New Roman"/>
          <w:bCs/>
        </w:rPr>
        <w:t>s</w:t>
      </w:r>
      <w:r w:rsidRPr="00E60F16" w:rsidR="0057792C">
        <w:rPr>
          <w:rFonts w:ascii="Times New Roman" w:hAnsi="Times New Roman"/>
          <w:bCs/>
        </w:rPr>
        <w:t xml:space="preserve"> for </w:t>
      </w:r>
      <w:r w:rsidRPr="00E60F16" w:rsidR="00FC3896">
        <w:rPr>
          <w:rFonts w:ascii="Times New Roman" w:hAnsi="Times New Roman"/>
          <w:bCs/>
        </w:rPr>
        <w:t>the DRF33 [</w:t>
      </w:r>
      <w:r w:rsidRPr="00E60F16" w:rsidR="0057792C">
        <w:rPr>
          <w:rFonts w:ascii="Times New Roman" w:hAnsi="Times New Roman"/>
          <w:bCs/>
        </w:rPr>
        <w:t>Form 33</w:t>
      </w:r>
      <w:r w:rsidRPr="00E60F16" w:rsidR="00FC3896">
        <w:rPr>
          <w:rFonts w:ascii="Times New Roman" w:hAnsi="Times New Roman"/>
          <w:bCs/>
        </w:rPr>
        <w:t>]</w:t>
      </w:r>
      <w:r w:rsidRPr="00E60F16" w:rsidR="0057792C">
        <w:rPr>
          <w:rFonts w:ascii="Times New Roman" w:hAnsi="Times New Roman"/>
          <w:bCs/>
        </w:rPr>
        <w:t xml:space="preserve"> assessments conducted by consultants</w:t>
      </w:r>
      <w:r w:rsidRPr="00E60F16" w:rsidR="008D150B">
        <w:rPr>
          <w:rFonts w:ascii="Times New Roman" w:hAnsi="Times New Roman"/>
          <w:bCs/>
        </w:rPr>
        <w:t xml:space="preserve"> as described below (and summarized in Table 1)</w:t>
      </w:r>
      <w:r w:rsidRPr="00E60F16">
        <w:rPr>
          <w:rFonts w:ascii="Times New Roman" w:hAnsi="Times New Roman"/>
          <w:bCs/>
        </w:rPr>
        <w:t>:</w:t>
      </w:r>
    </w:p>
    <w:p w:rsidR="00647C9E" w:rsidRPr="00E60F16" w:rsidP="00693D26" w14:paraId="6F43C6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647C9E" w:rsidRPr="00E60F16" w:rsidP="00273E2A" w14:paraId="162EA1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360"/>
        <w:rPr>
          <w:rFonts w:ascii="Times New Roman" w:hAnsi="Times New Roman"/>
          <w:bCs/>
        </w:rPr>
      </w:pPr>
      <w:r w:rsidRPr="00E60F16">
        <w:rPr>
          <w:rFonts w:ascii="Times New Roman" w:hAnsi="Times New Roman"/>
          <w:bCs/>
        </w:rPr>
        <w:t>A.</w:t>
      </w:r>
      <w:r w:rsidRPr="00E60F16">
        <w:rPr>
          <w:rFonts w:ascii="Times New Roman" w:hAnsi="Times New Roman"/>
          <w:bCs/>
        </w:rPr>
        <w:tab/>
        <w:t>1908.6(e)(3):</w:t>
      </w:r>
    </w:p>
    <w:p w:rsidR="00647C9E" w:rsidRPr="00E60F16" w:rsidP="00693D26" w14:paraId="15EB36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647C9E" w:rsidRPr="00E60F16" w:rsidP="00693D26" w14:paraId="7B87B1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During all </w:t>
      </w:r>
      <w:r w:rsidRPr="00E60F16" w:rsidR="00407A14">
        <w:rPr>
          <w:rFonts w:ascii="Times New Roman" w:hAnsi="Times New Roman"/>
          <w:bCs/>
        </w:rPr>
        <w:t>c</w:t>
      </w:r>
      <w:r w:rsidRPr="00E60F16">
        <w:rPr>
          <w:rFonts w:ascii="Times New Roman" w:hAnsi="Times New Roman"/>
          <w:bCs/>
        </w:rPr>
        <w:t>onsultation visits for</w:t>
      </w:r>
      <w:r w:rsidRPr="00E60F16" w:rsidR="00375490">
        <w:rPr>
          <w:rFonts w:ascii="Times New Roman" w:hAnsi="Times New Roman"/>
          <w:bCs/>
        </w:rPr>
        <w:t xml:space="preserve"> the</w:t>
      </w:r>
      <w:r w:rsidRPr="00E60F16">
        <w:rPr>
          <w:rFonts w:ascii="Times New Roman" w:hAnsi="Times New Roman"/>
          <w:bCs/>
        </w:rPr>
        <w:t xml:space="preserve"> Pilot Study a comprehensive SHP assessment </w:t>
      </w:r>
      <w:r w:rsidRPr="00E60F16" w:rsidR="008C5248">
        <w:rPr>
          <w:rFonts w:ascii="Times New Roman" w:hAnsi="Times New Roman"/>
          <w:bCs/>
        </w:rPr>
        <w:t>is</w:t>
      </w:r>
      <w:r w:rsidRPr="00E60F16">
        <w:rPr>
          <w:rFonts w:ascii="Times New Roman" w:hAnsi="Times New Roman"/>
          <w:bCs/>
        </w:rPr>
        <w:t xml:space="preserve"> conducted by consultants using the DRF33.  For each </w:t>
      </w:r>
      <w:r w:rsidRPr="00E60F16" w:rsidR="00375490">
        <w:rPr>
          <w:rFonts w:ascii="Times New Roman" w:hAnsi="Times New Roman"/>
          <w:bCs/>
        </w:rPr>
        <w:t>on-site c</w:t>
      </w:r>
      <w:r w:rsidRPr="00E60F16">
        <w:rPr>
          <w:rFonts w:ascii="Times New Roman" w:hAnsi="Times New Roman"/>
          <w:bCs/>
        </w:rPr>
        <w:t>onsultation visit, consultants</w:t>
      </w:r>
      <w:r w:rsidRPr="00E60F16" w:rsidR="0057792C">
        <w:rPr>
          <w:rFonts w:ascii="Times New Roman" w:hAnsi="Times New Roman"/>
          <w:bCs/>
        </w:rPr>
        <w:t xml:space="preserve"> </w:t>
      </w:r>
      <w:r w:rsidRPr="00E60F16">
        <w:rPr>
          <w:rFonts w:ascii="Times New Roman" w:hAnsi="Times New Roman"/>
          <w:bCs/>
        </w:rPr>
        <w:t>participating in the Pilot Study</w:t>
      </w:r>
      <w:r w:rsidRPr="00E60F16" w:rsidR="007C4B9F">
        <w:rPr>
          <w:rFonts w:ascii="Times New Roman" w:hAnsi="Times New Roman"/>
          <w:bCs/>
        </w:rPr>
        <w:t xml:space="preserve"> </w:t>
      </w:r>
      <w:r w:rsidRPr="00E60F16">
        <w:rPr>
          <w:rFonts w:ascii="Times New Roman" w:hAnsi="Times New Roman"/>
          <w:bCs/>
        </w:rPr>
        <w:t xml:space="preserve">collect and input data </w:t>
      </w:r>
      <w:r w:rsidRPr="00E60F16" w:rsidR="00375490">
        <w:rPr>
          <w:rFonts w:ascii="Times New Roman" w:hAnsi="Times New Roman"/>
          <w:bCs/>
        </w:rPr>
        <w:t>on</w:t>
      </w:r>
      <w:r w:rsidRPr="00E60F16">
        <w:rPr>
          <w:rFonts w:ascii="Times New Roman" w:hAnsi="Times New Roman"/>
          <w:bCs/>
        </w:rPr>
        <w:t xml:space="preserve"> employer</w:t>
      </w:r>
      <w:r w:rsidRPr="00E60F16" w:rsidR="0057792C">
        <w:rPr>
          <w:rFonts w:ascii="Times New Roman" w:hAnsi="Times New Roman"/>
          <w:bCs/>
        </w:rPr>
        <w:t xml:space="preserve">s’ </w:t>
      </w:r>
      <w:r w:rsidRPr="00E60F16" w:rsidR="0034173C">
        <w:rPr>
          <w:rFonts w:ascii="Times New Roman" w:hAnsi="Times New Roman"/>
          <w:bCs/>
        </w:rPr>
        <w:t>SHPs</w:t>
      </w:r>
      <w:r w:rsidRPr="00E60F16" w:rsidR="008152A0">
        <w:rPr>
          <w:rFonts w:ascii="Times New Roman" w:hAnsi="Times New Roman"/>
          <w:bCs/>
        </w:rPr>
        <w:t xml:space="preserve"> </w:t>
      </w:r>
      <w:r w:rsidRPr="00E60F16">
        <w:rPr>
          <w:rFonts w:ascii="Times New Roman" w:hAnsi="Times New Roman"/>
          <w:bCs/>
        </w:rPr>
        <w:t>into</w:t>
      </w:r>
      <w:r w:rsidRPr="00E60F16" w:rsidR="00D239C9">
        <w:rPr>
          <w:rFonts w:ascii="Times New Roman" w:hAnsi="Times New Roman" w:eastAsiaTheme="minorHAnsi"/>
          <w:sz w:val="22"/>
          <w:szCs w:val="22"/>
        </w:rPr>
        <w:t xml:space="preserve"> </w:t>
      </w:r>
      <w:r w:rsidRPr="00E60F16" w:rsidR="00D239C9">
        <w:rPr>
          <w:rFonts w:ascii="Times New Roman" w:hAnsi="Times New Roman"/>
          <w:bCs/>
        </w:rPr>
        <w:t xml:space="preserve">the DRF33 that </w:t>
      </w:r>
      <w:r w:rsidRPr="00E60F16" w:rsidR="00F3004D">
        <w:rPr>
          <w:rFonts w:ascii="Times New Roman" w:hAnsi="Times New Roman"/>
          <w:bCs/>
        </w:rPr>
        <w:t>is</w:t>
      </w:r>
      <w:r w:rsidRPr="00E60F16" w:rsidR="00D239C9">
        <w:rPr>
          <w:rFonts w:ascii="Times New Roman" w:hAnsi="Times New Roman"/>
          <w:bCs/>
        </w:rPr>
        <w:t xml:space="preserve"> uploaded into a cloud based data entry tool</w:t>
      </w:r>
      <w:r w:rsidRPr="00E60F16" w:rsidR="00BF3FF9">
        <w:rPr>
          <w:rFonts w:ascii="Times New Roman" w:hAnsi="Times New Roman"/>
          <w:bCs/>
        </w:rPr>
        <w:t>,</w:t>
      </w:r>
      <w:r w:rsidRPr="00E60F16" w:rsidR="00D239C9">
        <w:rPr>
          <w:rFonts w:ascii="Times New Roman" w:hAnsi="Times New Roman"/>
          <w:bCs/>
        </w:rPr>
        <w:t xml:space="preserve"> the Qualtrics survey system.  </w:t>
      </w:r>
      <w:r w:rsidRPr="00E60F16" w:rsidR="0034173C">
        <w:rPr>
          <w:rFonts w:ascii="Times New Roman" w:hAnsi="Times New Roman"/>
          <w:bCs/>
        </w:rPr>
        <w:t>The burden hour</w:t>
      </w:r>
      <w:r w:rsidRPr="00E60F16">
        <w:rPr>
          <w:rFonts w:ascii="Times New Roman" w:hAnsi="Times New Roman"/>
          <w:bCs/>
        </w:rPr>
        <w:t xml:space="preserve"> estimates below do not include the time for developing information about the </w:t>
      </w:r>
      <w:r w:rsidRPr="00E60F16" w:rsidR="0034173C">
        <w:rPr>
          <w:rFonts w:ascii="Times New Roman" w:hAnsi="Times New Roman"/>
          <w:bCs/>
        </w:rPr>
        <w:t>SHPs</w:t>
      </w:r>
      <w:r w:rsidR="00484787">
        <w:rPr>
          <w:rFonts w:ascii="Times New Roman" w:hAnsi="Times New Roman"/>
          <w:bCs/>
        </w:rPr>
        <w:t>,</w:t>
      </w:r>
      <w:r w:rsidRPr="00E60F16" w:rsidR="00832346">
        <w:rPr>
          <w:rFonts w:ascii="Times New Roman" w:hAnsi="Times New Roman"/>
          <w:bCs/>
        </w:rPr>
        <w:t xml:space="preserve"> such as</w:t>
      </w:r>
      <w:r w:rsidRPr="00E60F16" w:rsidR="00D239C9">
        <w:rPr>
          <w:rFonts w:ascii="Times New Roman" w:hAnsi="Times New Roman"/>
          <w:bCs/>
        </w:rPr>
        <w:t xml:space="preserve"> collecting SHP data </w:t>
      </w:r>
      <w:r w:rsidRPr="00E60F16" w:rsidR="00832346">
        <w:rPr>
          <w:rFonts w:ascii="Times New Roman" w:hAnsi="Times New Roman"/>
          <w:bCs/>
        </w:rPr>
        <w:t xml:space="preserve">(e.g., </w:t>
      </w:r>
      <w:r w:rsidRPr="00E60F16" w:rsidR="00D239C9">
        <w:rPr>
          <w:rFonts w:ascii="Times New Roman" w:hAnsi="Times New Roman"/>
          <w:bCs/>
        </w:rPr>
        <w:t>injury and illness information from employers</w:t>
      </w:r>
      <w:r w:rsidRPr="00E60F16" w:rsidR="00832346">
        <w:rPr>
          <w:rFonts w:ascii="Times New Roman" w:hAnsi="Times New Roman"/>
          <w:bCs/>
        </w:rPr>
        <w:t>)</w:t>
      </w:r>
      <w:r w:rsidRPr="00E60F16" w:rsidR="00D239C9">
        <w:rPr>
          <w:rFonts w:ascii="Times New Roman" w:hAnsi="Times New Roman"/>
          <w:bCs/>
        </w:rPr>
        <w:t>,</w:t>
      </w:r>
      <w:r w:rsidRPr="00E60F16">
        <w:rPr>
          <w:rFonts w:ascii="Times New Roman" w:hAnsi="Times New Roman"/>
          <w:bCs/>
        </w:rPr>
        <w:t xml:space="preserve"> since that is done as a corollary of the On-Site Consultation</w:t>
      </w:r>
      <w:r w:rsidRPr="00E60F16" w:rsidR="00407A14">
        <w:rPr>
          <w:rFonts w:ascii="Times New Roman" w:hAnsi="Times New Roman"/>
          <w:bCs/>
        </w:rPr>
        <w:t xml:space="preserve"> </w:t>
      </w:r>
      <w:r w:rsidRPr="00E60F16">
        <w:rPr>
          <w:rFonts w:ascii="Times New Roman" w:hAnsi="Times New Roman"/>
          <w:bCs/>
        </w:rPr>
        <w:t>process</w:t>
      </w:r>
      <w:r w:rsidRPr="00E60F16" w:rsidR="00D26CE3">
        <w:rPr>
          <w:rFonts w:ascii="Times New Roman" w:hAnsi="Times New Roman"/>
          <w:bCs/>
        </w:rPr>
        <w:t xml:space="preserve"> for conducting consultation visits</w:t>
      </w:r>
      <w:r w:rsidRPr="00E60F16">
        <w:rPr>
          <w:rFonts w:ascii="Times New Roman" w:hAnsi="Times New Roman"/>
          <w:bCs/>
        </w:rPr>
        <w:t>.</w:t>
      </w:r>
    </w:p>
    <w:p w:rsidR="005E648E" w:rsidRPr="00E60F16" w:rsidP="00693D26" w14:paraId="1FAE99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9D2F58" w:rsidRPr="00E60F16" w:rsidP="00693D26" w14:paraId="085533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T</w:t>
      </w:r>
      <w:r w:rsidRPr="00E60F16" w:rsidR="000C63C7">
        <w:rPr>
          <w:rFonts w:ascii="Times New Roman" w:hAnsi="Times New Roman"/>
          <w:bCs/>
        </w:rPr>
        <w:t>he</w:t>
      </w:r>
      <w:r w:rsidRPr="00E60F16" w:rsidR="005E648E">
        <w:rPr>
          <w:rFonts w:ascii="Times New Roman" w:hAnsi="Times New Roman"/>
          <w:bCs/>
        </w:rPr>
        <w:t xml:space="preserve"> Pilot Study</w:t>
      </w:r>
      <w:r w:rsidRPr="00E60F16" w:rsidR="005D20D8">
        <w:rPr>
          <w:rFonts w:ascii="Times New Roman" w:hAnsi="Times New Roman"/>
          <w:bCs/>
        </w:rPr>
        <w:t xml:space="preserve"> </w:t>
      </w:r>
      <w:r w:rsidRPr="00E60F16" w:rsidR="005E648E">
        <w:rPr>
          <w:rFonts w:ascii="Times New Roman" w:hAnsi="Times New Roman"/>
          <w:bCs/>
        </w:rPr>
        <w:t>will require c</w:t>
      </w:r>
      <w:r w:rsidRPr="00E60F16" w:rsidR="00647C9E">
        <w:rPr>
          <w:rFonts w:ascii="Times New Roman" w:hAnsi="Times New Roman"/>
          <w:bCs/>
        </w:rPr>
        <w:t xml:space="preserve">onsultants </w:t>
      </w:r>
      <w:r w:rsidRPr="00E60F16" w:rsidR="005E648E">
        <w:rPr>
          <w:rFonts w:ascii="Times New Roman" w:hAnsi="Times New Roman"/>
          <w:bCs/>
        </w:rPr>
        <w:t>to</w:t>
      </w:r>
      <w:r w:rsidRPr="00E60F16" w:rsidR="0057792C">
        <w:rPr>
          <w:rFonts w:ascii="Times New Roman" w:hAnsi="Times New Roman"/>
          <w:bCs/>
        </w:rPr>
        <w:t xml:space="preserve"> </w:t>
      </w:r>
      <w:r w:rsidRPr="00E60F16" w:rsidR="00A656F0">
        <w:rPr>
          <w:rFonts w:ascii="Times New Roman" w:hAnsi="Times New Roman"/>
          <w:bCs/>
        </w:rPr>
        <w:t xml:space="preserve">conduct </w:t>
      </w:r>
      <w:r w:rsidRPr="00E60F16">
        <w:rPr>
          <w:rFonts w:ascii="Times New Roman" w:hAnsi="Times New Roman"/>
          <w:bCs/>
        </w:rPr>
        <w:t>comprehensive SHP assessment</w:t>
      </w:r>
      <w:r w:rsidRPr="00E60F16" w:rsidR="00A656F0">
        <w:rPr>
          <w:rFonts w:ascii="Times New Roman" w:hAnsi="Times New Roman"/>
          <w:bCs/>
        </w:rPr>
        <w:t>s</w:t>
      </w:r>
      <w:r w:rsidRPr="00E60F16">
        <w:rPr>
          <w:rFonts w:ascii="Times New Roman" w:hAnsi="Times New Roman"/>
          <w:bCs/>
        </w:rPr>
        <w:t>.  This means consultants will evaluate workplaces based on a</w:t>
      </w:r>
      <w:r w:rsidRPr="00E60F16" w:rsidR="002E1F12">
        <w:rPr>
          <w:rFonts w:ascii="Times New Roman" w:hAnsi="Times New Roman"/>
          <w:bCs/>
        </w:rPr>
        <w:t xml:space="preserve"> maximum of</w:t>
      </w:r>
      <w:r w:rsidRPr="00E60F16">
        <w:rPr>
          <w:rFonts w:ascii="Times New Roman" w:hAnsi="Times New Roman"/>
          <w:bCs/>
        </w:rPr>
        <w:t xml:space="preserve"> </w:t>
      </w:r>
      <w:r w:rsidRPr="00E60F16" w:rsidR="004C63B6">
        <w:rPr>
          <w:rFonts w:ascii="Times New Roman" w:hAnsi="Times New Roman"/>
          <w:bCs/>
        </w:rPr>
        <w:t xml:space="preserve">52 </w:t>
      </w:r>
      <w:r w:rsidRPr="00E60F16">
        <w:rPr>
          <w:rFonts w:ascii="Times New Roman" w:hAnsi="Times New Roman"/>
          <w:bCs/>
        </w:rPr>
        <w:t xml:space="preserve">attributes of the DRF33, and make </w:t>
      </w:r>
      <w:r w:rsidRPr="00E60F16" w:rsidR="004C63B6">
        <w:rPr>
          <w:rFonts w:ascii="Times New Roman" w:hAnsi="Times New Roman"/>
          <w:bCs/>
        </w:rPr>
        <w:t>52</w:t>
      </w:r>
      <w:r w:rsidRPr="00E60F16">
        <w:rPr>
          <w:rFonts w:ascii="Times New Roman" w:hAnsi="Times New Roman"/>
          <w:bCs/>
        </w:rPr>
        <w:t xml:space="preserve"> entries into the web-based version of the DRF33</w:t>
      </w:r>
      <w:r w:rsidRPr="00E60F16" w:rsidR="002E1F12">
        <w:rPr>
          <w:rFonts w:ascii="Times New Roman" w:hAnsi="Times New Roman"/>
          <w:bCs/>
        </w:rPr>
        <w:t xml:space="preserve"> in Qualtrics</w:t>
      </w:r>
      <w:r w:rsidRPr="00E60F16">
        <w:rPr>
          <w:rFonts w:ascii="Times New Roman" w:hAnsi="Times New Roman"/>
          <w:bCs/>
        </w:rPr>
        <w:t xml:space="preserve">.  Additionally, consultants </w:t>
      </w:r>
      <w:r w:rsidRPr="00E60F16" w:rsidR="000C63C7">
        <w:rPr>
          <w:rFonts w:ascii="Times New Roman" w:hAnsi="Times New Roman"/>
          <w:bCs/>
        </w:rPr>
        <w:t>may choose to</w:t>
      </w:r>
      <w:r w:rsidRPr="00E60F16">
        <w:rPr>
          <w:rFonts w:ascii="Times New Roman" w:hAnsi="Times New Roman"/>
          <w:bCs/>
        </w:rPr>
        <w:t xml:space="preserve"> complete </w:t>
      </w:r>
      <w:r w:rsidRPr="00E60F16" w:rsidR="005D20D8">
        <w:rPr>
          <w:rFonts w:ascii="Times New Roman" w:hAnsi="Times New Roman"/>
          <w:bCs/>
        </w:rPr>
        <w:t>6</w:t>
      </w:r>
      <w:r w:rsidRPr="00E60F16">
        <w:rPr>
          <w:rFonts w:ascii="Times New Roman" w:hAnsi="Times New Roman"/>
          <w:bCs/>
        </w:rPr>
        <w:t xml:space="preserve"> </w:t>
      </w:r>
      <w:r w:rsidRPr="00E60F16" w:rsidR="004C63B6">
        <w:rPr>
          <w:rFonts w:ascii="Times New Roman" w:hAnsi="Times New Roman"/>
          <w:bCs/>
        </w:rPr>
        <w:t xml:space="preserve">optional </w:t>
      </w:r>
      <w:r w:rsidRPr="00E60F16">
        <w:rPr>
          <w:rFonts w:ascii="Times New Roman" w:hAnsi="Times New Roman"/>
          <w:bCs/>
        </w:rPr>
        <w:t xml:space="preserve">survey questions to provide general feedback on the application of the DRF33 and ARG. </w:t>
      </w:r>
    </w:p>
    <w:p w:rsidR="009D2F58" w:rsidRPr="00E60F16" w:rsidP="00693D26" w14:paraId="47A4C9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9D2F58" w:rsidRPr="00E60F16" w:rsidP="00693D26" w14:paraId="17D703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For comprehensive SHP assessments, OSHA estimates that 58 entries can be assessed and entered into the current web-based OSHA Form 33 worksheet in 5 hours </w:t>
      </w:r>
      <w:r w:rsidRPr="00E60F16">
        <w:rPr>
          <w:rFonts w:ascii="Times New Roman" w:hAnsi="Times New Roman"/>
        </w:rPr>
        <w:t>(see OMB # 1218-0110)</w:t>
      </w:r>
      <w:r w:rsidRPr="00E60F16">
        <w:rPr>
          <w:rFonts w:ascii="Times New Roman" w:hAnsi="Times New Roman"/>
          <w:bCs/>
        </w:rPr>
        <w:t xml:space="preserve">.  </w:t>
      </w:r>
      <w:r w:rsidRPr="00E60F16">
        <w:rPr>
          <w:rFonts w:ascii="Times New Roman" w:hAnsi="Times New Roman"/>
        </w:rPr>
        <w:t xml:space="preserve">Similarly, OSHA estimates 5 hours for </w:t>
      </w:r>
      <w:r w:rsidRPr="00E60F16" w:rsidR="00A57BC4">
        <w:rPr>
          <w:rFonts w:ascii="Times New Roman" w:hAnsi="Times New Roman"/>
        </w:rPr>
        <w:t xml:space="preserve">collecting </w:t>
      </w:r>
      <w:r w:rsidRPr="00E60F16" w:rsidR="004C63B6">
        <w:rPr>
          <w:rFonts w:ascii="Times New Roman" w:hAnsi="Times New Roman"/>
        </w:rPr>
        <w:t>52</w:t>
      </w:r>
      <w:r w:rsidRPr="00E60F16" w:rsidR="00A57BC4">
        <w:rPr>
          <w:rFonts w:ascii="Times New Roman" w:hAnsi="Times New Roman"/>
        </w:rPr>
        <w:t xml:space="preserve"> entries for</w:t>
      </w:r>
      <w:r w:rsidRPr="00E60F16">
        <w:rPr>
          <w:rFonts w:ascii="Times New Roman" w:hAnsi="Times New Roman"/>
        </w:rPr>
        <w:t xml:space="preserve"> </w:t>
      </w:r>
      <w:r w:rsidRPr="00E60F16" w:rsidR="00A57BC4">
        <w:rPr>
          <w:rFonts w:ascii="Times New Roman" w:hAnsi="Times New Roman"/>
        </w:rPr>
        <w:t xml:space="preserve">a </w:t>
      </w:r>
      <w:r w:rsidRPr="00E60F16">
        <w:rPr>
          <w:rFonts w:ascii="Times New Roman" w:hAnsi="Times New Roman"/>
        </w:rPr>
        <w:t xml:space="preserve">comprehensive </w:t>
      </w:r>
      <w:r w:rsidRPr="00E60F16" w:rsidR="00A57BC4">
        <w:rPr>
          <w:rFonts w:ascii="Times New Roman" w:hAnsi="Times New Roman"/>
        </w:rPr>
        <w:t>SHP assessment</w:t>
      </w:r>
      <w:r w:rsidRPr="00E60F16">
        <w:rPr>
          <w:rFonts w:ascii="Times New Roman" w:hAnsi="Times New Roman"/>
        </w:rPr>
        <w:t xml:space="preserve"> </w:t>
      </w:r>
      <w:r w:rsidRPr="00E60F16" w:rsidR="00A57BC4">
        <w:rPr>
          <w:rFonts w:ascii="Times New Roman" w:hAnsi="Times New Roman"/>
        </w:rPr>
        <w:t xml:space="preserve">when </w:t>
      </w:r>
      <w:r w:rsidRPr="00E60F16">
        <w:rPr>
          <w:rFonts w:ascii="Times New Roman" w:hAnsi="Times New Roman"/>
        </w:rPr>
        <w:t xml:space="preserve">using the DRF33 and </w:t>
      </w:r>
      <w:r w:rsidRPr="00E60F16" w:rsidR="00A57BC4">
        <w:rPr>
          <w:rFonts w:ascii="Times New Roman" w:hAnsi="Times New Roman"/>
        </w:rPr>
        <w:t>for consultant</w:t>
      </w:r>
      <w:r w:rsidRPr="00E60F16">
        <w:rPr>
          <w:rFonts w:ascii="Times New Roman" w:hAnsi="Times New Roman"/>
        </w:rPr>
        <w:t>s</w:t>
      </w:r>
      <w:r w:rsidRPr="00E60F16" w:rsidR="00A57BC4">
        <w:rPr>
          <w:rFonts w:ascii="Times New Roman" w:hAnsi="Times New Roman"/>
        </w:rPr>
        <w:t xml:space="preserve"> to complete </w:t>
      </w:r>
      <w:r w:rsidRPr="00E60F16" w:rsidR="005D20D8">
        <w:rPr>
          <w:rFonts w:ascii="Times New Roman" w:hAnsi="Times New Roman"/>
        </w:rPr>
        <w:t>6</w:t>
      </w:r>
      <w:r w:rsidRPr="00E60F16" w:rsidR="00A57BC4">
        <w:rPr>
          <w:rFonts w:ascii="Times New Roman" w:hAnsi="Times New Roman"/>
        </w:rPr>
        <w:t xml:space="preserve"> </w:t>
      </w:r>
      <w:r w:rsidRPr="00E60F16" w:rsidR="004C63B6">
        <w:rPr>
          <w:rFonts w:ascii="Times New Roman" w:hAnsi="Times New Roman"/>
        </w:rPr>
        <w:t>optional</w:t>
      </w:r>
      <w:r w:rsidRPr="00E60F16">
        <w:rPr>
          <w:rFonts w:ascii="Times New Roman" w:hAnsi="Times New Roman"/>
        </w:rPr>
        <w:t xml:space="preserve"> </w:t>
      </w:r>
      <w:r w:rsidRPr="00E60F16" w:rsidR="00A57BC4">
        <w:rPr>
          <w:rFonts w:ascii="Times New Roman" w:hAnsi="Times New Roman"/>
        </w:rPr>
        <w:t xml:space="preserve">survey </w:t>
      </w:r>
      <w:r w:rsidRPr="00E60F16">
        <w:rPr>
          <w:rFonts w:ascii="Times New Roman" w:hAnsi="Times New Roman"/>
        </w:rPr>
        <w:t xml:space="preserve">questions (i.e., </w:t>
      </w:r>
      <w:r w:rsidRPr="00E60F16" w:rsidR="000C63C7">
        <w:rPr>
          <w:rFonts w:ascii="Times New Roman" w:hAnsi="Times New Roman"/>
        </w:rPr>
        <w:t xml:space="preserve">a </w:t>
      </w:r>
      <w:r w:rsidRPr="00E60F16">
        <w:rPr>
          <w:rFonts w:ascii="Times New Roman" w:hAnsi="Times New Roman"/>
        </w:rPr>
        <w:t>total of 5</w:t>
      </w:r>
      <w:r w:rsidRPr="00E60F16" w:rsidR="004C63B6">
        <w:rPr>
          <w:rFonts w:ascii="Times New Roman" w:hAnsi="Times New Roman"/>
        </w:rPr>
        <w:t>8</w:t>
      </w:r>
      <w:r w:rsidRPr="00E60F16">
        <w:rPr>
          <w:rFonts w:ascii="Times New Roman" w:hAnsi="Times New Roman"/>
        </w:rPr>
        <w:t xml:space="preserve"> entries).</w:t>
      </w:r>
      <w:r w:rsidRPr="00E60F16">
        <w:rPr>
          <w:rFonts w:ascii="Times New Roman" w:hAnsi="Times New Roman"/>
          <w:bCs/>
        </w:rPr>
        <w:t xml:space="preserve">  </w:t>
      </w:r>
    </w:p>
    <w:p w:rsidR="001D7C29" w:rsidRPr="00E60F16" w:rsidP="009D2F58" w14:paraId="2EB0BD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0017A6" w:rsidRPr="00E60F16" w:rsidP="00BF6011" w14:paraId="4D6B39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Since July 2022, when the Pilot Study started, 326 </w:t>
      </w:r>
      <w:r w:rsidRPr="00E60F16" w:rsidR="005247B0">
        <w:rPr>
          <w:rFonts w:ascii="Times New Roman" w:hAnsi="Times New Roman"/>
          <w:bCs/>
        </w:rPr>
        <w:t xml:space="preserve">pilot </w:t>
      </w:r>
      <w:r w:rsidRPr="00E60F16">
        <w:rPr>
          <w:rFonts w:ascii="Times New Roman" w:hAnsi="Times New Roman"/>
          <w:bCs/>
        </w:rPr>
        <w:t xml:space="preserve">SHP assessments have been conducted by Consultation programs nationwide out of the total number of 350 planned. </w:t>
      </w:r>
      <w:r w:rsidRPr="00E60F16" w:rsidR="00040448">
        <w:rPr>
          <w:rFonts w:ascii="Times New Roman" w:hAnsi="Times New Roman"/>
          <w:bCs/>
        </w:rPr>
        <w:t xml:space="preserve"> This leaves a total of </w:t>
      </w:r>
      <w:r w:rsidRPr="00E60F16" w:rsidR="0064049E">
        <w:rPr>
          <w:rFonts w:ascii="Times New Roman" w:hAnsi="Times New Roman"/>
          <w:bCs/>
        </w:rPr>
        <w:t xml:space="preserve">20 </w:t>
      </w:r>
      <w:r w:rsidRPr="00E60F16" w:rsidR="005247B0">
        <w:rPr>
          <w:rFonts w:ascii="Times New Roman" w:hAnsi="Times New Roman"/>
          <w:bCs/>
        </w:rPr>
        <w:t xml:space="preserve">pilot </w:t>
      </w:r>
      <w:r w:rsidRPr="00E60F16" w:rsidR="0064049E">
        <w:rPr>
          <w:rFonts w:ascii="Times New Roman" w:hAnsi="Times New Roman"/>
          <w:bCs/>
        </w:rPr>
        <w:t>workplace consultation visits</w:t>
      </w:r>
      <w:r w:rsidR="00BF02B4">
        <w:rPr>
          <w:rFonts w:ascii="Times New Roman" w:hAnsi="Times New Roman"/>
          <w:bCs/>
        </w:rPr>
        <w:t>,</w:t>
      </w:r>
      <w:r w:rsidRPr="00E60F16" w:rsidR="0064049E">
        <w:rPr>
          <w:rFonts w:ascii="Times New Roman" w:hAnsi="Times New Roman"/>
          <w:bCs/>
        </w:rPr>
        <w:t xml:space="preserve"> resulting in 24 </w:t>
      </w:r>
      <w:r w:rsidRPr="00E60F16" w:rsidR="005247B0">
        <w:rPr>
          <w:rFonts w:ascii="Times New Roman" w:hAnsi="Times New Roman"/>
          <w:bCs/>
        </w:rPr>
        <w:t xml:space="preserve">pilot </w:t>
      </w:r>
      <w:r w:rsidRPr="00E60F16" w:rsidR="0064049E">
        <w:rPr>
          <w:rFonts w:ascii="Times New Roman" w:hAnsi="Times New Roman"/>
          <w:bCs/>
        </w:rPr>
        <w:t>SHP assessments</w:t>
      </w:r>
      <w:r w:rsidRPr="00E60F16" w:rsidR="002F19A9">
        <w:rPr>
          <w:rFonts w:ascii="Times New Roman" w:hAnsi="Times New Roman"/>
          <w:bCs/>
        </w:rPr>
        <w:t xml:space="preserve"> because 4 of the consultation visits</w:t>
      </w:r>
      <w:r w:rsidRPr="00E60F16" w:rsidR="004A1A29">
        <w:rPr>
          <w:rFonts w:ascii="Times New Roman" w:hAnsi="Times New Roman"/>
          <w:bCs/>
        </w:rPr>
        <w:t xml:space="preserve"> will</w:t>
      </w:r>
      <w:r w:rsidRPr="00E60F16" w:rsidR="002F19A9">
        <w:rPr>
          <w:rFonts w:ascii="Times New Roman" w:hAnsi="Times New Roman"/>
          <w:bCs/>
        </w:rPr>
        <w:t xml:space="preserve"> involve an inter-rater reliability study that requires</w:t>
      </w:r>
      <w:r w:rsidRPr="00E60F16" w:rsidR="005D0FF7">
        <w:rPr>
          <w:rFonts w:ascii="Times New Roman" w:hAnsi="Times New Roman"/>
          <w:bCs/>
        </w:rPr>
        <w:t xml:space="preserve"> two (2) consultants </w:t>
      </w:r>
      <w:r w:rsidRPr="00E60F16" w:rsidR="00940A89">
        <w:rPr>
          <w:rFonts w:ascii="Times New Roman" w:hAnsi="Times New Roman"/>
          <w:bCs/>
        </w:rPr>
        <w:t>at</w:t>
      </w:r>
      <w:r w:rsidRPr="00E60F16" w:rsidR="005D0FF7">
        <w:rPr>
          <w:rFonts w:ascii="Times New Roman" w:hAnsi="Times New Roman"/>
          <w:bCs/>
        </w:rPr>
        <w:t xml:space="preserve"> the same workplace</w:t>
      </w:r>
      <w:r w:rsidRPr="00E60F16" w:rsidR="00636F44">
        <w:rPr>
          <w:rFonts w:ascii="Times New Roman" w:hAnsi="Times New Roman"/>
          <w:bCs/>
        </w:rPr>
        <w:t xml:space="preserve">.  </w:t>
      </w:r>
      <w:r w:rsidRPr="00E60F16" w:rsidR="00F304CF">
        <w:rPr>
          <w:rFonts w:ascii="Times New Roman" w:hAnsi="Times New Roman"/>
          <w:bCs/>
        </w:rPr>
        <w:t>B</w:t>
      </w:r>
      <w:r w:rsidRPr="00E60F16" w:rsidR="00396CFF">
        <w:rPr>
          <w:rFonts w:ascii="Times New Roman" w:hAnsi="Times New Roman"/>
          <w:bCs/>
        </w:rPr>
        <w:t xml:space="preserve">oth </w:t>
      </w:r>
      <w:r w:rsidRPr="00E60F16" w:rsidR="00F304CF">
        <w:rPr>
          <w:rFonts w:ascii="Times New Roman" w:hAnsi="Times New Roman"/>
          <w:bCs/>
        </w:rPr>
        <w:t xml:space="preserve">consultants will </w:t>
      </w:r>
      <w:r w:rsidRPr="00E60F16" w:rsidR="004D3966">
        <w:rPr>
          <w:rFonts w:ascii="Times New Roman" w:hAnsi="Times New Roman"/>
          <w:bCs/>
        </w:rPr>
        <w:t>independently complete a</w:t>
      </w:r>
      <w:r w:rsidRPr="00E60F16" w:rsidR="00396CFF">
        <w:rPr>
          <w:rFonts w:ascii="Times New Roman" w:hAnsi="Times New Roman"/>
          <w:bCs/>
        </w:rPr>
        <w:t xml:space="preserve"> DRF33 </w:t>
      </w:r>
      <w:r w:rsidRPr="00E60F16" w:rsidR="004D3966">
        <w:rPr>
          <w:rFonts w:ascii="Times New Roman" w:hAnsi="Times New Roman"/>
          <w:bCs/>
        </w:rPr>
        <w:t xml:space="preserve">assessment </w:t>
      </w:r>
      <w:r w:rsidRPr="00E60F16" w:rsidR="00396CFF">
        <w:rPr>
          <w:rFonts w:ascii="Times New Roman" w:hAnsi="Times New Roman"/>
          <w:bCs/>
        </w:rPr>
        <w:t>based on the infor</w:t>
      </w:r>
      <w:r w:rsidRPr="00E60F16" w:rsidR="0082216C">
        <w:rPr>
          <w:rFonts w:ascii="Times New Roman" w:hAnsi="Times New Roman"/>
          <w:bCs/>
        </w:rPr>
        <w:t>mation available at the workplace</w:t>
      </w:r>
      <w:r w:rsidRPr="00E60F16" w:rsidR="004D3966">
        <w:rPr>
          <w:rFonts w:ascii="Times New Roman" w:hAnsi="Times New Roman"/>
          <w:bCs/>
        </w:rPr>
        <w:t xml:space="preserve">. </w:t>
      </w:r>
      <w:r w:rsidRPr="00E60F16" w:rsidR="0047184B">
        <w:rPr>
          <w:rFonts w:ascii="Times New Roman" w:hAnsi="Times New Roman"/>
          <w:bCs/>
        </w:rPr>
        <w:t xml:space="preserve"> </w:t>
      </w:r>
      <w:r w:rsidRPr="00E60F16" w:rsidR="004D3966">
        <w:rPr>
          <w:rFonts w:ascii="Times New Roman" w:hAnsi="Times New Roman"/>
          <w:bCs/>
        </w:rPr>
        <w:t>T</w:t>
      </w:r>
      <w:r w:rsidRPr="00E60F16" w:rsidR="0047184B">
        <w:rPr>
          <w:rFonts w:ascii="Times New Roman" w:hAnsi="Times New Roman"/>
          <w:bCs/>
        </w:rPr>
        <w:t xml:space="preserve">herefore, </w:t>
      </w:r>
      <w:r w:rsidRPr="00E60F16" w:rsidR="000565F3">
        <w:rPr>
          <w:rFonts w:ascii="Times New Roman" w:hAnsi="Times New Roman"/>
          <w:bCs/>
        </w:rPr>
        <w:t>4 of the</w:t>
      </w:r>
      <w:r w:rsidRPr="00E60F16" w:rsidR="0047184B">
        <w:rPr>
          <w:rFonts w:ascii="Times New Roman" w:hAnsi="Times New Roman"/>
          <w:bCs/>
        </w:rPr>
        <w:t xml:space="preserve"> </w:t>
      </w:r>
      <w:r w:rsidRPr="00E60F16" w:rsidR="0080084F">
        <w:rPr>
          <w:rFonts w:ascii="Times New Roman" w:hAnsi="Times New Roman"/>
          <w:bCs/>
        </w:rPr>
        <w:t xml:space="preserve">20 </w:t>
      </w:r>
      <w:r w:rsidRPr="00E60F16" w:rsidR="00940A89">
        <w:rPr>
          <w:rFonts w:ascii="Times New Roman" w:hAnsi="Times New Roman"/>
          <w:bCs/>
        </w:rPr>
        <w:t>pilot</w:t>
      </w:r>
      <w:r w:rsidRPr="00E60F16" w:rsidR="0047184B">
        <w:rPr>
          <w:rFonts w:ascii="Times New Roman" w:hAnsi="Times New Roman"/>
          <w:bCs/>
        </w:rPr>
        <w:t xml:space="preserve"> </w:t>
      </w:r>
      <w:r w:rsidRPr="00E60F16" w:rsidR="00096548">
        <w:rPr>
          <w:rFonts w:ascii="Times New Roman" w:hAnsi="Times New Roman"/>
          <w:bCs/>
        </w:rPr>
        <w:t xml:space="preserve">workplace </w:t>
      </w:r>
      <w:r w:rsidRPr="00E60F16" w:rsidR="0047184B">
        <w:rPr>
          <w:rFonts w:ascii="Times New Roman" w:hAnsi="Times New Roman"/>
          <w:bCs/>
        </w:rPr>
        <w:t xml:space="preserve">consultation visits, will result in </w:t>
      </w:r>
      <w:r w:rsidRPr="00E60F16" w:rsidR="000565F3">
        <w:rPr>
          <w:rFonts w:ascii="Times New Roman" w:hAnsi="Times New Roman"/>
          <w:bCs/>
        </w:rPr>
        <w:t xml:space="preserve">8 </w:t>
      </w:r>
      <w:r w:rsidRPr="00E60F16" w:rsidR="0047184B">
        <w:rPr>
          <w:rFonts w:ascii="Times New Roman" w:hAnsi="Times New Roman"/>
          <w:bCs/>
        </w:rPr>
        <w:t>SHP assessments.</w:t>
      </w:r>
      <w:r w:rsidRPr="00E60F16" w:rsidR="00F304CF">
        <w:rPr>
          <w:rFonts w:ascii="Times New Roman" w:hAnsi="Times New Roman"/>
          <w:bCs/>
        </w:rPr>
        <w:t xml:space="preserve">  </w:t>
      </w:r>
      <w:r w:rsidRPr="00E60F16" w:rsidR="00636F44">
        <w:rPr>
          <w:rFonts w:ascii="Times New Roman" w:hAnsi="Times New Roman"/>
          <w:bCs/>
        </w:rPr>
        <w:t xml:space="preserve">The total </w:t>
      </w:r>
      <w:r w:rsidRPr="00E60F16" w:rsidR="00647C9E">
        <w:rPr>
          <w:rFonts w:ascii="Times New Roman" w:hAnsi="Times New Roman"/>
          <w:bCs/>
        </w:rPr>
        <w:t>burden hours for</w:t>
      </w:r>
      <w:r w:rsidRPr="00E60F16" w:rsidR="00636F44">
        <w:rPr>
          <w:rFonts w:ascii="Times New Roman" w:hAnsi="Times New Roman"/>
          <w:bCs/>
        </w:rPr>
        <w:t xml:space="preserve"> </w:t>
      </w:r>
      <w:r w:rsidRPr="006C212A" w:rsidR="00F5044F">
        <w:rPr>
          <w:rFonts w:ascii="Times New Roman" w:hAnsi="Times New Roman"/>
          <w:bCs/>
        </w:rPr>
        <w:t>2</w:t>
      </w:r>
      <w:r w:rsidRPr="006C212A" w:rsidR="007E7E04">
        <w:rPr>
          <w:rFonts w:ascii="Times New Roman" w:hAnsi="Times New Roman"/>
          <w:bCs/>
        </w:rPr>
        <w:t>0</w:t>
      </w:r>
      <w:r w:rsidRPr="006C212A" w:rsidR="00F5044F">
        <w:rPr>
          <w:rFonts w:ascii="Times New Roman" w:hAnsi="Times New Roman"/>
          <w:bCs/>
        </w:rPr>
        <w:t xml:space="preserve"> </w:t>
      </w:r>
      <w:r w:rsidRPr="006C212A" w:rsidR="001D4740">
        <w:rPr>
          <w:rFonts w:ascii="Times New Roman" w:hAnsi="Times New Roman"/>
          <w:bCs/>
        </w:rPr>
        <w:t>pilot workplace</w:t>
      </w:r>
      <w:r w:rsidRPr="006C212A" w:rsidR="00510D0A">
        <w:rPr>
          <w:rFonts w:ascii="Times New Roman" w:hAnsi="Times New Roman"/>
          <w:bCs/>
        </w:rPr>
        <w:t xml:space="preserve"> consultation</w:t>
      </w:r>
      <w:r w:rsidRPr="006C212A" w:rsidR="00647C9E">
        <w:rPr>
          <w:rFonts w:ascii="Times New Roman" w:hAnsi="Times New Roman"/>
          <w:bCs/>
        </w:rPr>
        <w:t xml:space="preserve"> visits</w:t>
      </w:r>
      <w:r w:rsidRPr="00E60F16" w:rsidR="00851343">
        <w:rPr>
          <w:rFonts w:ascii="Times New Roman" w:hAnsi="Times New Roman"/>
          <w:bCs/>
        </w:rPr>
        <w:t xml:space="preserve">, </w:t>
      </w:r>
      <w:r w:rsidRPr="00E60F16" w:rsidR="001D4740">
        <w:rPr>
          <w:rFonts w:ascii="Times New Roman" w:hAnsi="Times New Roman"/>
          <w:bCs/>
        </w:rPr>
        <w:t>resulting in</w:t>
      </w:r>
      <w:r w:rsidRPr="00E60F16" w:rsidR="00851343">
        <w:rPr>
          <w:rFonts w:ascii="Times New Roman" w:hAnsi="Times New Roman"/>
          <w:bCs/>
        </w:rPr>
        <w:t xml:space="preserve"> </w:t>
      </w:r>
      <w:r w:rsidRPr="00E60F16" w:rsidR="00F5044F">
        <w:rPr>
          <w:rFonts w:ascii="Times New Roman" w:hAnsi="Times New Roman"/>
          <w:b/>
          <w:bCs/>
        </w:rPr>
        <w:t>2</w:t>
      </w:r>
      <w:r w:rsidRPr="00E60F16" w:rsidR="007E7E04">
        <w:rPr>
          <w:rFonts w:ascii="Times New Roman" w:hAnsi="Times New Roman"/>
          <w:b/>
          <w:bCs/>
        </w:rPr>
        <w:t>4 pilot</w:t>
      </w:r>
      <w:r w:rsidRPr="00E60F16" w:rsidR="00851343">
        <w:rPr>
          <w:rFonts w:ascii="Times New Roman" w:hAnsi="Times New Roman"/>
          <w:b/>
          <w:bCs/>
        </w:rPr>
        <w:t xml:space="preserve"> SHP assessments that take 5 hours</w:t>
      </w:r>
      <w:r w:rsidRPr="00E60F16" w:rsidR="00851343">
        <w:rPr>
          <w:rFonts w:ascii="Times New Roman" w:hAnsi="Times New Roman"/>
          <w:bCs/>
        </w:rPr>
        <w:t xml:space="preserve"> each to complete</w:t>
      </w:r>
      <w:r w:rsidRPr="00E60F16" w:rsidR="00647C9E">
        <w:rPr>
          <w:rFonts w:ascii="Times New Roman" w:hAnsi="Times New Roman"/>
          <w:bCs/>
        </w:rPr>
        <w:t xml:space="preserve"> </w:t>
      </w:r>
      <w:r w:rsidRPr="00E60F16" w:rsidR="001D4740">
        <w:rPr>
          <w:rFonts w:ascii="Times New Roman" w:hAnsi="Times New Roman"/>
          <w:bCs/>
        </w:rPr>
        <w:t>is</w:t>
      </w:r>
      <w:r w:rsidRPr="00E60F16" w:rsidR="0080084F">
        <w:rPr>
          <w:rFonts w:ascii="Times New Roman" w:hAnsi="Times New Roman"/>
          <w:bCs/>
        </w:rPr>
        <w:t xml:space="preserve"> </w:t>
      </w:r>
      <w:r w:rsidRPr="00E60F16" w:rsidR="00EA370F">
        <w:rPr>
          <w:rFonts w:ascii="Times New Roman" w:hAnsi="Times New Roman"/>
          <w:b/>
          <w:bCs/>
        </w:rPr>
        <w:t>1</w:t>
      </w:r>
      <w:r w:rsidRPr="00E60F16" w:rsidR="009F0C64">
        <w:rPr>
          <w:rFonts w:ascii="Times New Roman" w:hAnsi="Times New Roman"/>
          <w:b/>
          <w:bCs/>
        </w:rPr>
        <w:t>2</w:t>
      </w:r>
      <w:r w:rsidRPr="00E60F16" w:rsidR="00EA370F">
        <w:rPr>
          <w:rFonts w:ascii="Times New Roman" w:hAnsi="Times New Roman"/>
          <w:b/>
          <w:bCs/>
        </w:rPr>
        <w:t>0</w:t>
      </w:r>
      <w:r w:rsidRPr="00E60F16" w:rsidR="00647C9E">
        <w:rPr>
          <w:rFonts w:ascii="Times New Roman" w:hAnsi="Times New Roman"/>
          <w:b/>
          <w:bCs/>
        </w:rPr>
        <w:t xml:space="preserve"> hours</w:t>
      </w:r>
      <w:r w:rsidRPr="00E60F16" w:rsidR="00647C9E">
        <w:rPr>
          <w:rFonts w:ascii="Times New Roman" w:hAnsi="Times New Roman"/>
          <w:bCs/>
        </w:rPr>
        <w:t>.</w:t>
      </w:r>
      <w:r w:rsidRPr="00E60F16" w:rsidR="00636F44">
        <w:rPr>
          <w:rFonts w:ascii="Times New Roman" w:hAnsi="Times New Roman"/>
          <w:bCs/>
        </w:rPr>
        <w:t xml:space="preserve">  </w:t>
      </w:r>
    </w:p>
    <w:p w:rsidR="00957A83" w:rsidRPr="00E60F16" w:rsidP="00693D26" w14:paraId="257E2E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216C34" w:rsidRPr="00E60F16" w:rsidP="00693D26" w14:paraId="74DBD6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The</w:t>
      </w:r>
      <w:r w:rsidRPr="00E60F16" w:rsidR="0047184B">
        <w:rPr>
          <w:rFonts w:ascii="Times New Roman" w:hAnsi="Times New Roman"/>
          <w:bCs/>
        </w:rPr>
        <w:t xml:space="preserve"> following studies will </w:t>
      </w:r>
      <w:r w:rsidRPr="00E60F16">
        <w:rPr>
          <w:rFonts w:ascii="Times New Roman" w:hAnsi="Times New Roman"/>
          <w:bCs/>
        </w:rPr>
        <w:t xml:space="preserve">also </w:t>
      </w:r>
      <w:r w:rsidRPr="00E60F16" w:rsidR="0047184B">
        <w:rPr>
          <w:rFonts w:ascii="Times New Roman" w:hAnsi="Times New Roman"/>
          <w:bCs/>
        </w:rPr>
        <w:t>be conducted</w:t>
      </w:r>
      <w:r w:rsidRPr="00E60F16">
        <w:rPr>
          <w:rFonts w:ascii="Times New Roman" w:hAnsi="Times New Roman"/>
          <w:bCs/>
        </w:rPr>
        <w:t>:</w:t>
      </w:r>
    </w:p>
    <w:p w:rsidR="0094353F" w:rsidRPr="00E60F16" w:rsidP="00C7580B" w14:paraId="30BEE0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216C34" w:rsidRPr="00E60F16" w:rsidP="00C7580B" w14:paraId="25A930A0" w14:textId="77777777">
      <w:pPr>
        <w:pStyle w:val="ListParagraph"/>
        <w:numPr>
          <w:ilvl w:val="0"/>
          <w:numId w:val="27"/>
        </w:numPr>
        <w:rPr>
          <w:rFonts w:ascii="Times New Roman" w:hAnsi="Times New Roman"/>
        </w:rPr>
      </w:pPr>
      <w:r w:rsidRPr="00E60F16">
        <w:rPr>
          <w:rFonts w:ascii="Times New Roman" w:hAnsi="Times New Roman"/>
        </w:rPr>
        <w:t>F</w:t>
      </w:r>
      <w:r w:rsidRPr="006C212A" w:rsidR="00A656F0">
        <w:rPr>
          <w:rFonts w:ascii="Times New Roman" w:hAnsi="Times New Roman"/>
        </w:rPr>
        <w:t>ollow-</w:t>
      </w:r>
      <w:r w:rsidRPr="006C212A">
        <w:rPr>
          <w:rFonts w:ascii="Times New Roman" w:hAnsi="Times New Roman"/>
        </w:rPr>
        <w:t>u</w:t>
      </w:r>
      <w:r w:rsidRPr="006C212A" w:rsidR="00636F44">
        <w:rPr>
          <w:rFonts w:ascii="Times New Roman" w:hAnsi="Times New Roman"/>
        </w:rPr>
        <w:t>p</w:t>
      </w:r>
      <w:r w:rsidRPr="00E60F16">
        <w:rPr>
          <w:rFonts w:ascii="Times New Roman" w:hAnsi="Times New Roman"/>
        </w:rPr>
        <w:t xml:space="preserve"> SHPs</w:t>
      </w:r>
      <w:r w:rsidRPr="00E60F16" w:rsidR="00636F44">
        <w:rPr>
          <w:rFonts w:ascii="Times New Roman" w:hAnsi="Times New Roman"/>
        </w:rPr>
        <w:t xml:space="preserve"> (</w:t>
      </w:r>
      <w:r w:rsidRPr="00E60F16" w:rsidR="00407A14">
        <w:rPr>
          <w:rFonts w:ascii="Times New Roman" w:hAnsi="Times New Roman"/>
        </w:rPr>
        <w:t xml:space="preserve">as </w:t>
      </w:r>
      <w:r w:rsidRPr="00E60F16" w:rsidR="00636F44">
        <w:rPr>
          <w:rFonts w:ascii="Times New Roman" w:hAnsi="Times New Roman"/>
        </w:rPr>
        <w:t>neces</w:t>
      </w:r>
      <w:r w:rsidRPr="00E60F16" w:rsidR="00A656F0">
        <w:rPr>
          <w:rFonts w:ascii="Times New Roman" w:hAnsi="Times New Roman"/>
        </w:rPr>
        <w:t>sar</w:t>
      </w:r>
      <w:r w:rsidRPr="00E60F16" w:rsidR="0094353F">
        <w:rPr>
          <w:rFonts w:ascii="Times New Roman" w:hAnsi="Times New Roman"/>
        </w:rPr>
        <w:t xml:space="preserve">y) - </w:t>
      </w:r>
      <w:r w:rsidRPr="00E60F16" w:rsidR="00A656F0">
        <w:rPr>
          <w:rFonts w:ascii="Times New Roman" w:hAnsi="Times New Roman"/>
        </w:rPr>
        <w:t xml:space="preserve">30 </w:t>
      </w:r>
      <w:r w:rsidRPr="00E60F16" w:rsidR="00297968">
        <w:rPr>
          <w:rFonts w:ascii="Times New Roman" w:hAnsi="Times New Roman"/>
        </w:rPr>
        <w:t xml:space="preserve">workplace </w:t>
      </w:r>
      <w:r w:rsidRPr="00E60F16" w:rsidR="00A656F0">
        <w:rPr>
          <w:rFonts w:ascii="Times New Roman" w:hAnsi="Times New Roman"/>
        </w:rPr>
        <w:t>consultation visits</w:t>
      </w:r>
      <w:r w:rsidRPr="00E60F16">
        <w:rPr>
          <w:rFonts w:ascii="Times New Roman" w:hAnsi="Times New Roman"/>
        </w:rPr>
        <w:t xml:space="preserve"> </w:t>
      </w:r>
      <w:r w:rsidRPr="00E60F16" w:rsidR="005D20D8">
        <w:rPr>
          <w:rFonts w:ascii="Times New Roman" w:hAnsi="Times New Roman"/>
        </w:rPr>
        <w:t>resulting in</w:t>
      </w:r>
      <w:r w:rsidRPr="00E60F16">
        <w:rPr>
          <w:rFonts w:ascii="Times New Roman" w:hAnsi="Times New Roman"/>
        </w:rPr>
        <w:t xml:space="preserve"> </w:t>
      </w:r>
      <w:r w:rsidRPr="00E60F16">
        <w:rPr>
          <w:rFonts w:ascii="Times New Roman" w:hAnsi="Times New Roman"/>
          <w:b/>
        </w:rPr>
        <w:t>30 SHP assessments</w:t>
      </w:r>
      <w:r w:rsidRPr="00E60F16" w:rsidR="0024091D">
        <w:rPr>
          <w:rFonts w:ascii="Times New Roman" w:hAnsi="Times New Roman"/>
          <w:b/>
        </w:rPr>
        <w:t>; 150 hours</w:t>
      </w:r>
      <w:r w:rsidRPr="00E60F16" w:rsidR="0094353F">
        <w:rPr>
          <w:rFonts w:ascii="Times New Roman" w:hAnsi="Times New Roman"/>
        </w:rPr>
        <w:t>.</w:t>
      </w:r>
    </w:p>
    <w:p w:rsidR="000017A6" w:rsidRPr="00E60F16" w:rsidP="00647C9E" w14:paraId="66BB2D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23886" w:rsidRPr="00E60F16" w:rsidP="00C7580B" w14:paraId="35C9F355" w14:textId="77777777">
      <w:pPr>
        <w:pStyle w:val="ListParagraph"/>
        <w:widowControl/>
        <w:numPr>
          <w:ilvl w:val="0"/>
          <w:numId w:val="2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 xml:space="preserve">The </w:t>
      </w:r>
      <w:r w:rsidRPr="00E60F16" w:rsidR="003A79A7">
        <w:rPr>
          <w:rFonts w:ascii="Times New Roman" w:hAnsi="Times New Roman"/>
          <w:bCs/>
        </w:rPr>
        <w:t>prospective injury and illness data collection</w:t>
      </w:r>
      <w:r w:rsidRPr="00E60F16">
        <w:rPr>
          <w:rFonts w:ascii="Times New Roman" w:hAnsi="Times New Roman"/>
          <w:bCs/>
        </w:rPr>
        <w:t xml:space="preserve"> will not involve any additional consultation visits</w:t>
      </w:r>
      <w:r w:rsidR="00BF02B4">
        <w:rPr>
          <w:rFonts w:ascii="Times New Roman" w:hAnsi="Times New Roman"/>
          <w:bCs/>
        </w:rPr>
        <w:t>; therefore</w:t>
      </w:r>
      <w:r w:rsidRPr="00E60F16">
        <w:rPr>
          <w:rFonts w:ascii="Times New Roman" w:hAnsi="Times New Roman"/>
          <w:bCs/>
        </w:rPr>
        <w:t>, there will be no SH</w:t>
      </w:r>
      <w:r w:rsidRPr="00E60F16" w:rsidR="00FC5591">
        <w:rPr>
          <w:rFonts w:ascii="Times New Roman" w:hAnsi="Times New Roman"/>
          <w:bCs/>
        </w:rPr>
        <w:t xml:space="preserve">P assessments using the DRF33.  Consultants will collect </w:t>
      </w:r>
      <w:r w:rsidRPr="00E60F16">
        <w:rPr>
          <w:rFonts w:ascii="Times New Roman" w:hAnsi="Times New Roman"/>
          <w:bCs/>
        </w:rPr>
        <w:t>occupational injury and illness data f</w:t>
      </w:r>
      <w:r w:rsidRPr="00E60F16" w:rsidR="00FC5591">
        <w:rPr>
          <w:rFonts w:ascii="Times New Roman" w:hAnsi="Times New Roman"/>
          <w:bCs/>
        </w:rPr>
        <w:t>rom</w:t>
      </w:r>
      <w:r w:rsidRPr="00E60F16">
        <w:rPr>
          <w:rFonts w:ascii="Times New Roman" w:hAnsi="Times New Roman"/>
          <w:bCs/>
        </w:rPr>
        <w:t xml:space="preserve"> the 300 workplaces that previously received consultation </w:t>
      </w:r>
      <w:r w:rsidRPr="00E60F16" w:rsidR="00FC5591">
        <w:rPr>
          <w:rFonts w:ascii="Times New Roman" w:hAnsi="Times New Roman"/>
          <w:bCs/>
        </w:rPr>
        <w:t>visits</w:t>
      </w:r>
      <w:r w:rsidRPr="00E60F16" w:rsidR="00741224">
        <w:rPr>
          <w:rFonts w:ascii="Times New Roman" w:hAnsi="Times New Roman"/>
          <w:bCs/>
        </w:rPr>
        <w:t>/SHP assessments</w:t>
      </w:r>
      <w:r w:rsidRPr="006C212A" w:rsidR="00FC5591">
        <w:rPr>
          <w:rFonts w:ascii="Times New Roman" w:hAnsi="Times New Roman"/>
          <w:bCs/>
        </w:rPr>
        <w:t xml:space="preserve">.  The data will be collected 12 months after the </w:t>
      </w:r>
      <w:r w:rsidRPr="00E60F16" w:rsidR="00741224">
        <w:rPr>
          <w:rFonts w:ascii="Times New Roman" w:hAnsi="Times New Roman"/>
          <w:bCs/>
        </w:rPr>
        <w:t>consultation visits</w:t>
      </w:r>
      <w:r w:rsidRPr="00E60F16">
        <w:rPr>
          <w:rFonts w:ascii="Times New Roman" w:hAnsi="Times New Roman"/>
          <w:bCs/>
        </w:rPr>
        <w:t>.</w:t>
      </w:r>
      <w:r w:rsidRPr="00E60F16" w:rsidR="00297968">
        <w:rPr>
          <w:rFonts w:ascii="Times New Roman" w:hAnsi="Times New Roman"/>
          <w:bCs/>
        </w:rPr>
        <w:t xml:space="preserve">  </w:t>
      </w:r>
      <w:r w:rsidRPr="006C212A">
        <w:rPr>
          <w:rFonts w:ascii="Times New Roman" w:hAnsi="Times New Roman"/>
          <w:bCs/>
        </w:rPr>
        <w:t xml:space="preserve">OSHA estimates a maximum of </w:t>
      </w:r>
      <w:r w:rsidRPr="00E60F16">
        <w:rPr>
          <w:rFonts w:ascii="Times New Roman" w:hAnsi="Times New Roman"/>
          <w:b/>
        </w:rPr>
        <w:t>30 minutes</w:t>
      </w:r>
      <w:r w:rsidRPr="00E60F16">
        <w:rPr>
          <w:rFonts w:ascii="Times New Roman" w:hAnsi="Times New Roman"/>
          <w:bCs/>
        </w:rPr>
        <w:t xml:space="preserve"> for consultants to collect employers</w:t>
      </w:r>
      <w:r w:rsidRPr="00E60F16" w:rsidR="004C63B6">
        <w:rPr>
          <w:rFonts w:ascii="Times New Roman" w:hAnsi="Times New Roman"/>
          <w:bCs/>
        </w:rPr>
        <w:t>’</w:t>
      </w:r>
      <w:r w:rsidRPr="00E60F16">
        <w:rPr>
          <w:rFonts w:ascii="Times New Roman" w:hAnsi="Times New Roman"/>
          <w:bCs/>
        </w:rPr>
        <w:t xml:space="preserve"> injury and illness data and </w:t>
      </w:r>
      <w:r w:rsidRPr="00E60F16" w:rsidR="00C1760D">
        <w:rPr>
          <w:rFonts w:ascii="Times New Roman" w:hAnsi="Times New Roman"/>
          <w:bCs/>
        </w:rPr>
        <w:t xml:space="preserve">email </w:t>
      </w:r>
      <w:r w:rsidRPr="006C212A">
        <w:rPr>
          <w:rFonts w:ascii="Times New Roman" w:hAnsi="Times New Roman"/>
          <w:bCs/>
        </w:rPr>
        <w:t xml:space="preserve">the information </w:t>
      </w:r>
      <w:r w:rsidRPr="00E60F16" w:rsidR="00C1760D">
        <w:rPr>
          <w:rFonts w:ascii="Times New Roman" w:hAnsi="Times New Roman"/>
          <w:bCs/>
        </w:rPr>
        <w:t xml:space="preserve">for upload </w:t>
      </w:r>
      <w:r w:rsidRPr="00E60F16">
        <w:rPr>
          <w:rFonts w:ascii="Times New Roman" w:hAnsi="Times New Roman"/>
          <w:bCs/>
        </w:rPr>
        <w:t xml:space="preserve">into the </w:t>
      </w:r>
      <w:r w:rsidRPr="00E60F16" w:rsidR="004C63B6">
        <w:rPr>
          <w:rFonts w:ascii="Times New Roman" w:hAnsi="Times New Roman"/>
          <w:bCs/>
        </w:rPr>
        <w:t>Dropbox folder</w:t>
      </w:r>
      <w:r w:rsidRPr="00E60F16" w:rsidR="00476087">
        <w:rPr>
          <w:rFonts w:ascii="Times New Roman" w:hAnsi="Times New Roman"/>
          <w:bCs/>
        </w:rPr>
        <w:t>,</w:t>
      </w:r>
      <w:r w:rsidRPr="006C212A">
        <w:rPr>
          <w:rFonts w:ascii="Times New Roman" w:hAnsi="Times New Roman"/>
          <w:bCs/>
        </w:rPr>
        <w:t xml:space="preserve"> for each of the </w:t>
      </w:r>
      <w:r w:rsidRPr="00E60F16">
        <w:rPr>
          <w:rFonts w:ascii="Times New Roman" w:hAnsi="Times New Roman"/>
          <w:b/>
        </w:rPr>
        <w:t>300 workplaces</w:t>
      </w:r>
      <w:r w:rsidRPr="00E60F16">
        <w:rPr>
          <w:rFonts w:ascii="Times New Roman" w:hAnsi="Times New Roman"/>
          <w:bCs/>
        </w:rPr>
        <w:t xml:space="preserve"> that previously received consultation services.  This will result in a total of </w:t>
      </w:r>
      <w:r w:rsidRPr="00E60F16">
        <w:rPr>
          <w:rFonts w:ascii="Times New Roman" w:hAnsi="Times New Roman"/>
          <w:b/>
          <w:bCs/>
        </w:rPr>
        <w:t>150 hours</w:t>
      </w:r>
      <w:r w:rsidRPr="00E60F16">
        <w:rPr>
          <w:rFonts w:ascii="Times New Roman" w:hAnsi="Times New Roman"/>
          <w:bCs/>
        </w:rPr>
        <w:t xml:space="preserve"> (0.5 </w:t>
      </w:r>
      <w:r w:rsidRPr="00E60F16" w:rsidR="00E22CAC">
        <w:rPr>
          <w:rFonts w:ascii="Times New Roman" w:hAnsi="Times New Roman"/>
          <w:bCs/>
        </w:rPr>
        <w:t>x</w:t>
      </w:r>
      <w:r w:rsidRPr="00E60F16">
        <w:rPr>
          <w:rFonts w:ascii="Times New Roman" w:hAnsi="Times New Roman"/>
          <w:bCs/>
        </w:rPr>
        <w:t xml:space="preserve"> 300).  </w:t>
      </w:r>
    </w:p>
    <w:p w:rsidR="00647C9E" w:rsidRPr="00E60F16" w:rsidP="00647C9E" w14:paraId="1F88C3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C1B74" w:rsidRPr="00E60F16" w:rsidP="00273E2A" w14:paraId="5CC93A64"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1908.6(e)(8)</w:t>
      </w:r>
    </w:p>
    <w:p w:rsidR="00647C9E" w:rsidRPr="00E60F16" w:rsidP="00273E2A" w14:paraId="2ED1F249"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693D26" w14:paraId="474899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Prepare and transmit a list of serious hazards and their correction due dates</w:t>
      </w:r>
      <w:r w:rsidRPr="00E60F16" w:rsidR="00510D0A">
        <w:rPr>
          <w:rFonts w:ascii="Times New Roman" w:hAnsi="Times New Roman"/>
          <w:bCs/>
        </w:rPr>
        <w:t xml:space="preserve"> for each workplace assessment conducted</w:t>
      </w:r>
      <w:r w:rsidRPr="00E60F16">
        <w:rPr>
          <w:rFonts w:ascii="Times New Roman" w:hAnsi="Times New Roman"/>
          <w:bCs/>
        </w:rPr>
        <w:t xml:space="preserve">.  OSHA has determined that it takes the consultant an average of </w:t>
      </w:r>
      <w:r w:rsidRPr="00E60F16">
        <w:rPr>
          <w:rFonts w:ascii="Times New Roman" w:hAnsi="Times New Roman"/>
          <w:b/>
        </w:rPr>
        <w:t>five minutes (</w:t>
      </w:r>
      <w:r w:rsidRPr="00E60F16" w:rsidR="00AF3023">
        <w:rPr>
          <w:rFonts w:ascii="Times New Roman" w:hAnsi="Times New Roman"/>
          <w:b/>
        </w:rPr>
        <w:t>5/60</w:t>
      </w:r>
      <w:r w:rsidRPr="00E60F16">
        <w:rPr>
          <w:rFonts w:ascii="Times New Roman" w:hAnsi="Times New Roman"/>
          <w:b/>
        </w:rPr>
        <w:t xml:space="preserve"> hour) </w:t>
      </w:r>
      <w:r w:rsidRPr="00E60F16">
        <w:rPr>
          <w:rFonts w:ascii="Times New Roman" w:hAnsi="Times New Roman"/>
          <w:bCs/>
        </w:rPr>
        <w:t xml:space="preserve">to compile the list.  Assuming that serious hazards are identified in each of the </w:t>
      </w:r>
      <w:r w:rsidRPr="00E60F16" w:rsidR="00922F1E">
        <w:rPr>
          <w:rFonts w:ascii="Times New Roman" w:hAnsi="Times New Roman"/>
          <w:bCs/>
        </w:rPr>
        <w:t>remaining</w:t>
      </w:r>
      <w:r w:rsidRPr="00E60F16" w:rsidR="00BD35C5">
        <w:rPr>
          <w:rFonts w:ascii="Times New Roman" w:hAnsi="Times New Roman"/>
          <w:bCs/>
        </w:rPr>
        <w:t xml:space="preserve"> </w:t>
      </w:r>
      <w:r w:rsidRPr="006C212A" w:rsidR="00BD35C5">
        <w:rPr>
          <w:rFonts w:ascii="Times New Roman" w:hAnsi="Times New Roman"/>
          <w:b/>
        </w:rPr>
        <w:t>2</w:t>
      </w:r>
      <w:r w:rsidRPr="00E60F16" w:rsidR="00927F68">
        <w:rPr>
          <w:rFonts w:ascii="Times New Roman" w:hAnsi="Times New Roman"/>
          <w:b/>
        </w:rPr>
        <w:t>0</w:t>
      </w:r>
      <w:r w:rsidRPr="00E60F16" w:rsidR="001D4740">
        <w:rPr>
          <w:rFonts w:ascii="Times New Roman" w:hAnsi="Times New Roman"/>
          <w:b/>
        </w:rPr>
        <w:t xml:space="preserve"> pilot</w:t>
      </w:r>
      <w:r w:rsidRPr="00E60F16" w:rsidR="00FA4562">
        <w:rPr>
          <w:rFonts w:ascii="Times New Roman" w:hAnsi="Times New Roman"/>
          <w:b/>
        </w:rPr>
        <w:t xml:space="preserve"> </w:t>
      </w:r>
      <w:r w:rsidRPr="00E60F16" w:rsidR="00927F68">
        <w:rPr>
          <w:rFonts w:ascii="Times New Roman" w:hAnsi="Times New Roman"/>
          <w:b/>
        </w:rPr>
        <w:t>workplace consultation visits</w:t>
      </w:r>
      <w:r w:rsidRPr="00E60F16" w:rsidR="007767B2">
        <w:rPr>
          <w:rFonts w:ascii="Times New Roman" w:hAnsi="Times New Roman"/>
          <w:bCs/>
        </w:rPr>
        <w:t xml:space="preserve"> </w:t>
      </w:r>
      <w:r w:rsidRPr="00E60F16" w:rsidR="00BD35C5">
        <w:rPr>
          <w:rFonts w:ascii="Times New Roman" w:hAnsi="Times New Roman"/>
          <w:bCs/>
        </w:rPr>
        <w:t xml:space="preserve">that will be </w:t>
      </w:r>
      <w:r w:rsidRPr="00E60F16" w:rsidR="00510D0A">
        <w:rPr>
          <w:rFonts w:ascii="Times New Roman" w:hAnsi="Times New Roman"/>
          <w:bCs/>
        </w:rPr>
        <w:t xml:space="preserve">conducted, the resulting burden hours will be </w:t>
      </w:r>
      <w:r w:rsidRPr="00E60F16" w:rsidR="006503D7">
        <w:rPr>
          <w:rFonts w:ascii="Times New Roman" w:hAnsi="Times New Roman"/>
          <w:b/>
          <w:bCs/>
        </w:rPr>
        <w:t>1.</w:t>
      </w:r>
      <w:r w:rsidRPr="00E60F16" w:rsidR="00AF3023">
        <w:rPr>
          <w:rFonts w:ascii="Times New Roman" w:hAnsi="Times New Roman"/>
          <w:b/>
          <w:bCs/>
        </w:rPr>
        <w:t>7</w:t>
      </w:r>
      <w:r w:rsidRPr="00E60F16">
        <w:rPr>
          <w:rFonts w:ascii="Times New Roman" w:hAnsi="Times New Roman"/>
          <w:b/>
          <w:bCs/>
        </w:rPr>
        <w:t xml:space="preserve"> hours</w:t>
      </w:r>
      <w:r w:rsidRPr="00E60F16">
        <w:rPr>
          <w:rFonts w:ascii="Times New Roman" w:hAnsi="Times New Roman"/>
          <w:bCs/>
        </w:rPr>
        <w:t>.</w:t>
      </w:r>
    </w:p>
    <w:p w:rsidR="00906E22" w:rsidRPr="00E60F16" w:rsidP="00693D26" w14:paraId="47426C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906E22" w:rsidRPr="00E60F16" w:rsidP="00693D26" w14:paraId="5A57A7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The Pilot Study will also involve a follow-up (if necessar</w:t>
      </w:r>
      <w:r w:rsidRPr="00E60F16" w:rsidR="00980B2F">
        <w:rPr>
          <w:rFonts w:ascii="Times New Roman" w:hAnsi="Times New Roman"/>
          <w:bCs/>
        </w:rPr>
        <w:t>y), with a maximum of</w:t>
      </w:r>
      <w:r w:rsidRPr="00E60F16">
        <w:rPr>
          <w:rFonts w:ascii="Times New Roman" w:hAnsi="Times New Roman"/>
          <w:bCs/>
        </w:rPr>
        <w:t xml:space="preserve"> </w:t>
      </w:r>
      <w:r w:rsidRPr="00E60F16">
        <w:rPr>
          <w:rFonts w:ascii="Times New Roman" w:hAnsi="Times New Roman"/>
          <w:b/>
        </w:rPr>
        <w:t xml:space="preserve">30 </w:t>
      </w:r>
      <w:r w:rsidRPr="00E60F16" w:rsidR="00EA6B99">
        <w:rPr>
          <w:rFonts w:ascii="Times New Roman" w:hAnsi="Times New Roman"/>
          <w:b/>
        </w:rPr>
        <w:t>workplace consultation visits</w:t>
      </w:r>
      <w:r w:rsidRPr="00E60F16" w:rsidR="00056915">
        <w:rPr>
          <w:rFonts w:ascii="Times New Roman" w:hAnsi="Times New Roman"/>
          <w:bCs/>
        </w:rPr>
        <w:t xml:space="preserve">, </w:t>
      </w:r>
      <w:r w:rsidRPr="00E60F16" w:rsidR="00CC64DA">
        <w:rPr>
          <w:rFonts w:ascii="Times New Roman" w:hAnsi="Times New Roman"/>
          <w:bCs/>
        </w:rPr>
        <w:t xml:space="preserve">resulting in </w:t>
      </w:r>
      <w:r w:rsidRPr="00E60F16" w:rsidR="00056915">
        <w:rPr>
          <w:rFonts w:ascii="Times New Roman" w:hAnsi="Times New Roman"/>
          <w:b/>
        </w:rPr>
        <w:t>2.</w:t>
      </w:r>
      <w:r w:rsidRPr="00E60F16" w:rsidR="00AF3023">
        <w:rPr>
          <w:rFonts w:ascii="Times New Roman" w:hAnsi="Times New Roman"/>
          <w:b/>
        </w:rPr>
        <w:t>5</w:t>
      </w:r>
      <w:r w:rsidRPr="00E60F16" w:rsidR="00056915">
        <w:rPr>
          <w:rFonts w:ascii="Times New Roman" w:hAnsi="Times New Roman"/>
          <w:b/>
        </w:rPr>
        <w:t xml:space="preserve"> hours</w:t>
      </w:r>
      <w:r w:rsidRPr="00E60F16" w:rsidR="00BF4359">
        <w:rPr>
          <w:rFonts w:ascii="Times New Roman" w:hAnsi="Times New Roman"/>
          <w:bCs/>
        </w:rPr>
        <w:t xml:space="preserve"> </w:t>
      </w:r>
      <w:r w:rsidRPr="00E60F16" w:rsidR="00440DEC">
        <w:rPr>
          <w:rFonts w:ascii="Times New Roman" w:hAnsi="Times New Roman"/>
          <w:bCs/>
        </w:rPr>
        <w:t>to</w:t>
      </w:r>
      <w:r w:rsidRPr="00E60F16" w:rsidR="00F7554D">
        <w:rPr>
          <w:rFonts w:ascii="Times New Roman" w:hAnsi="Times New Roman"/>
          <w:bCs/>
        </w:rPr>
        <w:t xml:space="preserve"> prepar</w:t>
      </w:r>
      <w:r w:rsidRPr="00E60F16" w:rsidR="00440DEC">
        <w:rPr>
          <w:rFonts w:ascii="Times New Roman" w:hAnsi="Times New Roman"/>
          <w:bCs/>
        </w:rPr>
        <w:t>e</w:t>
      </w:r>
      <w:r w:rsidRPr="00E60F16" w:rsidR="00F7554D">
        <w:rPr>
          <w:rFonts w:ascii="Times New Roman" w:hAnsi="Times New Roman"/>
          <w:bCs/>
        </w:rPr>
        <w:t xml:space="preserve"> and transmit a list of serious hazards</w:t>
      </w:r>
      <w:r w:rsidRPr="00E60F16">
        <w:rPr>
          <w:rFonts w:ascii="Times New Roman" w:hAnsi="Times New Roman"/>
          <w:bCs/>
        </w:rPr>
        <w:t>.</w:t>
      </w:r>
    </w:p>
    <w:p w:rsidR="00FE2544" w:rsidRPr="00E60F16" w:rsidP="00831496" w14:paraId="6FCDB9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BE1832" w:rsidRPr="00E60F16" w:rsidP="00BE1832" w14:paraId="4256C1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OSHA estimates a total of </w:t>
      </w:r>
      <w:r w:rsidRPr="00E60F16" w:rsidR="006A0E9E">
        <w:rPr>
          <w:rFonts w:ascii="Times New Roman" w:hAnsi="Times New Roman"/>
          <w:b/>
          <w:bCs/>
        </w:rPr>
        <w:t>4.</w:t>
      </w:r>
      <w:r w:rsidRPr="00E60F16" w:rsidR="00AE52DB">
        <w:rPr>
          <w:rFonts w:ascii="Times New Roman" w:hAnsi="Times New Roman"/>
          <w:b/>
          <w:bCs/>
        </w:rPr>
        <w:t>2</w:t>
      </w:r>
      <w:r w:rsidRPr="00E60F16" w:rsidR="00AB0313">
        <w:rPr>
          <w:rFonts w:ascii="Times New Roman" w:hAnsi="Times New Roman"/>
          <w:b/>
          <w:bCs/>
        </w:rPr>
        <w:t xml:space="preserve"> hours</w:t>
      </w:r>
      <w:r w:rsidRPr="00E60F16" w:rsidR="00AB0313">
        <w:rPr>
          <w:rFonts w:ascii="Times New Roman" w:hAnsi="Times New Roman"/>
          <w:bCs/>
        </w:rPr>
        <w:t xml:space="preserve"> to transmit the list of serious hazards</w:t>
      </w:r>
      <w:r w:rsidRPr="00E60F16">
        <w:rPr>
          <w:rFonts w:ascii="Times New Roman" w:hAnsi="Times New Roman"/>
          <w:bCs/>
        </w:rPr>
        <w:t>.</w:t>
      </w:r>
      <w:r>
        <w:rPr>
          <w:rStyle w:val="FootnoteReference"/>
          <w:rFonts w:ascii="Times New Roman" w:hAnsi="Times New Roman"/>
          <w:bCs/>
        </w:rPr>
        <w:footnoteReference w:id="5"/>
      </w:r>
    </w:p>
    <w:p w:rsidR="00647C9E" w:rsidRPr="00E60F16" w:rsidP="00693D26" w14:paraId="153DF9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647C9E" w:rsidRPr="00E60F16" w:rsidP="00273E2A" w14:paraId="05948E6D"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1908.6(f)(1) and (4)</w:t>
      </w:r>
    </w:p>
    <w:p w:rsidR="006C1B74" w:rsidRPr="00E60F16" w:rsidP="00273E2A" w14:paraId="2F28A811"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693D26" w14:paraId="45C45E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Inform </w:t>
      </w:r>
      <w:r w:rsidRPr="00E60F16" w:rsidR="00510D0A">
        <w:rPr>
          <w:rFonts w:ascii="Times New Roman" w:hAnsi="Times New Roman"/>
          <w:bCs/>
        </w:rPr>
        <w:t xml:space="preserve">OSHA or State Plan </w:t>
      </w:r>
      <w:r w:rsidRPr="00E60F16">
        <w:rPr>
          <w:rFonts w:ascii="Times New Roman" w:hAnsi="Times New Roman"/>
          <w:bCs/>
        </w:rPr>
        <w:t>enforcement authority</w:t>
      </w:r>
      <w:r w:rsidRPr="00E60F16" w:rsidR="00510D0A">
        <w:rPr>
          <w:rFonts w:ascii="Times New Roman" w:hAnsi="Times New Roman"/>
          <w:bCs/>
        </w:rPr>
        <w:t xml:space="preserve"> (as applicable),</w:t>
      </w:r>
      <w:r w:rsidRPr="00E60F16" w:rsidR="00D44D7A">
        <w:rPr>
          <w:rFonts w:ascii="Times New Roman" w:hAnsi="Times New Roman"/>
          <w:bCs/>
        </w:rPr>
        <w:t xml:space="preserve"> </w:t>
      </w:r>
      <w:r w:rsidRPr="00E60F16">
        <w:rPr>
          <w:rFonts w:ascii="Times New Roman" w:hAnsi="Times New Roman"/>
          <w:bCs/>
        </w:rPr>
        <w:t xml:space="preserve">if the employer fails to take action to correct serious </w:t>
      </w:r>
      <w:r w:rsidRPr="00E60F16" w:rsidR="00510D0A">
        <w:rPr>
          <w:rFonts w:ascii="Times New Roman" w:hAnsi="Times New Roman"/>
          <w:bCs/>
        </w:rPr>
        <w:t xml:space="preserve">or imminent danger </w:t>
      </w:r>
      <w:r w:rsidRPr="00E60F16">
        <w:rPr>
          <w:rFonts w:ascii="Times New Roman" w:hAnsi="Times New Roman"/>
          <w:bCs/>
        </w:rPr>
        <w:t>hazard</w:t>
      </w:r>
      <w:r w:rsidRPr="00E60F16" w:rsidR="00510D0A">
        <w:rPr>
          <w:rFonts w:ascii="Times New Roman" w:hAnsi="Times New Roman"/>
          <w:bCs/>
        </w:rPr>
        <w:t>s</w:t>
      </w:r>
      <w:r w:rsidRPr="00E60F16">
        <w:rPr>
          <w:rFonts w:ascii="Times New Roman" w:hAnsi="Times New Roman"/>
          <w:bCs/>
        </w:rPr>
        <w:t xml:space="preserve"> and/or fails to comply with the requirement to post </w:t>
      </w:r>
      <w:r w:rsidRPr="00E60F16" w:rsidR="00510D0A">
        <w:rPr>
          <w:rFonts w:ascii="Times New Roman" w:hAnsi="Times New Roman"/>
          <w:bCs/>
        </w:rPr>
        <w:t xml:space="preserve">the </w:t>
      </w:r>
      <w:r w:rsidRPr="00E60F16" w:rsidR="003C50CB">
        <w:rPr>
          <w:rFonts w:ascii="Times New Roman" w:hAnsi="Times New Roman"/>
          <w:bCs/>
        </w:rPr>
        <w:t>List of Serious Hazards</w:t>
      </w:r>
      <w:r w:rsidRPr="00E60F16">
        <w:rPr>
          <w:rFonts w:ascii="Times New Roman" w:hAnsi="Times New Roman"/>
          <w:bCs/>
        </w:rPr>
        <w:t>.  The On-Site Consultation Program manager is responsible for making referrals to the enforcement authority.</w:t>
      </w:r>
    </w:p>
    <w:p w:rsidR="00647C9E" w:rsidRPr="00E60F16" w:rsidP="00693D26" w14:paraId="19591C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3C50CB" w:rsidRPr="00E60F16" w:rsidP="00C7580B" w14:paraId="0AADC7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OSHA estimates that notifying the enforcement authority would require 30 minutes (0.5 hour).  OIS data indicate that </w:t>
      </w:r>
      <w:r w:rsidRPr="00E60F16" w:rsidR="003D544B">
        <w:rPr>
          <w:rFonts w:ascii="Times New Roman" w:hAnsi="Times New Roman"/>
          <w:bCs/>
        </w:rPr>
        <w:t>zero (</w:t>
      </w:r>
      <w:r w:rsidRPr="00E60F16">
        <w:rPr>
          <w:rFonts w:ascii="Times New Roman" w:hAnsi="Times New Roman"/>
          <w:bCs/>
        </w:rPr>
        <w:t>0</w:t>
      </w:r>
      <w:r w:rsidRPr="00E60F16" w:rsidR="003D544B">
        <w:rPr>
          <w:rFonts w:ascii="Times New Roman" w:hAnsi="Times New Roman"/>
          <w:bCs/>
        </w:rPr>
        <w:t>)</w:t>
      </w:r>
      <w:r w:rsidRPr="00E60F16" w:rsidR="001C4720">
        <w:rPr>
          <w:rFonts w:ascii="Times New Roman" w:hAnsi="Times New Roman"/>
          <w:bCs/>
        </w:rPr>
        <w:t xml:space="preserve"> of 18,384 consultation</w:t>
      </w:r>
      <w:r w:rsidRPr="00E60F16">
        <w:rPr>
          <w:rFonts w:ascii="Times New Roman" w:hAnsi="Times New Roman"/>
          <w:bCs/>
        </w:rPr>
        <w:t xml:space="preserve"> visits</w:t>
      </w:r>
      <w:r w:rsidRPr="00E60F16" w:rsidR="001C4720">
        <w:rPr>
          <w:rFonts w:ascii="Times New Roman" w:hAnsi="Times New Roman"/>
          <w:bCs/>
        </w:rPr>
        <w:t xml:space="preserve"> conducted</w:t>
      </w:r>
      <w:r w:rsidRPr="00E60F16">
        <w:rPr>
          <w:rFonts w:ascii="Times New Roman" w:hAnsi="Times New Roman"/>
          <w:bCs/>
        </w:rPr>
        <w:t xml:space="preserve"> </w:t>
      </w:r>
      <w:r w:rsidRPr="00E60F16" w:rsidR="00D70589">
        <w:rPr>
          <w:rFonts w:ascii="Times New Roman" w:hAnsi="Times New Roman"/>
          <w:bCs/>
        </w:rPr>
        <w:t xml:space="preserve">by On-Site Consultation programs nationwide </w:t>
      </w:r>
      <w:r w:rsidRPr="00E60F16">
        <w:rPr>
          <w:rFonts w:ascii="Times New Roman" w:hAnsi="Times New Roman"/>
          <w:bCs/>
        </w:rPr>
        <w:t xml:space="preserve">resulted in referrals to enforcement in FY 2023, resulting in </w:t>
      </w:r>
      <w:r w:rsidRPr="00E60F16" w:rsidR="00D70589">
        <w:rPr>
          <w:rFonts w:ascii="Times New Roman" w:hAnsi="Times New Roman"/>
          <w:bCs/>
        </w:rPr>
        <w:t xml:space="preserve">a </w:t>
      </w:r>
      <w:r w:rsidRPr="00E60F16">
        <w:rPr>
          <w:rFonts w:ascii="Times New Roman" w:hAnsi="Times New Roman"/>
          <w:bCs/>
        </w:rPr>
        <w:t>burden hour estimate of</w:t>
      </w:r>
      <w:r w:rsidRPr="00E60F16">
        <w:rPr>
          <w:rFonts w:ascii="Times New Roman" w:hAnsi="Times New Roman"/>
          <w:b/>
        </w:rPr>
        <w:t xml:space="preserve"> 0.0 </w:t>
      </w:r>
      <w:r w:rsidR="002B2F94">
        <w:rPr>
          <w:rFonts w:ascii="Times New Roman" w:hAnsi="Times New Roman"/>
          <w:b/>
        </w:rPr>
        <w:t>hours</w:t>
      </w:r>
      <w:r w:rsidRPr="00E60F16">
        <w:rPr>
          <w:rFonts w:ascii="Times New Roman" w:hAnsi="Times New Roman"/>
          <w:bCs/>
        </w:rPr>
        <w:t>.</w:t>
      </w:r>
    </w:p>
    <w:p w:rsidR="00647C9E" w:rsidRPr="00E60F16" w:rsidP="00647C9E" w14:paraId="47C3C6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E60F16">
        <w:rPr>
          <w:rFonts w:ascii="Times New Roman" w:hAnsi="Times New Roman"/>
          <w:bCs/>
        </w:rPr>
        <w:tab/>
      </w:r>
    </w:p>
    <w:p w:rsidR="006C1B74" w:rsidRPr="00E60F16" w:rsidP="00273E2A" w14:paraId="3CA28A5E"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1908.6(g)(1)</w:t>
      </w:r>
    </w:p>
    <w:p w:rsidR="00647C9E" w:rsidRPr="00E60F16" w:rsidP="00273E2A" w14:paraId="42A313A3"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85CEE" w:rsidRPr="00E60F16" w:rsidP="00693D26" w14:paraId="053525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P</w:t>
      </w:r>
      <w:r w:rsidRPr="00E60F16" w:rsidR="00647C9E">
        <w:rPr>
          <w:rFonts w:ascii="Times New Roman" w:hAnsi="Times New Roman"/>
          <w:bCs/>
        </w:rPr>
        <w:t xml:space="preserve">repare and transmit a </w:t>
      </w:r>
      <w:r w:rsidRPr="00E60F16" w:rsidR="00A32446">
        <w:rPr>
          <w:rFonts w:ascii="Times New Roman" w:hAnsi="Times New Roman"/>
          <w:bCs/>
        </w:rPr>
        <w:t>W</w:t>
      </w:r>
      <w:r w:rsidRPr="00E60F16" w:rsidR="00647C9E">
        <w:rPr>
          <w:rFonts w:ascii="Times New Roman" w:hAnsi="Times New Roman"/>
          <w:bCs/>
        </w:rPr>
        <w:t xml:space="preserve">ritten </w:t>
      </w:r>
      <w:r w:rsidRPr="00E60F16" w:rsidR="00A32446">
        <w:rPr>
          <w:rFonts w:ascii="Times New Roman" w:hAnsi="Times New Roman"/>
          <w:bCs/>
        </w:rPr>
        <w:t>R</w:t>
      </w:r>
      <w:r w:rsidRPr="00E60F16" w:rsidR="00647C9E">
        <w:rPr>
          <w:rFonts w:ascii="Times New Roman" w:hAnsi="Times New Roman"/>
          <w:bCs/>
        </w:rPr>
        <w:t xml:space="preserve">eport to the </w:t>
      </w:r>
      <w:r w:rsidRPr="00E60F16" w:rsidR="00A32446">
        <w:rPr>
          <w:rFonts w:ascii="Times New Roman" w:hAnsi="Times New Roman"/>
          <w:bCs/>
        </w:rPr>
        <w:t>E</w:t>
      </w:r>
      <w:r w:rsidRPr="00E60F16" w:rsidR="00647C9E">
        <w:rPr>
          <w:rFonts w:ascii="Times New Roman" w:hAnsi="Times New Roman"/>
          <w:bCs/>
        </w:rPr>
        <w:t xml:space="preserve">mployer for each </w:t>
      </w:r>
      <w:r w:rsidRPr="00E60F16" w:rsidR="00F67EE0">
        <w:rPr>
          <w:rFonts w:ascii="Times New Roman" w:hAnsi="Times New Roman"/>
          <w:bCs/>
        </w:rPr>
        <w:t xml:space="preserve">initial </w:t>
      </w:r>
      <w:r w:rsidRPr="00E60F16" w:rsidR="00647C9E">
        <w:rPr>
          <w:rFonts w:ascii="Times New Roman" w:hAnsi="Times New Roman"/>
          <w:bCs/>
        </w:rPr>
        <w:t>On-Site Consultation visit</w:t>
      </w:r>
      <w:r w:rsidRPr="00E60F16" w:rsidR="005944E0">
        <w:rPr>
          <w:rFonts w:ascii="Times New Roman" w:hAnsi="Times New Roman"/>
          <w:bCs/>
        </w:rPr>
        <w:t xml:space="preserve">.  </w:t>
      </w:r>
      <w:r w:rsidRPr="00E60F16" w:rsidR="00647C9E">
        <w:rPr>
          <w:rFonts w:ascii="Times New Roman" w:hAnsi="Times New Roman"/>
          <w:bCs/>
        </w:rPr>
        <w:t xml:space="preserve">The report consists of </w:t>
      </w:r>
      <w:r w:rsidRPr="00E60F16" w:rsidR="00687CA4">
        <w:rPr>
          <w:rFonts w:ascii="Times New Roman" w:hAnsi="Times New Roman"/>
          <w:bCs/>
        </w:rPr>
        <w:t xml:space="preserve">a) a restatement of the employer’s request for consultation services; b) a description of the workplace and working conditions; c) a description of all hazards identified during the initial On-Site Consultation visit, </w:t>
      </w:r>
      <w:r w:rsidRPr="00E60F16" w:rsidR="00687CA4">
        <w:rPr>
          <w:rFonts w:ascii="Times New Roman" w:hAnsi="Times New Roman"/>
          <w:bCs/>
        </w:rPr>
        <w:t xml:space="preserve">including a reference to the applicable standards and codes; d) an evaluation of the employer’s safety and health management program and suggestions to improve it; e) suggested means or approaches to correct the identified hazards; f) references to additional sources of assistance to correct a hazard; and g) completion dates for the correction of hazards.  </w:t>
      </w:r>
    </w:p>
    <w:p w:rsidR="00D85CEE" w:rsidRPr="00E60F16" w:rsidP="00693D26" w14:paraId="62F58F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13767B" w:rsidRPr="00E60F16" w:rsidP="00DD0DCF" w14:paraId="018022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It is estimated that it takes a consultant an average of 7.5 hours to complete </w:t>
      </w:r>
      <w:r w:rsidRPr="00E60F16" w:rsidR="00B10934">
        <w:rPr>
          <w:rFonts w:ascii="Times New Roman" w:hAnsi="Times New Roman"/>
          <w:bCs/>
        </w:rPr>
        <w:t>the</w:t>
      </w:r>
      <w:r w:rsidRPr="00E60F16">
        <w:rPr>
          <w:rFonts w:ascii="Times New Roman" w:hAnsi="Times New Roman"/>
          <w:bCs/>
        </w:rPr>
        <w:t xml:space="preserve"> </w:t>
      </w:r>
      <w:r w:rsidRPr="00E60F16" w:rsidR="00A32446">
        <w:rPr>
          <w:rFonts w:ascii="Times New Roman" w:hAnsi="Times New Roman"/>
          <w:bCs/>
        </w:rPr>
        <w:t>W</w:t>
      </w:r>
      <w:r w:rsidRPr="00E60F16">
        <w:rPr>
          <w:rFonts w:ascii="Times New Roman" w:hAnsi="Times New Roman"/>
          <w:bCs/>
        </w:rPr>
        <w:t xml:space="preserve">ritten </w:t>
      </w:r>
      <w:r w:rsidRPr="00E60F16" w:rsidR="00A32446">
        <w:rPr>
          <w:rFonts w:ascii="Times New Roman" w:hAnsi="Times New Roman"/>
          <w:bCs/>
        </w:rPr>
        <w:t>R</w:t>
      </w:r>
      <w:r w:rsidRPr="00E60F16">
        <w:rPr>
          <w:rFonts w:ascii="Times New Roman" w:hAnsi="Times New Roman"/>
          <w:bCs/>
        </w:rPr>
        <w:t>eport</w:t>
      </w:r>
      <w:r w:rsidRPr="00E60F16" w:rsidR="00B10934">
        <w:rPr>
          <w:rFonts w:ascii="Times New Roman" w:hAnsi="Times New Roman"/>
          <w:bCs/>
        </w:rPr>
        <w:t xml:space="preserve"> to the Employer</w:t>
      </w:r>
      <w:r w:rsidRPr="00E60F16">
        <w:rPr>
          <w:rFonts w:ascii="Times New Roman" w:hAnsi="Times New Roman"/>
          <w:bCs/>
        </w:rPr>
        <w:t xml:space="preserve">.  </w:t>
      </w:r>
      <w:r w:rsidRPr="00E60F16" w:rsidR="006C7BC8">
        <w:rPr>
          <w:rFonts w:ascii="Times New Roman" w:hAnsi="Times New Roman"/>
          <w:bCs/>
        </w:rPr>
        <w:t xml:space="preserve">OSHA estimates that the </w:t>
      </w:r>
      <w:r w:rsidRPr="00E60F16" w:rsidR="00E26D98">
        <w:rPr>
          <w:rFonts w:ascii="Times New Roman" w:hAnsi="Times New Roman"/>
          <w:bCs/>
        </w:rPr>
        <w:t xml:space="preserve">remaining </w:t>
      </w:r>
      <w:r w:rsidRPr="00E60F16" w:rsidR="006C7BC8">
        <w:rPr>
          <w:rFonts w:ascii="Times New Roman" w:hAnsi="Times New Roman"/>
          <w:bCs/>
        </w:rPr>
        <w:t>5</w:t>
      </w:r>
      <w:r w:rsidRPr="00E60F16" w:rsidR="003D544B">
        <w:rPr>
          <w:rFonts w:ascii="Times New Roman" w:hAnsi="Times New Roman"/>
          <w:bCs/>
        </w:rPr>
        <w:t xml:space="preserve">0 consultation visits </w:t>
      </w:r>
      <w:r w:rsidRPr="00E60F16" w:rsidR="006C7BC8">
        <w:rPr>
          <w:rFonts w:ascii="Times New Roman" w:hAnsi="Times New Roman"/>
          <w:bCs/>
        </w:rPr>
        <w:t xml:space="preserve">(i.e., </w:t>
      </w:r>
      <w:r w:rsidRPr="00E60F16" w:rsidR="00E26D98">
        <w:rPr>
          <w:rFonts w:ascii="Times New Roman" w:hAnsi="Times New Roman"/>
          <w:bCs/>
        </w:rPr>
        <w:t>2</w:t>
      </w:r>
      <w:r w:rsidRPr="00E60F16" w:rsidR="003D544B">
        <w:rPr>
          <w:rFonts w:ascii="Times New Roman" w:hAnsi="Times New Roman"/>
          <w:bCs/>
        </w:rPr>
        <w:t>0</w:t>
      </w:r>
      <w:r w:rsidRPr="00E60F16" w:rsidR="00E26D98">
        <w:rPr>
          <w:rFonts w:ascii="Times New Roman" w:hAnsi="Times New Roman"/>
          <w:bCs/>
        </w:rPr>
        <w:t xml:space="preserve"> </w:t>
      </w:r>
      <w:r w:rsidRPr="00E60F16" w:rsidR="00FA4562">
        <w:rPr>
          <w:rFonts w:ascii="Times New Roman" w:hAnsi="Times New Roman"/>
          <w:bCs/>
        </w:rPr>
        <w:t xml:space="preserve">pilot </w:t>
      </w:r>
      <w:r w:rsidRPr="00E60F16" w:rsidR="003D544B">
        <w:rPr>
          <w:rFonts w:ascii="Times New Roman" w:hAnsi="Times New Roman"/>
          <w:bCs/>
        </w:rPr>
        <w:t>consultation visits</w:t>
      </w:r>
      <w:r w:rsidRPr="00E60F16" w:rsidR="006C7BC8">
        <w:rPr>
          <w:rFonts w:ascii="Times New Roman" w:hAnsi="Times New Roman"/>
          <w:bCs/>
        </w:rPr>
        <w:t xml:space="preserve"> and 30 follow-up </w:t>
      </w:r>
      <w:r w:rsidRPr="00E60F16" w:rsidR="003D544B">
        <w:rPr>
          <w:rFonts w:ascii="Times New Roman" w:hAnsi="Times New Roman"/>
          <w:bCs/>
        </w:rPr>
        <w:t>consultation visits</w:t>
      </w:r>
      <w:r w:rsidRPr="00E60F16" w:rsidR="003332A5">
        <w:rPr>
          <w:rFonts w:ascii="Times New Roman" w:hAnsi="Times New Roman"/>
          <w:bCs/>
        </w:rPr>
        <w:t xml:space="preserve"> (if necessary)</w:t>
      </w:r>
      <w:r w:rsidRPr="00E60F16" w:rsidR="00DD0DCF">
        <w:rPr>
          <w:rFonts w:ascii="Times New Roman" w:hAnsi="Times New Roman"/>
          <w:bCs/>
        </w:rPr>
        <w:t>)</w:t>
      </w:r>
      <w:r w:rsidRPr="00E60F16" w:rsidR="003332A5">
        <w:rPr>
          <w:rFonts w:ascii="Times New Roman" w:hAnsi="Times New Roman"/>
          <w:bCs/>
        </w:rPr>
        <w:t xml:space="preserve">, will result in </w:t>
      </w:r>
      <w:r w:rsidRPr="00E60F16" w:rsidR="008E3514">
        <w:rPr>
          <w:rFonts w:ascii="Times New Roman" w:hAnsi="Times New Roman"/>
          <w:b/>
        </w:rPr>
        <w:t>375</w:t>
      </w:r>
      <w:r w:rsidRPr="00E60F16" w:rsidR="008606CD">
        <w:rPr>
          <w:rFonts w:ascii="Times New Roman" w:hAnsi="Times New Roman"/>
          <w:b/>
        </w:rPr>
        <w:t xml:space="preserve"> </w:t>
      </w:r>
      <w:r w:rsidRPr="00E60F16">
        <w:rPr>
          <w:rFonts w:ascii="Times New Roman" w:hAnsi="Times New Roman"/>
          <w:b/>
          <w:bCs/>
        </w:rPr>
        <w:t>hours</w:t>
      </w:r>
      <w:r w:rsidRPr="00E60F16">
        <w:rPr>
          <w:rFonts w:ascii="Times New Roman" w:hAnsi="Times New Roman"/>
          <w:bCs/>
        </w:rPr>
        <w:t xml:space="preserve"> </w:t>
      </w:r>
      <w:r w:rsidRPr="00E60F16" w:rsidR="008606CD">
        <w:rPr>
          <w:rFonts w:ascii="Times New Roman" w:hAnsi="Times New Roman"/>
          <w:bCs/>
        </w:rPr>
        <w:t>to complete</w:t>
      </w:r>
      <w:r w:rsidRPr="00E60F16" w:rsidR="00B94AAC">
        <w:rPr>
          <w:rFonts w:ascii="Times New Roman" w:hAnsi="Times New Roman"/>
          <w:bCs/>
        </w:rPr>
        <w:t xml:space="preserve"> </w:t>
      </w:r>
      <w:r w:rsidRPr="00E60F16" w:rsidR="00B276FE">
        <w:rPr>
          <w:rFonts w:ascii="Times New Roman" w:hAnsi="Times New Roman"/>
          <w:bCs/>
        </w:rPr>
        <w:t>the Written Report</w:t>
      </w:r>
      <w:r w:rsidRPr="00E60F16" w:rsidR="008606CD">
        <w:rPr>
          <w:rFonts w:ascii="Times New Roman" w:hAnsi="Times New Roman"/>
          <w:bCs/>
        </w:rPr>
        <w:t>s</w:t>
      </w:r>
      <w:r w:rsidRPr="00E60F16">
        <w:rPr>
          <w:rFonts w:ascii="Times New Roman" w:hAnsi="Times New Roman"/>
          <w:bCs/>
        </w:rPr>
        <w:t>.</w:t>
      </w:r>
    </w:p>
    <w:p w:rsidR="00647C9E" w:rsidRPr="00E60F16" w:rsidP="00831496" w14:paraId="2BA54B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  </w:t>
      </w:r>
    </w:p>
    <w:p w:rsidR="00647C9E" w:rsidRPr="00E60F16" w:rsidP="00273E2A" w14:paraId="7F49282B"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1908.7(b)(1):</w:t>
      </w:r>
    </w:p>
    <w:p w:rsidR="006C1B74" w:rsidRPr="00E60F16" w:rsidP="00273E2A" w14:paraId="3496E8DA"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693D26" w14:paraId="1C6FD2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Inform any OSHA or State compliance officer who arrives</w:t>
      </w:r>
      <w:r w:rsidRPr="00E60F16" w:rsidR="00E80621">
        <w:rPr>
          <w:rFonts w:ascii="Times New Roman" w:hAnsi="Times New Roman"/>
          <w:bCs/>
        </w:rPr>
        <w:t xml:space="preserve"> at a workplace to conduct an inspection when</w:t>
      </w:r>
      <w:r w:rsidRPr="00E60F16">
        <w:rPr>
          <w:rFonts w:ascii="Times New Roman" w:hAnsi="Times New Roman"/>
          <w:bCs/>
        </w:rPr>
        <w:t xml:space="preserve"> an On-Site Consultation visit is in progress.  This requirement applie</w:t>
      </w:r>
      <w:r w:rsidRPr="00E60F16" w:rsidR="00106C56">
        <w:rPr>
          <w:rFonts w:ascii="Times New Roman" w:hAnsi="Times New Roman"/>
          <w:bCs/>
        </w:rPr>
        <w:t>s to any employer using no-cost c</w:t>
      </w:r>
      <w:r w:rsidRPr="00E60F16">
        <w:rPr>
          <w:rFonts w:ascii="Times New Roman" w:hAnsi="Times New Roman"/>
          <w:bCs/>
        </w:rPr>
        <w:t>onsultation service</w:t>
      </w:r>
      <w:r w:rsidRPr="00E60F16" w:rsidR="00106C56">
        <w:rPr>
          <w:rFonts w:ascii="Times New Roman" w:hAnsi="Times New Roman"/>
          <w:bCs/>
        </w:rPr>
        <w:t>s</w:t>
      </w:r>
      <w:r w:rsidRPr="00E60F16">
        <w:rPr>
          <w:rFonts w:ascii="Times New Roman" w:hAnsi="Times New Roman"/>
          <w:bCs/>
        </w:rPr>
        <w:t xml:space="preserve"> and is designed to prevent a duplication of effort between On-Site Consultation</w:t>
      </w:r>
      <w:r w:rsidRPr="00E60F16" w:rsidR="00F73F87">
        <w:rPr>
          <w:rFonts w:ascii="Times New Roman" w:hAnsi="Times New Roman"/>
          <w:bCs/>
        </w:rPr>
        <w:t xml:space="preserve"> Program</w:t>
      </w:r>
      <w:r w:rsidRPr="00E60F16">
        <w:rPr>
          <w:rFonts w:ascii="Times New Roman" w:hAnsi="Times New Roman"/>
          <w:bCs/>
        </w:rPr>
        <w:t xml:space="preserve"> and OSHA</w:t>
      </w:r>
      <w:r w:rsidRPr="00E60F16" w:rsidR="00106C56">
        <w:rPr>
          <w:rFonts w:ascii="Times New Roman" w:hAnsi="Times New Roman"/>
          <w:bCs/>
        </w:rPr>
        <w:t>/State Plan</w:t>
      </w:r>
      <w:r w:rsidRPr="00E60F16">
        <w:rPr>
          <w:rFonts w:ascii="Times New Roman" w:hAnsi="Times New Roman"/>
          <w:bCs/>
        </w:rPr>
        <w:t xml:space="preserve"> enforcement.</w:t>
      </w:r>
    </w:p>
    <w:p w:rsidR="00647C9E" w:rsidRPr="00E60F16" w:rsidP="00693D26" w14:paraId="08F41A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106C56" w:rsidRPr="00E60F16" w:rsidP="00693D26" w14:paraId="179A9D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
        </w:rPr>
        <w:t>OSHA estimates that 5 percent of all high hazard employers eligible for inspections are actually inspected in any given year</w:t>
      </w:r>
      <w:r w:rsidRPr="00E60F16">
        <w:rPr>
          <w:rFonts w:ascii="Times New Roman" w:hAnsi="Times New Roman"/>
          <w:bCs/>
        </w:rPr>
        <w:t>.  Priority for On-Site Consultation visits are given to small</w:t>
      </w:r>
      <w:r w:rsidRPr="00E60F16" w:rsidR="00096548">
        <w:rPr>
          <w:rFonts w:ascii="Times New Roman" w:hAnsi="Times New Roman"/>
          <w:bCs/>
        </w:rPr>
        <w:t>- and medium-sized</w:t>
      </w:r>
      <w:r w:rsidRPr="00E60F16">
        <w:rPr>
          <w:rFonts w:ascii="Times New Roman" w:hAnsi="Times New Roman"/>
          <w:bCs/>
        </w:rPr>
        <w:t>, high-hazard companies.  By extension of the fact that both OSH</w:t>
      </w:r>
      <w:r w:rsidRPr="00E60F16" w:rsidR="00096548">
        <w:rPr>
          <w:rFonts w:ascii="Times New Roman" w:hAnsi="Times New Roman"/>
          <w:bCs/>
        </w:rPr>
        <w:t>A and the On-Site Consultation p</w:t>
      </w:r>
      <w:r w:rsidRPr="00E60F16">
        <w:rPr>
          <w:rFonts w:ascii="Times New Roman" w:hAnsi="Times New Roman"/>
          <w:bCs/>
        </w:rPr>
        <w:t xml:space="preserve">rograms place a higher priority on high hazard companies, and the fact that five (5) percent of companies receive compliance inspections, OSHA estimates that a compliance officer will arrive at a facility receiving an On-Site Consultation visit on five percent of all On-Site Consultation visits.  </w:t>
      </w:r>
      <w:r w:rsidRPr="00E60F16">
        <w:rPr>
          <w:rFonts w:ascii="Times New Roman" w:hAnsi="Times New Roman"/>
          <w:b/>
        </w:rPr>
        <w:t xml:space="preserve">It takes approximately six (6) minutes (.10 </w:t>
      </w:r>
      <w:r w:rsidR="002B2F94">
        <w:rPr>
          <w:rFonts w:ascii="Times New Roman" w:hAnsi="Times New Roman"/>
          <w:b/>
        </w:rPr>
        <w:t>hours</w:t>
      </w:r>
      <w:r w:rsidRPr="00E60F16">
        <w:rPr>
          <w:rFonts w:ascii="Times New Roman" w:hAnsi="Times New Roman"/>
          <w:b/>
        </w:rPr>
        <w:t>) to inform a compliance officer that an On-Site Consultation visit is in progress</w:t>
      </w:r>
      <w:r w:rsidRPr="00E60F16">
        <w:rPr>
          <w:rFonts w:ascii="Times New Roman" w:hAnsi="Times New Roman"/>
          <w:bCs/>
        </w:rPr>
        <w:t xml:space="preserve">.  </w:t>
      </w:r>
      <w:r w:rsidR="006E0496">
        <w:rPr>
          <w:rFonts w:ascii="Times New Roman" w:hAnsi="Times New Roman"/>
          <w:bCs/>
        </w:rPr>
        <w:t>The Consultation Program Manager performs this function</w:t>
      </w:r>
      <w:r w:rsidRPr="00E60F16">
        <w:rPr>
          <w:rFonts w:ascii="Times New Roman" w:hAnsi="Times New Roman"/>
          <w:bCs/>
        </w:rPr>
        <w:t xml:space="preserve">.  </w:t>
      </w:r>
    </w:p>
    <w:p w:rsidR="00106C56" w:rsidRPr="00E60F16" w:rsidP="00693D26" w14:paraId="219E14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106C56" w:rsidRPr="00E60F16" w:rsidP="00693D26" w14:paraId="487942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Pr>
          <w:rFonts w:ascii="Times New Roman" w:hAnsi="Times New Roman"/>
          <w:bCs/>
        </w:rPr>
        <w:t>Five</w:t>
      </w:r>
      <w:r w:rsidRPr="00E60F16">
        <w:rPr>
          <w:rFonts w:ascii="Times New Roman" w:hAnsi="Times New Roman"/>
          <w:bCs/>
        </w:rPr>
        <w:t xml:space="preserve"> perc</w:t>
      </w:r>
      <w:r w:rsidRPr="00E60F16" w:rsidR="00096548">
        <w:rPr>
          <w:rFonts w:ascii="Times New Roman" w:hAnsi="Times New Roman"/>
          <w:bCs/>
        </w:rPr>
        <w:t xml:space="preserve">ent of </w:t>
      </w:r>
      <w:r w:rsidRPr="00E60F16" w:rsidR="00C752C5">
        <w:rPr>
          <w:rFonts w:ascii="Times New Roman" w:hAnsi="Times New Roman"/>
          <w:bCs/>
        </w:rPr>
        <w:t>the remaining 50 consultation visits (i.e., 20 pilot consultation visits and 30 follow-up consultation visits (if necessary))</w:t>
      </w:r>
      <w:r w:rsidRPr="00E60F16" w:rsidR="00C72309">
        <w:rPr>
          <w:rFonts w:ascii="Times New Roman" w:hAnsi="Times New Roman"/>
          <w:bCs/>
        </w:rPr>
        <w:t xml:space="preserve"> </w:t>
      </w:r>
      <w:r w:rsidRPr="00E60F16">
        <w:rPr>
          <w:rFonts w:ascii="Times New Roman" w:hAnsi="Times New Roman"/>
          <w:bCs/>
        </w:rPr>
        <w:t xml:space="preserve">is </w:t>
      </w:r>
      <w:r w:rsidRPr="00E60F16" w:rsidR="00C3544F">
        <w:rPr>
          <w:rFonts w:ascii="Times New Roman" w:hAnsi="Times New Roman"/>
          <w:bCs/>
        </w:rPr>
        <w:t>2.5</w:t>
      </w:r>
      <w:r w:rsidRPr="00E60F16" w:rsidR="00772044">
        <w:rPr>
          <w:rFonts w:ascii="Times New Roman" w:hAnsi="Times New Roman"/>
          <w:bCs/>
        </w:rPr>
        <w:t xml:space="preserve"> (</w:t>
      </w:r>
      <w:r w:rsidRPr="00E60F16" w:rsidR="00C3544F">
        <w:rPr>
          <w:rFonts w:ascii="Times New Roman" w:hAnsi="Times New Roman"/>
          <w:bCs/>
        </w:rPr>
        <w:t>3</w:t>
      </w:r>
      <w:r w:rsidRPr="00E60F16" w:rsidR="00772044">
        <w:rPr>
          <w:rFonts w:ascii="Times New Roman" w:hAnsi="Times New Roman"/>
          <w:bCs/>
        </w:rPr>
        <w:t>)</w:t>
      </w:r>
      <w:r w:rsidRPr="00E60F16" w:rsidR="00124371">
        <w:rPr>
          <w:rFonts w:ascii="Times New Roman" w:hAnsi="Times New Roman"/>
          <w:bCs/>
        </w:rPr>
        <w:t xml:space="preserve">. </w:t>
      </w:r>
      <w:r w:rsidRPr="00E60F16">
        <w:rPr>
          <w:rFonts w:ascii="Times New Roman" w:hAnsi="Times New Roman"/>
          <w:bCs/>
        </w:rPr>
        <w:t xml:space="preserve"> </w:t>
      </w:r>
      <w:r w:rsidRPr="00E60F16" w:rsidR="00124371">
        <w:rPr>
          <w:rFonts w:ascii="Times New Roman" w:hAnsi="Times New Roman"/>
          <w:bCs/>
        </w:rPr>
        <w:t>T</w:t>
      </w:r>
      <w:r w:rsidRPr="00E60F16">
        <w:rPr>
          <w:rFonts w:ascii="Times New Roman" w:hAnsi="Times New Roman"/>
          <w:bCs/>
        </w:rPr>
        <w:t>herefore</w:t>
      </w:r>
      <w:r w:rsidRPr="00E60F16" w:rsidR="00124371">
        <w:rPr>
          <w:rFonts w:ascii="Times New Roman" w:hAnsi="Times New Roman"/>
          <w:bCs/>
        </w:rPr>
        <w:t>,</w:t>
      </w:r>
      <w:r w:rsidRPr="00E60F16">
        <w:rPr>
          <w:rFonts w:ascii="Times New Roman" w:hAnsi="Times New Roman"/>
          <w:bCs/>
        </w:rPr>
        <w:t xml:space="preserve"> OSHA estimates </w:t>
      </w:r>
      <w:r w:rsidRPr="00E60F16" w:rsidR="00124371">
        <w:rPr>
          <w:rFonts w:ascii="Times New Roman" w:hAnsi="Times New Roman"/>
          <w:b/>
          <w:bCs/>
        </w:rPr>
        <w:t>0.3</w:t>
      </w:r>
      <w:r w:rsidRPr="00E60F16">
        <w:rPr>
          <w:rFonts w:ascii="Times New Roman" w:hAnsi="Times New Roman"/>
          <w:b/>
          <w:bCs/>
        </w:rPr>
        <w:t xml:space="preserve"> hours</w:t>
      </w:r>
      <w:r w:rsidRPr="00E60F16">
        <w:rPr>
          <w:rFonts w:ascii="Times New Roman" w:hAnsi="Times New Roman"/>
          <w:bCs/>
        </w:rPr>
        <w:t xml:space="preserve"> (i.e., </w:t>
      </w:r>
      <w:r>
        <w:rPr>
          <w:rFonts w:ascii="Times New Roman" w:hAnsi="Times New Roman"/>
          <w:bCs/>
        </w:rPr>
        <w:t>0.1-hour x 3) for Consultation Program Managers to inform OSHA or State Plan, compliance officers,</w:t>
      </w:r>
      <w:r w:rsidRPr="00E60F16">
        <w:rPr>
          <w:rFonts w:ascii="Times New Roman" w:hAnsi="Times New Roman"/>
          <w:bCs/>
        </w:rPr>
        <w:t xml:space="preserve"> about an On-Site Consultation visit in progress</w:t>
      </w:r>
      <w:r w:rsidRPr="00E60F16" w:rsidR="00642E9B">
        <w:rPr>
          <w:rFonts w:ascii="Times New Roman" w:hAnsi="Times New Roman"/>
          <w:bCs/>
        </w:rPr>
        <w:t xml:space="preserve"> at a workplace</w:t>
      </w:r>
      <w:r w:rsidRPr="00E60F16">
        <w:rPr>
          <w:rFonts w:ascii="Times New Roman" w:hAnsi="Times New Roman"/>
          <w:bCs/>
        </w:rPr>
        <w:t xml:space="preserve">.  </w:t>
      </w:r>
    </w:p>
    <w:p w:rsidR="00106C56" w:rsidRPr="00E60F16" w:rsidP="00647C9E" w14:paraId="6EE93F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C1B74" w:rsidRPr="00E60F16" w:rsidP="00273E2A" w14:paraId="052B69DE"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1908.9(b)</w:t>
      </w:r>
    </w:p>
    <w:p w:rsidR="00647C9E" w:rsidRPr="00E60F16" w:rsidP="00273E2A" w14:paraId="6D891C5F"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693D26" w14:paraId="401267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Establish and maintain an organized consultant performance monitoring system.</w:t>
      </w:r>
    </w:p>
    <w:p w:rsidR="00647C9E" w:rsidRPr="00E60F16" w:rsidP="00693D26" w14:paraId="1D1CE8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647C9E" w:rsidRPr="00E60F16" w:rsidP="00693D26" w14:paraId="7900AB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It is a usual and customary business practice for employers to establish performance standards, and to evaluate worker performance against the standard.  The </w:t>
      </w:r>
      <w:r w:rsidRPr="00E60F16" w:rsidR="000E157B">
        <w:rPr>
          <w:rFonts w:ascii="Times New Roman" w:hAnsi="Times New Roman"/>
          <w:bCs/>
        </w:rPr>
        <w:t>s</w:t>
      </w:r>
      <w:r w:rsidRPr="00E60F16">
        <w:rPr>
          <w:rFonts w:ascii="Times New Roman" w:hAnsi="Times New Roman"/>
          <w:bCs/>
        </w:rPr>
        <w:t xml:space="preserve">tates will perform this function without a requirement from OSHA; therefore, the Agency is not assigning any burden hours for this activity. </w:t>
      </w:r>
    </w:p>
    <w:p w:rsidR="00647C9E" w:rsidRPr="00E60F16" w:rsidP="00647C9E" w14:paraId="29B48C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C1B74" w:rsidRPr="00E60F16" w:rsidP="00273E2A" w14:paraId="0E70CEA5"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1908.9(c)</w:t>
      </w:r>
    </w:p>
    <w:p w:rsidR="00647C9E" w:rsidRPr="00E60F16" w:rsidP="00273E2A" w14:paraId="18B43EB3"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693D26" w14:paraId="55D619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Consultation programs utilize clerical staff to compile and submit factual and statistical information in preparation for the biennial program review conducted by OSHA.</w:t>
      </w:r>
    </w:p>
    <w:p w:rsidR="00647C9E" w:rsidRPr="00E60F16" w:rsidP="00693D26" w14:paraId="11A46B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E2149D" w:rsidRPr="00E60F16" w:rsidP="00693D26" w14:paraId="6BC767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Currently, the statistical information is entered as part of the report preparation process and is one </w:t>
      </w:r>
      <w:r w:rsidRPr="00E60F16" w:rsidR="00C75CAB">
        <w:rPr>
          <w:rFonts w:ascii="Times New Roman" w:hAnsi="Times New Roman"/>
          <w:bCs/>
        </w:rPr>
        <w:t>of the major tools used by the s</w:t>
      </w:r>
      <w:r w:rsidRPr="00E60F16">
        <w:rPr>
          <w:rFonts w:ascii="Times New Roman" w:hAnsi="Times New Roman"/>
          <w:bCs/>
        </w:rPr>
        <w:t xml:space="preserve">tates </w:t>
      </w:r>
      <w:r w:rsidRPr="00E60F16" w:rsidR="000E157B">
        <w:rPr>
          <w:rFonts w:ascii="Times New Roman" w:hAnsi="Times New Roman"/>
          <w:bCs/>
        </w:rPr>
        <w:t>to manage</w:t>
      </w:r>
      <w:r w:rsidRPr="00E60F16">
        <w:rPr>
          <w:rFonts w:ascii="Times New Roman" w:hAnsi="Times New Roman"/>
          <w:bCs/>
        </w:rPr>
        <w:t xml:space="preserve"> their programs.  OSHA electronically extracts this information periodically (without assistance from the </w:t>
      </w:r>
      <w:r w:rsidRPr="00E60F16" w:rsidR="000E157B">
        <w:rPr>
          <w:rFonts w:ascii="Times New Roman" w:hAnsi="Times New Roman"/>
          <w:bCs/>
        </w:rPr>
        <w:t>s</w:t>
      </w:r>
      <w:r w:rsidRPr="00E60F16">
        <w:rPr>
          <w:rFonts w:ascii="Times New Roman" w:hAnsi="Times New Roman"/>
          <w:bCs/>
        </w:rPr>
        <w:t xml:space="preserve">tates) for use in program monitoring and evaluation. </w:t>
      </w:r>
      <w:r w:rsidRPr="00E60F16" w:rsidR="007E42DB">
        <w:rPr>
          <w:rFonts w:ascii="Times New Roman" w:hAnsi="Times New Roman"/>
          <w:bCs/>
        </w:rPr>
        <w:t xml:space="preserve"> </w:t>
      </w:r>
    </w:p>
    <w:p w:rsidR="00E2149D" w:rsidRPr="00E60F16" w:rsidP="00693D26" w14:paraId="5BEA65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7E42DB" w:rsidRPr="00E60F16" w:rsidP="00693D26" w14:paraId="4A507B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During the biennial evaluations, On-Site Consultation p</w:t>
      </w:r>
      <w:r w:rsidRPr="00E60F16" w:rsidR="00647C9E">
        <w:rPr>
          <w:rFonts w:ascii="Times New Roman" w:hAnsi="Times New Roman"/>
          <w:bCs/>
        </w:rPr>
        <w:t>rograms are required to provide access to some randomly selected files</w:t>
      </w:r>
      <w:r w:rsidRPr="00E60F16" w:rsidR="00E2149D">
        <w:rPr>
          <w:rFonts w:ascii="Times New Roman" w:hAnsi="Times New Roman"/>
          <w:bCs/>
        </w:rPr>
        <w:t xml:space="preserve"> (i.e</w:t>
      </w:r>
      <w:r w:rsidRPr="00E60F16" w:rsidR="00647C9E">
        <w:rPr>
          <w:rFonts w:ascii="Times New Roman" w:hAnsi="Times New Roman"/>
          <w:bCs/>
        </w:rPr>
        <w:t>.</w:t>
      </w:r>
      <w:r w:rsidRPr="00E60F16" w:rsidR="00E2149D">
        <w:rPr>
          <w:rFonts w:ascii="Times New Roman" w:hAnsi="Times New Roman"/>
          <w:bCs/>
        </w:rPr>
        <w:t xml:space="preserve">, about 18 case files are reviewed per consultation program).  </w:t>
      </w:r>
      <w:r w:rsidRPr="00E60F16" w:rsidR="00647C9E">
        <w:rPr>
          <w:rFonts w:ascii="Times New Roman" w:hAnsi="Times New Roman"/>
          <w:bCs/>
        </w:rPr>
        <w:t xml:space="preserve">The </w:t>
      </w:r>
      <w:r w:rsidRPr="00E60F16" w:rsidR="00E2149D">
        <w:rPr>
          <w:rFonts w:ascii="Times New Roman" w:hAnsi="Times New Roman"/>
          <w:bCs/>
        </w:rPr>
        <w:t xml:space="preserve">case </w:t>
      </w:r>
      <w:r w:rsidRPr="00E60F16" w:rsidR="00647C9E">
        <w:rPr>
          <w:rFonts w:ascii="Times New Roman" w:hAnsi="Times New Roman"/>
          <w:bCs/>
        </w:rPr>
        <w:t xml:space="preserve">files are reviewed by </w:t>
      </w:r>
      <w:r w:rsidRPr="00E60F16" w:rsidR="000E157B">
        <w:rPr>
          <w:rFonts w:ascii="Times New Roman" w:hAnsi="Times New Roman"/>
          <w:bCs/>
        </w:rPr>
        <w:t xml:space="preserve">OSHA’s Regional Consultation </w:t>
      </w:r>
      <w:r w:rsidRPr="00E60F16" w:rsidR="00647C9E">
        <w:rPr>
          <w:rFonts w:ascii="Times New Roman" w:hAnsi="Times New Roman"/>
          <w:bCs/>
        </w:rPr>
        <w:t xml:space="preserve">Program Officers for quality of content only.  Preparation of </w:t>
      </w:r>
      <w:r w:rsidRPr="00E60F16" w:rsidR="00E2149D">
        <w:rPr>
          <w:rFonts w:ascii="Times New Roman" w:hAnsi="Times New Roman"/>
          <w:bCs/>
        </w:rPr>
        <w:t xml:space="preserve">case </w:t>
      </w:r>
      <w:r w:rsidRPr="00E60F16" w:rsidR="00647C9E">
        <w:rPr>
          <w:rFonts w:ascii="Times New Roman" w:hAnsi="Times New Roman"/>
          <w:bCs/>
        </w:rPr>
        <w:t xml:space="preserve">files for review is a function performed by clerical workers of the </w:t>
      </w:r>
      <w:r w:rsidRPr="00E60F16" w:rsidR="000E157B">
        <w:rPr>
          <w:rFonts w:ascii="Times New Roman" w:hAnsi="Times New Roman"/>
          <w:bCs/>
        </w:rPr>
        <w:t>s</w:t>
      </w:r>
      <w:r w:rsidRPr="00E60F16" w:rsidR="00647C9E">
        <w:rPr>
          <w:rFonts w:ascii="Times New Roman" w:hAnsi="Times New Roman"/>
          <w:bCs/>
        </w:rPr>
        <w:t>tate</w:t>
      </w:r>
      <w:r w:rsidRPr="00E60F16" w:rsidR="000E157B">
        <w:rPr>
          <w:rFonts w:ascii="Times New Roman" w:hAnsi="Times New Roman"/>
          <w:bCs/>
        </w:rPr>
        <w:t xml:space="preserve"> Consultation program</w:t>
      </w:r>
      <w:r w:rsidRPr="00E60F16" w:rsidR="00647C9E">
        <w:rPr>
          <w:rFonts w:ascii="Times New Roman" w:hAnsi="Times New Roman"/>
          <w:bCs/>
        </w:rPr>
        <w:t xml:space="preserve">.  There are 26 </w:t>
      </w:r>
      <w:r w:rsidRPr="00E60F16" w:rsidR="00E2149D">
        <w:rPr>
          <w:rFonts w:ascii="Times New Roman" w:hAnsi="Times New Roman"/>
          <w:bCs/>
        </w:rPr>
        <w:t xml:space="preserve">Consultation </w:t>
      </w:r>
      <w:r w:rsidRPr="00E60F16" w:rsidR="00E62CF9">
        <w:rPr>
          <w:rFonts w:ascii="Times New Roman" w:hAnsi="Times New Roman"/>
          <w:bCs/>
        </w:rPr>
        <w:t>programs,</w:t>
      </w:r>
      <w:r w:rsidRPr="00E60F16" w:rsidR="00E2149D">
        <w:rPr>
          <w:rFonts w:ascii="Times New Roman" w:hAnsi="Times New Roman"/>
          <w:bCs/>
        </w:rPr>
        <w:t xml:space="preserve"> </w:t>
      </w:r>
      <w:r w:rsidRPr="00E60F16" w:rsidR="00647C9E">
        <w:rPr>
          <w:rFonts w:ascii="Times New Roman" w:hAnsi="Times New Roman"/>
          <w:bCs/>
        </w:rPr>
        <w:t xml:space="preserve">and 18 </w:t>
      </w:r>
      <w:r w:rsidRPr="00E60F16" w:rsidR="00E2149D">
        <w:rPr>
          <w:rFonts w:ascii="Times New Roman" w:hAnsi="Times New Roman"/>
          <w:bCs/>
        </w:rPr>
        <w:t xml:space="preserve">case files </w:t>
      </w:r>
      <w:r w:rsidRPr="00E60F16" w:rsidR="00647C9E">
        <w:rPr>
          <w:rFonts w:ascii="Times New Roman" w:hAnsi="Times New Roman"/>
          <w:bCs/>
        </w:rPr>
        <w:t xml:space="preserve">reviewed per </w:t>
      </w:r>
      <w:r w:rsidRPr="00E60F16" w:rsidR="00B33D48">
        <w:rPr>
          <w:rFonts w:ascii="Times New Roman" w:hAnsi="Times New Roman"/>
          <w:bCs/>
        </w:rPr>
        <w:t xml:space="preserve">Consultation program </w:t>
      </w:r>
      <w:r w:rsidRPr="00E60F16" w:rsidR="00647C9E">
        <w:rPr>
          <w:rFonts w:ascii="Times New Roman" w:hAnsi="Times New Roman"/>
          <w:bCs/>
        </w:rPr>
        <w:t xml:space="preserve">per year, totaling 468 reports.  It takes 30 minutes (.5 </w:t>
      </w:r>
      <w:r w:rsidR="009A7CBB">
        <w:rPr>
          <w:rFonts w:ascii="Times New Roman" w:hAnsi="Times New Roman"/>
          <w:bCs/>
        </w:rPr>
        <w:t>hours) to prepare each file for review,</w:t>
      </w:r>
      <w:r w:rsidRPr="00E60F16">
        <w:rPr>
          <w:rFonts w:ascii="Times New Roman" w:hAnsi="Times New Roman"/>
          <w:bCs/>
        </w:rPr>
        <w:t xml:space="preserve"> resulting in 234 total hours.  </w:t>
      </w:r>
    </w:p>
    <w:p w:rsidR="007E42DB" w:rsidRPr="00E60F16" w:rsidP="00693D26" w14:paraId="0CB043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647C9E" w:rsidRPr="00E60F16" w:rsidP="00693D26" w14:paraId="612C2C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Th</w:t>
      </w:r>
      <w:r w:rsidRPr="00E60F16" w:rsidR="00E2149D">
        <w:rPr>
          <w:rFonts w:ascii="Times New Roman" w:hAnsi="Times New Roman"/>
          <w:bCs/>
        </w:rPr>
        <w:t>e biennial</w:t>
      </w:r>
      <w:r w:rsidRPr="00E60F16">
        <w:rPr>
          <w:rFonts w:ascii="Times New Roman" w:hAnsi="Times New Roman"/>
          <w:bCs/>
        </w:rPr>
        <w:t xml:space="preserve"> review of On-Site Consultation programs is routine and not specific to the studies for which this OMB approval is being requested</w:t>
      </w:r>
      <w:r w:rsidRPr="00E60F16" w:rsidR="00E80621">
        <w:rPr>
          <w:rFonts w:ascii="Times New Roman" w:hAnsi="Times New Roman"/>
          <w:bCs/>
        </w:rPr>
        <w:t>, therefore</w:t>
      </w:r>
      <w:r w:rsidRPr="00E60F16" w:rsidR="00C75CAB">
        <w:rPr>
          <w:rFonts w:ascii="Times New Roman" w:hAnsi="Times New Roman"/>
          <w:bCs/>
        </w:rPr>
        <w:t>,</w:t>
      </w:r>
      <w:r w:rsidRPr="00E60F16" w:rsidR="00E80621">
        <w:rPr>
          <w:rFonts w:ascii="Times New Roman" w:hAnsi="Times New Roman"/>
          <w:bCs/>
        </w:rPr>
        <w:t xml:space="preserve"> it is not included in Table 1</w:t>
      </w:r>
      <w:r w:rsidRPr="00E60F16" w:rsidR="00B33D48">
        <w:rPr>
          <w:rFonts w:ascii="Times New Roman" w:hAnsi="Times New Roman"/>
          <w:bCs/>
        </w:rPr>
        <w:t>a or 1b</w:t>
      </w:r>
      <w:r w:rsidRPr="00E60F16">
        <w:rPr>
          <w:rFonts w:ascii="Times New Roman" w:hAnsi="Times New Roman"/>
          <w:bCs/>
        </w:rPr>
        <w:t>.</w:t>
      </w:r>
    </w:p>
    <w:p w:rsidR="00647C9E" w:rsidRPr="00E60F16" w:rsidP="00647C9E" w14:paraId="76A1E5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C1B74" w:rsidRPr="00E60F16" w:rsidP="00273E2A" w14:paraId="3BEC75F9" w14:textId="77777777">
      <w:pPr>
        <w:pStyle w:val="ListParagraph"/>
        <w:widowControl/>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Cs/>
        </w:rPr>
      </w:pPr>
      <w:r w:rsidRPr="00E60F16">
        <w:rPr>
          <w:rFonts w:ascii="Times New Roman" w:hAnsi="Times New Roman"/>
          <w:bCs/>
        </w:rPr>
        <w:t>1908.10(c)</w:t>
      </w:r>
    </w:p>
    <w:p w:rsidR="00647C9E" w:rsidRPr="00E60F16" w:rsidP="00273E2A" w14:paraId="79769B68"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47C9E" w:rsidRPr="00E60F16" w:rsidP="00693D26" w14:paraId="5634EF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Prepare and submit Annual Cooperative Agreement.</w:t>
      </w:r>
    </w:p>
    <w:p w:rsidR="00647C9E" w:rsidRPr="00E60F16" w:rsidP="00693D26" w14:paraId="47DC76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647C9E" w:rsidRPr="00E60F16" w:rsidP="007C6920" w14:paraId="6FC948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Each of the 5</w:t>
      </w:r>
      <w:r w:rsidRPr="00E60F16" w:rsidR="00991FB8">
        <w:rPr>
          <w:rFonts w:ascii="Times New Roman" w:hAnsi="Times New Roman"/>
          <w:bCs/>
        </w:rPr>
        <w:t>3</w:t>
      </w:r>
      <w:r w:rsidRPr="00E60F16">
        <w:rPr>
          <w:rFonts w:ascii="Times New Roman" w:hAnsi="Times New Roman"/>
          <w:bCs/>
        </w:rPr>
        <w:t xml:space="preserve"> </w:t>
      </w:r>
      <w:r w:rsidRPr="00E60F16" w:rsidR="0015627A">
        <w:rPr>
          <w:rFonts w:ascii="Times New Roman" w:hAnsi="Times New Roman"/>
          <w:bCs/>
        </w:rPr>
        <w:t>On-Site Consultation program</w:t>
      </w:r>
      <w:r w:rsidRPr="00E60F16">
        <w:rPr>
          <w:rFonts w:ascii="Times New Roman" w:hAnsi="Times New Roman"/>
          <w:bCs/>
        </w:rPr>
        <w:t>s</w:t>
      </w:r>
      <w:r>
        <w:rPr>
          <w:rStyle w:val="FootnoteReference"/>
          <w:rFonts w:ascii="Times New Roman" w:hAnsi="Times New Roman"/>
          <w:bCs/>
        </w:rPr>
        <w:footnoteReference w:id="6"/>
      </w:r>
      <w:r w:rsidRPr="00E60F16">
        <w:rPr>
          <w:rFonts w:ascii="Times New Roman" w:hAnsi="Times New Roman"/>
          <w:bCs/>
        </w:rPr>
        <w:t xml:space="preserve"> prepares and submits an annual cooperative agreement</w:t>
      </w:r>
      <w:r w:rsidRPr="00E60F16" w:rsidR="00C75CAB">
        <w:rPr>
          <w:rFonts w:ascii="Times New Roman" w:hAnsi="Times New Roman"/>
          <w:bCs/>
        </w:rPr>
        <w:t xml:space="preserve"> to OSHA</w:t>
      </w:r>
      <w:r w:rsidRPr="00E60F16">
        <w:rPr>
          <w:rFonts w:ascii="Times New Roman" w:hAnsi="Times New Roman"/>
          <w:bCs/>
        </w:rPr>
        <w:t xml:space="preserve">.  This function is performed by On-Site Consultation Program </w:t>
      </w:r>
      <w:r w:rsidRPr="00E60F16" w:rsidR="00F6391A">
        <w:rPr>
          <w:rFonts w:ascii="Times New Roman" w:hAnsi="Times New Roman"/>
          <w:bCs/>
        </w:rPr>
        <w:t>M</w:t>
      </w:r>
      <w:r w:rsidRPr="00E60F16">
        <w:rPr>
          <w:rFonts w:ascii="Times New Roman" w:hAnsi="Times New Roman"/>
          <w:bCs/>
        </w:rPr>
        <w:t>anagers</w:t>
      </w:r>
      <w:r w:rsidRPr="00E60F16" w:rsidR="00323FC9">
        <w:rPr>
          <w:rFonts w:ascii="Times New Roman" w:hAnsi="Times New Roman"/>
          <w:bCs/>
        </w:rPr>
        <w:t xml:space="preserve"> (CPMs)</w:t>
      </w:r>
      <w:r w:rsidRPr="00E60F16">
        <w:rPr>
          <w:rFonts w:ascii="Times New Roman" w:hAnsi="Times New Roman"/>
          <w:bCs/>
        </w:rPr>
        <w:t xml:space="preserve">.  </w:t>
      </w:r>
      <w:r w:rsidRPr="00E60F16" w:rsidR="009D111F">
        <w:rPr>
          <w:rFonts w:ascii="Times New Roman" w:hAnsi="Times New Roman"/>
          <w:bCs/>
        </w:rPr>
        <w:t>OSHA estimates</w:t>
      </w:r>
      <w:r w:rsidRPr="00E60F16" w:rsidR="007E42DB">
        <w:rPr>
          <w:rFonts w:ascii="Times New Roman" w:hAnsi="Times New Roman"/>
          <w:bCs/>
        </w:rPr>
        <w:t xml:space="preserve"> an average of 32 hours of CPMs’ </w:t>
      </w:r>
      <w:r w:rsidRPr="00E60F16">
        <w:rPr>
          <w:rFonts w:ascii="Times New Roman" w:hAnsi="Times New Roman"/>
          <w:bCs/>
        </w:rPr>
        <w:t xml:space="preserve">time, and 8 hours of clerical time annually for a total of 40 hours per </w:t>
      </w:r>
      <w:r w:rsidRPr="00E60F16" w:rsidR="00FC5591">
        <w:rPr>
          <w:rFonts w:ascii="Times New Roman" w:hAnsi="Times New Roman"/>
          <w:bCs/>
        </w:rPr>
        <w:t>C</w:t>
      </w:r>
      <w:r w:rsidRPr="00E60F16" w:rsidR="007E42DB">
        <w:rPr>
          <w:rFonts w:ascii="Times New Roman" w:hAnsi="Times New Roman"/>
          <w:bCs/>
        </w:rPr>
        <w:t xml:space="preserve">ooperative </w:t>
      </w:r>
      <w:r w:rsidRPr="00E60F16" w:rsidR="00FC5591">
        <w:rPr>
          <w:rFonts w:ascii="Times New Roman" w:hAnsi="Times New Roman"/>
          <w:bCs/>
        </w:rPr>
        <w:t>A</w:t>
      </w:r>
      <w:r w:rsidRPr="00E60F16">
        <w:rPr>
          <w:rFonts w:ascii="Times New Roman" w:hAnsi="Times New Roman"/>
          <w:bCs/>
        </w:rPr>
        <w:t xml:space="preserve">greement.   </w:t>
      </w:r>
    </w:p>
    <w:p w:rsidR="008D150B" w:rsidRPr="00E60F16" w:rsidP="007454B3" w14:paraId="17FC35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8D150B" w:rsidRPr="00E60F16" w:rsidP="00693D26" w14:paraId="419592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Pr>
          <w:rFonts w:ascii="Times New Roman" w:hAnsi="Times New Roman"/>
          <w:bCs/>
        </w:rPr>
        <w:t>State on-site consultation programs routinely prepare and submit the annual Cooperative Agreements;</w:t>
      </w:r>
      <w:r w:rsidRPr="00E60F16" w:rsidR="00C75CAB">
        <w:rPr>
          <w:rFonts w:ascii="Times New Roman" w:hAnsi="Times New Roman"/>
          <w:bCs/>
        </w:rPr>
        <w:t xml:space="preserve"> </w:t>
      </w:r>
      <w:r w:rsidRPr="00E60F16" w:rsidR="00CC7954">
        <w:rPr>
          <w:rFonts w:ascii="Times New Roman" w:hAnsi="Times New Roman"/>
          <w:bCs/>
        </w:rPr>
        <w:t xml:space="preserve">therefore, </w:t>
      </w:r>
      <w:r w:rsidRPr="00E60F16" w:rsidR="00076102">
        <w:rPr>
          <w:rFonts w:ascii="Times New Roman" w:hAnsi="Times New Roman"/>
          <w:bCs/>
        </w:rPr>
        <w:t>they do not represent a separate requirement associated with the</w:t>
      </w:r>
      <w:r w:rsidRPr="00E60F16">
        <w:rPr>
          <w:rFonts w:ascii="Times New Roman" w:hAnsi="Times New Roman"/>
          <w:bCs/>
        </w:rPr>
        <w:t xml:space="preserve"> studies for which this OMB approval is being requested</w:t>
      </w:r>
      <w:r w:rsidRPr="00E60F16" w:rsidR="00CC7954">
        <w:rPr>
          <w:rFonts w:ascii="Times New Roman" w:hAnsi="Times New Roman"/>
          <w:bCs/>
        </w:rPr>
        <w:t xml:space="preserve"> (for this reason, </w:t>
      </w:r>
      <w:r w:rsidRPr="00E60F16" w:rsidR="00076102">
        <w:rPr>
          <w:rFonts w:ascii="Times New Roman" w:hAnsi="Times New Roman"/>
          <w:bCs/>
        </w:rPr>
        <w:t>they are not</w:t>
      </w:r>
      <w:r w:rsidRPr="00E60F16" w:rsidR="00BA2075">
        <w:rPr>
          <w:rFonts w:ascii="Times New Roman" w:hAnsi="Times New Roman"/>
          <w:bCs/>
        </w:rPr>
        <w:t xml:space="preserve"> included in Table 1</w:t>
      </w:r>
      <w:r w:rsidRPr="00E60F16" w:rsidR="00B33D48">
        <w:rPr>
          <w:rFonts w:ascii="Times New Roman" w:hAnsi="Times New Roman"/>
          <w:bCs/>
        </w:rPr>
        <w:t>a or 1b</w:t>
      </w:r>
      <w:r w:rsidRPr="00E60F16" w:rsidR="00CC7954">
        <w:rPr>
          <w:rFonts w:ascii="Times New Roman" w:hAnsi="Times New Roman"/>
          <w:bCs/>
        </w:rPr>
        <w:t>)</w:t>
      </w:r>
      <w:r w:rsidRPr="00E60F16">
        <w:rPr>
          <w:rFonts w:ascii="Times New Roman" w:hAnsi="Times New Roman"/>
          <w:bCs/>
        </w:rPr>
        <w:t>.</w:t>
      </w:r>
    </w:p>
    <w:p w:rsidR="00FA2876" w:rsidRPr="00E60F16" w:rsidP="00F6391A" w14:paraId="2228F089" w14:textId="77777777">
      <w:pPr>
        <w:keepNext/>
        <w:rPr>
          <w:rFonts w:ascii="Times New Roman" w:hAnsi="Times New Roman"/>
          <w:b/>
        </w:rPr>
      </w:pPr>
    </w:p>
    <w:p w:rsidR="00C42DF9" w:rsidRPr="00E60F16" w:rsidP="00242B84" w14:paraId="17A06AA6" w14:textId="77777777">
      <w:pPr>
        <w:keepNext/>
        <w:widowControl/>
        <w:rPr>
          <w:rFonts w:ascii="Times New Roman" w:hAnsi="Times New Roman"/>
          <w:i/>
        </w:rPr>
      </w:pPr>
      <w:r w:rsidRPr="00E60F16">
        <w:rPr>
          <w:rFonts w:ascii="Times New Roman" w:hAnsi="Times New Roman"/>
          <w:b/>
        </w:rPr>
        <w:t>Table 1</w:t>
      </w:r>
      <w:r w:rsidRPr="00E60F16" w:rsidR="00AA2D32">
        <w:rPr>
          <w:rFonts w:ascii="Times New Roman" w:hAnsi="Times New Roman"/>
          <w:b/>
        </w:rPr>
        <w:t>a</w:t>
      </w:r>
      <w:r w:rsidRPr="00E60F16">
        <w:rPr>
          <w:rFonts w:ascii="Times New Roman" w:hAnsi="Times New Roman"/>
          <w:b/>
        </w:rPr>
        <w:t xml:space="preserve">: </w:t>
      </w:r>
      <w:r w:rsidRPr="00E60F16" w:rsidR="006626FF">
        <w:rPr>
          <w:rFonts w:ascii="Times New Roman" w:hAnsi="Times New Roman"/>
          <w:b/>
        </w:rPr>
        <w:t xml:space="preserve">Estimated Respondent </w:t>
      </w:r>
      <w:r w:rsidRPr="00E60F16" w:rsidR="00AA428A">
        <w:rPr>
          <w:rFonts w:ascii="Times New Roman" w:hAnsi="Times New Roman"/>
          <w:b/>
        </w:rPr>
        <w:t>(</w:t>
      </w:r>
      <w:r w:rsidRPr="00E60F16">
        <w:rPr>
          <w:rFonts w:ascii="Times New Roman" w:hAnsi="Times New Roman"/>
          <w:b/>
        </w:rPr>
        <w:t xml:space="preserve">State Consultation </w:t>
      </w:r>
      <w:r w:rsidRPr="00E60F16" w:rsidR="00EA1011">
        <w:rPr>
          <w:rFonts w:ascii="Times New Roman" w:hAnsi="Times New Roman"/>
          <w:b/>
        </w:rPr>
        <w:t>p</w:t>
      </w:r>
      <w:r w:rsidRPr="00E60F16" w:rsidR="00B17155">
        <w:rPr>
          <w:rFonts w:ascii="Times New Roman" w:hAnsi="Times New Roman"/>
          <w:b/>
        </w:rPr>
        <w:t>rograms</w:t>
      </w:r>
      <w:r w:rsidRPr="00E60F16" w:rsidR="00AA428A">
        <w:rPr>
          <w:rFonts w:ascii="Times New Roman" w:hAnsi="Times New Roman"/>
          <w:b/>
        </w:rPr>
        <w:t>)</w:t>
      </w:r>
      <w:r w:rsidRPr="00E60F16" w:rsidR="00B17155">
        <w:rPr>
          <w:rFonts w:ascii="Times New Roman" w:hAnsi="Times New Roman"/>
          <w:b/>
        </w:rPr>
        <w:t xml:space="preserve"> Hour</w:t>
      </w:r>
      <w:r w:rsidRPr="00E60F16" w:rsidR="00174C14">
        <w:rPr>
          <w:rFonts w:ascii="Times New Roman" w:hAnsi="Times New Roman"/>
          <w:b/>
        </w:rPr>
        <w:t xml:space="preserve"> </w:t>
      </w:r>
      <w:r w:rsidRPr="00E60F16" w:rsidR="006626FF">
        <w:rPr>
          <w:rFonts w:ascii="Times New Roman" w:hAnsi="Times New Roman"/>
          <w:b/>
        </w:rPr>
        <w:t xml:space="preserve">and </w:t>
      </w:r>
      <w:r w:rsidRPr="00E60F16" w:rsidR="00174C14">
        <w:rPr>
          <w:rFonts w:ascii="Times New Roman" w:hAnsi="Times New Roman"/>
          <w:b/>
        </w:rPr>
        <w:t xml:space="preserve">Cost </w:t>
      </w:r>
      <w:r w:rsidRPr="00E60F16" w:rsidR="006626FF">
        <w:rPr>
          <w:rFonts w:ascii="Times New Roman" w:hAnsi="Times New Roman"/>
          <w:b/>
        </w:rPr>
        <w:t>Burden</w:t>
      </w:r>
      <w:r w:rsidRPr="00E60F16" w:rsidR="00182367">
        <w:rPr>
          <w:rFonts w:ascii="Times New Roman" w:hAnsi="Times New Roman"/>
          <w:b/>
        </w:rPr>
        <w:t xml:space="preserve"> for </w:t>
      </w:r>
      <w:r w:rsidRPr="00E60F16" w:rsidR="00242B84">
        <w:rPr>
          <w:rFonts w:ascii="Times New Roman" w:hAnsi="Times New Roman"/>
          <w:b/>
        </w:rPr>
        <w:t xml:space="preserve">the </w:t>
      </w:r>
      <w:r w:rsidRPr="00E60F16" w:rsidR="00182367">
        <w:rPr>
          <w:rFonts w:ascii="Times New Roman" w:hAnsi="Times New Roman"/>
          <w:b/>
        </w:rPr>
        <w:t>Pilot Study</w:t>
      </w: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5"/>
        <w:gridCol w:w="1530"/>
        <w:gridCol w:w="1340"/>
        <w:gridCol w:w="10"/>
        <w:gridCol w:w="1170"/>
        <w:gridCol w:w="146"/>
        <w:gridCol w:w="1024"/>
        <w:gridCol w:w="146"/>
        <w:gridCol w:w="900"/>
        <w:gridCol w:w="114"/>
        <w:gridCol w:w="910"/>
        <w:gridCol w:w="146"/>
        <w:gridCol w:w="754"/>
        <w:gridCol w:w="146"/>
        <w:gridCol w:w="1284"/>
      </w:tblGrid>
      <w:tr w14:paraId="76B7D184" w14:textId="77777777" w:rsidTr="001646CF">
        <w:tblPrEx>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23"/>
          <w:tblHeader/>
          <w:jc w:val="center"/>
        </w:trPr>
        <w:tc>
          <w:tcPr>
            <w:tcW w:w="1805" w:type="dxa"/>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00282299" w14:textId="77777777">
            <w:pPr>
              <w:spacing w:line="276" w:lineRule="auto"/>
              <w:jc w:val="center"/>
              <w:rPr>
                <w:rFonts w:ascii="Times New Roman" w:hAnsi="Times New Roman"/>
                <w:b/>
                <w:sz w:val="20"/>
                <w:szCs w:val="20"/>
              </w:rPr>
            </w:pPr>
            <w:r w:rsidRPr="00E60F16">
              <w:rPr>
                <w:rFonts w:ascii="Times New Roman" w:hAnsi="Times New Roman"/>
                <w:b/>
                <w:sz w:val="20"/>
                <w:szCs w:val="20"/>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1EC3F537" w14:textId="77777777">
            <w:pPr>
              <w:spacing w:line="276" w:lineRule="auto"/>
              <w:jc w:val="center"/>
              <w:rPr>
                <w:rFonts w:ascii="Times New Roman" w:hAnsi="Times New Roman"/>
                <w:b/>
                <w:sz w:val="18"/>
                <w:szCs w:val="18"/>
              </w:rPr>
            </w:pPr>
            <w:r w:rsidRPr="00E60F16">
              <w:rPr>
                <w:rFonts w:ascii="Times New Roman" w:hAnsi="Times New Roman"/>
                <w:b/>
                <w:sz w:val="18"/>
                <w:szCs w:val="18"/>
              </w:rPr>
              <w:t>Type of</w:t>
            </w:r>
          </w:p>
          <w:p w:rsidR="003A12BC" w:rsidRPr="00E60F16" w:rsidP="0044392A" w14:paraId="5EA30A35" w14:textId="77777777">
            <w:pPr>
              <w:spacing w:line="276" w:lineRule="auto"/>
              <w:jc w:val="center"/>
              <w:rPr>
                <w:rFonts w:ascii="Times New Roman" w:hAnsi="Times New Roman"/>
                <w:b/>
                <w:sz w:val="20"/>
                <w:szCs w:val="20"/>
              </w:rPr>
            </w:pPr>
            <w:r w:rsidRPr="00E60F16">
              <w:rPr>
                <w:rFonts w:ascii="Times New Roman" w:hAnsi="Times New Roman"/>
                <w:b/>
                <w:sz w:val="18"/>
                <w:szCs w:val="18"/>
              </w:rPr>
              <w:t>Respondent</w:t>
            </w:r>
            <w:r>
              <w:rPr>
                <w:rStyle w:val="FootnoteReference"/>
                <w:rFonts w:ascii="Times New Roman" w:hAnsi="Times New Roman"/>
                <w:b/>
                <w:sz w:val="20"/>
                <w:szCs w:val="20"/>
              </w:rPr>
              <w:footnoteReference w:id="7"/>
            </w:r>
          </w:p>
        </w:tc>
        <w:tc>
          <w:tcPr>
            <w:tcW w:w="1350" w:type="dxa"/>
            <w:gridSpan w:val="2"/>
            <w:tcBorders>
              <w:top w:val="single" w:sz="4" w:space="0" w:color="auto"/>
              <w:left w:val="single" w:sz="4" w:space="0" w:color="auto"/>
              <w:bottom w:val="single" w:sz="4" w:space="0" w:color="auto"/>
              <w:right w:val="single" w:sz="4" w:space="0" w:color="auto"/>
            </w:tcBorders>
            <w:shd w:val="clear" w:color="auto" w:fill="8DB3E2"/>
          </w:tcPr>
          <w:p w:rsidR="003A12BC" w:rsidRPr="00E60F16" w:rsidP="00046664" w14:paraId="2FCB8991"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No. of </w:t>
            </w:r>
            <w:r w:rsidRPr="00E60F16">
              <w:rPr>
                <w:rFonts w:ascii="Times New Roman" w:hAnsi="Times New Roman"/>
                <w:b/>
                <w:sz w:val="18"/>
                <w:szCs w:val="18"/>
              </w:rPr>
              <w:t>Respondents</w:t>
            </w:r>
          </w:p>
          <w:p w:rsidR="003A12BC" w:rsidRPr="00E60F16" w:rsidP="0044392A" w14:paraId="2E695240" w14:textId="77777777">
            <w:pPr>
              <w:spacing w:line="276" w:lineRule="auto"/>
              <w:jc w:val="center"/>
              <w:rPr>
                <w:rFonts w:ascii="Times New Roman" w:hAnsi="Times New Roman"/>
                <w:b/>
                <w:sz w:val="20"/>
                <w:szCs w:val="20"/>
              </w:rPr>
            </w:pPr>
          </w:p>
          <w:p w:rsidR="003A12BC" w:rsidRPr="00E60F16" w:rsidP="0044392A" w14:paraId="19851B2C" w14:textId="77777777">
            <w:pPr>
              <w:spacing w:line="276" w:lineRule="auto"/>
              <w:jc w:val="center"/>
              <w:rPr>
                <w:rFonts w:ascii="Times New Roman" w:hAnsi="Times New Roman"/>
                <w:b/>
                <w:sz w:val="20"/>
                <w:szCs w:val="20"/>
              </w:rPr>
            </w:pPr>
          </w:p>
          <w:p w:rsidR="003A12BC" w:rsidRPr="00E60F16" w:rsidP="0044392A" w14:paraId="22702A1F" w14:textId="77777777">
            <w:pPr>
              <w:spacing w:line="276" w:lineRule="auto"/>
              <w:jc w:val="center"/>
              <w:rPr>
                <w:rFonts w:ascii="Times New Roman" w:hAnsi="Times New Roman"/>
                <w:b/>
                <w:sz w:val="20"/>
                <w:szCs w:val="20"/>
              </w:rPr>
            </w:pPr>
          </w:p>
          <w:p w:rsidR="003A12BC" w:rsidRPr="00E60F16" w:rsidP="0044392A" w14:paraId="440CB783" w14:textId="77777777">
            <w:pPr>
              <w:spacing w:line="276" w:lineRule="auto"/>
              <w:jc w:val="center"/>
              <w:rPr>
                <w:rFonts w:ascii="Times New Roman" w:hAnsi="Times New Roman"/>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36E8E4AC" w14:textId="77777777">
            <w:pPr>
              <w:spacing w:line="276" w:lineRule="auto"/>
              <w:jc w:val="center"/>
              <w:rPr>
                <w:rFonts w:ascii="Times New Roman" w:hAnsi="Times New Roman"/>
                <w:b/>
                <w:sz w:val="20"/>
                <w:szCs w:val="20"/>
              </w:rPr>
            </w:pPr>
            <w:r w:rsidRPr="00E60F16">
              <w:rPr>
                <w:rFonts w:ascii="Times New Roman" w:hAnsi="Times New Roman"/>
                <w:b/>
                <w:sz w:val="20"/>
                <w:szCs w:val="20"/>
              </w:rPr>
              <w:t>No. of Responses</w:t>
            </w:r>
          </w:p>
          <w:p w:rsidR="003A12BC" w:rsidRPr="00E60F16" w:rsidP="0044392A" w14:paraId="1F996A49"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per </w:t>
            </w:r>
            <w:r w:rsidRPr="00E60F16">
              <w:rPr>
                <w:rFonts w:ascii="Times New Roman" w:hAnsi="Times New Roman"/>
                <w:b/>
                <w:sz w:val="18"/>
                <w:szCs w:val="18"/>
              </w:rPr>
              <w:t>Respondent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5B8F3727"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 No. of Responses</w:t>
            </w:r>
          </w:p>
        </w:tc>
        <w:tc>
          <w:tcPr>
            <w:tcW w:w="1160" w:type="dxa"/>
            <w:gridSpan w:val="3"/>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2043BBB2" w14:textId="77777777">
            <w:pPr>
              <w:spacing w:line="276" w:lineRule="auto"/>
              <w:jc w:val="center"/>
              <w:rPr>
                <w:rFonts w:ascii="Times New Roman" w:hAnsi="Times New Roman"/>
                <w:b/>
                <w:sz w:val="20"/>
                <w:szCs w:val="20"/>
              </w:rPr>
            </w:pPr>
            <w:r w:rsidRPr="00E60F16">
              <w:rPr>
                <w:rFonts w:ascii="Times New Roman" w:hAnsi="Times New Roman"/>
                <w:b/>
                <w:sz w:val="18"/>
                <w:szCs w:val="18"/>
              </w:rPr>
              <w:t xml:space="preserve">Average </w:t>
            </w:r>
            <w:r w:rsidRPr="00E60F16">
              <w:rPr>
                <w:rFonts w:ascii="Times New Roman" w:hAnsi="Times New Roman"/>
                <w:b/>
                <w:sz w:val="20"/>
                <w:szCs w:val="20"/>
              </w:rPr>
              <w:t>Burden</w:t>
            </w:r>
            <w:r w:rsidR="00A20BA5">
              <w:rPr>
                <w:rFonts w:ascii="Times New Roman" w:hAnsi="Times New Roman"/>
                <w:b/>
                <w:sz w:val="20"/>
                <w:szCs w:val="20"/>
              </w:rPr>
              <w:t xml:space="preserve"> per Response</w:t>
            </w:r>
            <w:r w:rsidRPr="00E60F16">
              <w:rPr>
                <w:rFonts w:ascii="Times New Roman" w:hAnsi="Times New Roman"/>
                <w:b/>
                <w:sz w:val="20"/>
                <w:szCs w:val="20"/>
              </w:rPr>
              <w:t xml:space="preserve"> (Hours)</w:t>
            </w:r>
          </w:p>
        </w:tc>
        <w:tc>
          <w:tcPr>
            <w:tcW w:w="910" w:type="dxa"/>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61845E0C"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 Burden (Hours)</w:t>
            </w:r>
          </w:p>
        </w:tc>
        <w:tc>
          <w:tcPr>
            <w:tcW w:w="900" w:type="dxa"/>
            <w:gridSpan w:val="2"/>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2E18F004" w14:textId="77777777">
            <w:pPr>
              <w:spacing w:line="276" w:lineRule="auto"/>
              <w:jc w:val="center"/>
              <w:rPr>
                <w:rFonts w:ascii="Times New Roman" w:hAnsi="Times New Roman"/>
                <w:b/>
                <w:sz w:val="20"/>
                <w:szCs w:val="20"/>
              </w:rPr>
            </w:pPr>
            <w:r w:rsidRPr="00E60F16">
              <w:rPr>
                <w:rFonts w:ascii="Times New Roman" w:hAnsi="Times New Roman"/>
                <w:b/>
                <w:sz w:val="20"/>
                <w:szCs w:val="20"/>
              </w:rPr>
              <w:t>Hourly</w:t>
            </w:r>
          </w:p>
          <w:p w:rsidR="003A12BC" w:rsidRPr="00E60F16" w:rsidP="0044392A" w14:paraId="0DBC9463" w14:textId="77777777">
            <w:pPr>
              <w:spacing w:line="276" w:lineRule="auto"/>
              <w:jc w:val="center"/>
              <w:rPr>
                <w:rFonts w:ascii="Times New Roman" w:hAnsi="Times New Roman"/>
                <w:b/>
                <w:sz w:val="20"/>
                <w:szCs w:val="20"/>
              </w:rPr>
            </w:pPr>
            <w:r w:rsidRPr="00E60F16">
              <w:rPr>
                <w:rFonts w:ascii="Times New Roman" w:hAnsi="Times New Roman"/>
                <w:b/>
                <w:sz w:val="20"/>
                <w:szCs w:val="20"/>
              </w:rPr>
              <w:t>Wage Rate</w:t>
            </w:r>
          </w:p>
        </w:tc>
        <w:tc>
          <w:tcPr>
            <w:tcW w:w="1430" w:type="dxa"/>
            <w:gridSpan w:val="2"/>
            <w:tcBorders>
              <w:top w:val="single" w:sz="4" w:space="0" w:color="auto"/>
              <w:left w:val="single" w:sz="4" w:space="0" w:color="auto"/>
              <w:bottom w:val="single" w:sz="4" w:space="0" w:color="auto"/>
              <w:right w:val="single" w:sz="4" w:space="0" w:color="auto"/>
            </w:tcBorders>
            <w:shd w:val="clear" w:color="auto" w:fill="8DB3E2"/>
          </w:tcPr>
          <w:p w:rsidR="003A12BC" w:rsidRPr="00E60F16" w:rsidP="0044392A" w14:paraId="16953FA8"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 Burden Cost</w:t>
            </w:r>
          </w:p>
        </w:tc>
      </w:tr>
      <w:tr w14:paraId="2CE16193" w14:textId="77777777" w:rsidTr="00C7580B">
        <w:tblPrEx>
          <w:tblW w:w="11425" w:type="dxa"/>
          <w:jc w:val="center"/>
          <w:tblLayout w:type="fixed"/>
          <w:tblLook w:val="04A0"/>
        </w:tblPrEx>
        <w:trPr>
          <w:jc w:val="center"/>
        </w:trPr>
        <w:tc>
          <w:tcPr>
            <w:tcW w:w="11425" w:type="dxa"/>
            <w:gridSpan w:val="15"/>
            <w:tcBorders>
              <w:top w:val="single" w:sz="4" w:space="0" w:color="auto"/>
              <w:left w:val="single" w:sz="4" w:space="0" w:color="auto"/>
              <w:bottom w:val="single" w:sz="4" w:space="0" w:color="auto"/>
              <w:right w:val="single" w:sz="4" w:space="0" w:color="auto"/>
            </w:tcBorders>
          </w:tcPr>
          <w:p w:rsidR="0044392A" w:rsidRPr="00E60F16" w:rsidP="00693D26" w14:paraId="04EDABB8"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A. Safety and Health Program </w:t>
            </w:r>
            <w:r w:rsidRPr="00E60F16" w:rsidR="00874033">
              <w:rPr>
                <w:rFonts w:ascii="Times New Roman" w:hAnsi="Times New Roman"/>
                <w:b/>
                <w:sz w:val="20"/>
                <w:szCs w:val="20"/>
              </w:rPr>
              <w:t xml:space="preserve">(SHP) </w:t>
            </w:r>
            <w:r w:rsidRPr="00E60F16">
              <w:rPr>
                <w:rFonts w:ascii="Times New Roman" w:hAnsi="Times New Roman"/>
                <w:b/>
                <w:sz w:val="20"/>
                <w:szCs w:val="20"/>
              </w:rPr>
              <w:t>Assessment Worksheet (1908.6(e)(3))</w:t>
            </w:r>
          </w:p>
        </w:tc>
      </w:tr>
      <w:tr w14:paraId="5A379D5D"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rsidP="00693D26" w14:paraId="5D6912ED" w14:textId="77777777">
            <w:pPr>
              <w:spacing w:line="276" w:lineRule="auto"/>
              <w:jc w:val="center"/>
              <w:rPr>
                <w:rFonts w:ascii="Times New Roman" w:hAnsi="Times New Roman"/>
                <w:b/>
                <w:sz w:val="20"/>
                <w:szCs w:val="20"/>
              </w:rPr>
            </w:pPr>
            <w:r w:rsidRPr="00E60F16">
              <w:rPr>
                <w:rFonts w:ascii="Times New Roman" w:hAnsi="Times New Roman"/>
                <w:b/>
                <w:sz w:val="20"/>
                <w:szCs w:val="20"/>
              </w:rPr>
              <w:t>Pilot S</w:t>
            </w:r>
            <w:r w:rsidRPr="00E60F16" w:rsidR="00EE22BE">
              <w:rPr>
                <w:rFonts w:ascii="Times New Roman" w:hAnsi="Times New Roman"/>
                <w:b/>
                <w:sz w:val="20"/>
                <w:szCs w:val="20"/>
              </w:rPr>
              <w:t>HP Assessments</w:t>
            </w:r>
          </w:p>
        </w:tc>
        <w:tc>
          <w:tcPr>
            <w:tcW w:w="1530" w:type="dxa"/>
            <w:tcBorders>
              <w:top w:val="single" w:sz="4" w:space="0" w:color="auto"/>
              <w:left w:val="single" w:sz="4" w:space="0" w:color="auto"/>
              <w:bottom w:val="single" w:sz="4" w:space="0" w:color="auto"/>
              <w:right w:val="single" w:sz="4" w:space="0" w:color="auto"/>
            </w:tcBorders>
          </w:tcPr>
          <w:p w:rsidR="003A12BC" w:rsidRPr="00E60F16" w:rsidP="00693D26" w14:paraId="2307F5BA" w14:textId="77777777">
            <w:pPr>
              <w:spacing w:line="276" w:lineRule="auto"/>
              <w:jc w:val="center"/>
              <w:rPr>
                <w:rFonts w:ascii="Times New Roman" w:hAnsi="Times New Roman"/>
                <w:sz w:val="20"/>
                <w:szCs w:val="20"/>
              </w:rPr>
            </w:pPr>
            <w:r w:rsidRPr="00E60F16">
              <w:rPr>
                <w:rFonts w:ascii="Times New Roman" w:hAnsi="Times New Roman"/>
                <w:sz w:val="20"/>
                <w:szCs w:val="20"/>
              </w:rPr>
              <w:t>Consultants</w:t>
            </w:r>
          </w:p>
        </w:tc>
        <w:tc>
          <w:tcPr>
            <w:tcW w:w="1350" w:type="dxa"/>
            <w:gridSpan w:val="2"/>
            <w:tcBorders>
              <w:top w:val="single" w:sz="4" w:space="0" w:color="auto"/>
              <w:left w:val="single" w:sz="4" w:space="0" w:color="auto"/>
              <w:bottom w:val="single" w:sz="4" w:space="0" w:color="auto"/>
              <w:right w:val="single" w:sz="4" w:space="0" w:color="auto"/>
            </w:tcBorders>
          </w:tcPr>
          <w:p w:rsidR="003A12BC" w:rsidRPr="00E60F16" w:rsidP="00B52B32" w14:paraId="036A9C11" w14:textId="77777777">
            <w:pPr>
              <w:spacing w:line="276" w:lineRule="auto"/>
              <w:jc w:val="center"/>
              <w:rPr>
                <w:rFonts w:ascii="Times New Roman" w:hAnsi="Times New Roman"/>
                <w:sz w:val="20"/>
                <w:szCs w:val="20"/>
              </w:rPr>
            </w:pPr>
            <w:r w:rsidRPr="00E60F16">
              <w:rPr>
                <w:rFonts w:ascii="Times New Roman" w:hAnsi="Times New Roman"/>
                <w:sz w:val="20"/>
                <w:szCs w:val="20"/>
              </w:rPr>
              <w:t>20</w:t>
            </w:r>
            <w:r>
              <w:rPr>
                <w:rStyle w:val="FootnoteReference"/>
                <w:rFonts w:ascii="Times New Roman" w:hAnsi="Times New Roman"/>
                <w:b/>
                <w:sz w:val="18"/>
                <w:szCs w:val="18"/>
              </w:rPr>
              <w:footnoteReference w:id="8"/>
            </w:r>
          </w:p>
        </w:tc>
        <w:tc>
          <w:tcPr>
            <w:tcW w:w="1170" w:type="dxa"/>
            <w:tcBorders>
              <w:top w:val="single" w:sz="4" w:space="0" w:color="auto"/>
              <w:left w:val="single" w:sz="4" w:space="0" w:color="auto"/>
              <w:bottom w:val="single" w:sz="4" w:space="0" w:color="auto"/>
              <w:right w:val="single" w:sz="4" w:space="0" w:color="auto"/>
            </w:tcBorders>
          </w:tcPr>
          <w:p w:rsidR="003A12BC" w:rsidRPr="00E60F16" w:rsidP="00693D26" w14:paraId="2BF1F432" w14:textId="77777777">
            <w:pPr>
              <w:spacing w:line="276" w:lineRule="auto"/>
              <w:jc w:val="center"/>
              <w:rPr>
                <w:rFonts w:ascii="Times New Roman" w:hAnsi="Times New Roman"/>
                <w:sz w:val="20"/>
                <w:szCs w:val="20"/>
              </w:rPr>
            </w:pPr>
            <w:r w:rsidRPr="00E60F16">
              <w:rPr>
                <w:rFonts w:ascii="Times New Roman" w:hAnsi="Times New Roman"/>
                <w:sz w:val="20"/>
                <w:szCs w:val="20"/>
              </w:rPr>
              <w:t>1.</w:t>
            </w:r>
            <w:r w:rsidRPr="00E60F16" w:rsidR="00BE5953">
              <w:rPr>
                <w:rFonts w:ascii="Times New Roman" w:hAnsi="Times New Roman"/>
                <w:sz w:val="20"/>
                <w:szCs w:val="20"/>
              </w:rPr>
              <w:t>2</w:t>
            </w: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7C31E898" w14:textId="77777777">
            <w:pPr>
              <w:spacing w:line="276" w:lineRule="auto"/>
              <w:jc w:val="center"/>
              <w:rPr>
                <w:rFonts w:ascii="Times New Roman" w:hAnsi="Times New Roman"/>
                <w:sz w:val="20"/>
                <w:szCs w:val="20"/>
              </w:rPr>
            </w:pPr>
            <w:r w:rsidRPr="00E60F16">
              <w:rPr>
                <w:rFonts w:ascii="Times New Roman" w:hAnsi="Times New Roman"/>
                <w:sz w:val="20"/>
                <w:szCs w:val="20"/>
              </w:rPr>
              <w:t>24</w:t>
            </w:r>
            <w:r>
              <w:rPr>
                <w:rStyle w:val="FootnoteReference"/>
                <w:rFonts w:ascii="Times New Roman" w:hAnsi="Times New Roman"/>
                <w:sz w:val="20"/>
                <w:szCs w:val="20"/>
              </w:rPr>
              <w:footnoteReference w:id="9"/>
            </w:r>
          </w:p>
        </w:tc>
        <w:tc>
          <w:tcPr>
            <w:tcW w:w="1160" w:type="dxa"/>
            <w:gridSpan w:val="3"/>
            <w:tcBorders>
              <w:top w:val="single" w:sz="4" w:space="0" w:color="auto"/>
              <w:left w:val="single" w:sz="4" w:space="0" w:color="auto"/>
              <w:bottom w:val="single" w:sz="4" w:space="0" w:color="auto"/>
              <w:right w:val="single" w:sz="4" w:space="0" w:color="auto"/>
            </w:tcBorders>
          </w:tcPr>
          <w:p w:rsidR="003A12BC" w:rsidRPr="00E60F16" w:rsidP="00693D26" w14:paraId="21B50588" w14:textId="77777777">
            <w:pPr>
              <w:spacing w:line="276" w:lineRule="auto"/>
              <w:jc w:val="center"/>
              <w:rPr>
                <w:rFonts w:ascii="Times New Roman" w:hAnsi="Times New Roman"/>
                <w:sz w:val="20"/>
                <w:szCs w:val="20"/>
              </w:rPr>
            </w:pPr>
            <w:r w:rsidRPr="00E60F16">
              <w:rPr>
                <w:rFonts w:ascii="Times New Roman" w:hAnsi="Times New Roman"/>
                <w:sz w:val="20"/>
                <w:szCs w:val="20"/>
              </w:rPr>
              <w:t>5</w:t>
            </w: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38A2050E" w14:textId="77777777">
            <w:pPr>
              <w:spacing w:line="276" w:lineRule="auto"/>
              <w:jc w:val="center"/>
              <w:rPr>
                <w:rFonts w:ascii="Times New Roman" w:hAnsi="Times New Roman"/>
                <w:sz w:val="20"/>
                <w:szCs w:val="20"/>
              </w:rPr>
            </w:pPr>
            <w:r w:rsidRPr="00E60F16">
              <w:rPr>
                <w:rFonts w:ascii="Times New Roman" w:hAnsi="Times New Roman"/>
                <w:sz w:val="20"/>
                <w:szCs w:val="20"/>
              </w:rPr>
              <w:t>1</w:t>
            </w:r>
            <w:r w:rsidRPr="00E60F16" w:rsidR="001D5DBA">
              <w:rPr>
                <w:rFonts w:ascii="Times New Roman" w:hAnsi="Times New Roman"/>
                <w:sz w:val="20"/>
                <w:szCs w:val="20"/>
              </w:rPr>
              <w:t>20</w:t>
            </w: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14:paraId="3AA8AAF9"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042C2C">
              <w:rPr>
                <w:rFonts w:ascii="Times New Roman" w:hAnsi="Times New Roman"/>
                <w:sz w:val="20"/>
                <w:szCs w:val="20"/>
              </w:rPr>
              <w:t>66.46</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14:paraId="73B3F7D5"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CF2CFE">
              <w:rPr>
                <w:rFonts w:ascii="Times New Roman" w:hAnsi="Times New Roman"/>
                <w:sz w:val="20"/>
                <w:szCs w:val="20"/>
              </w:rPr>
              <w:t>7,975</w:t>
            </w:r>
          </w:p>
        </w:tc>
      </w:tr>
      <w:tr w14:paraId="38BD413D"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rsidP="00693D26" w14:paraId="229CE3B6" w14:textId="77777777">
            <w:pPr>
              <w:spacing w:line="276" w:lineRule="auto"/>
              <w:jc w:val="center"/>
              <w:rPr>
                <w:rFonts w:ascii="Times New Roman" w:hAnsi="Times New Roman"/>
                <w:b/>
                <w:sz w:val="20"/>
                <w:szCs w:val="20"/>
              </w:rPr>
            </w:pPr>
            <w:r w:rsidRPr="00E60F16">
              <w:rPr>
                <w:rFonts w:ascii="Times New Roman" w:hAnsi="Times New Roman"/>
                <w:b/>
                <w:sz w:val="20"/>
                <w:szCs w:val="20"/>
              </w:rPr>
              <w:t>Pilot Follow-up</w:t>
            </w:r>
            <w:r w:rsidRPr="00E60F16" w:rsidR="00F81EB9">
              <w:rPr>
                <w:rFonts w:ascii="Times New Roman" w:hAnsi="Times New Roman"/>
                <w:b/>
                <w:sz w:val="20"/>
                <w:szCs w:val="20"/>
              </w:rPr>
              <w:t xml:space="preserve"> SHP Assessments</w:t>
            </w:r>
          </w:p>
        </w:tc>
        <w:tc>
          <w:tcPr>
            <w:tcW w:w="1530" w:type="dxa"/>
            <w:tcBorders>
              <w:top w:val="single" w:sz="4" w:space="0" w:color="auto"/>
              <w:left w:val="single" w:sz="4" w:space="0" w:color="auto"/>
              <w:bottom w:val="single" w:sz="4" w:space="0" w:color="auto"/>
              <w:right w:val="single" w:sz="4" w:space="0" w:color="auto"/>
            </w:tcBorders>
          </w:tcPr>
          <w:p w:rsidR="003A12BC" w:rsidRPr="00E60F16" w:rsidP="00273E2A" w14:paraId="77D8784F" w14:textId="77777777">
            <w:pPr>
              <w:spacing w:line="276" w:lineRule="auto"/>
              <w:rPr>
                <w:rFonts w:ascii="Times New Roman" w:hAnsi="Times New Roman"/>
                <w:sz w:val="20"/>
                <w:szCs w:val="20"/>
              </w:rPr>
            </w:pPr>
            <w:r w:rsidRPr="00E60F16">
              <w:rPr>
                <w:rFonts w:ascii="Times New Roman" w:hAnsi="Times New Roman"/>
                <w:sz w:val="20"/>
                <w:szCs w:val="20"/>
              </w:rPr>
              <w:t xml:space="preserve">   Consultants</w:t>
            </w:r>
          </w:p>
        </w:tc>
        <w:tc>
          <w:tcPr>
            <w:tcW w:w="1350" w:type="dxa"/>
            <w:gridSpan w:val="2"/>
            <w:tcBorders>
              <w:top w:val="single" w:sz="4" w:space="0" w:color="auto"/>
              <w:left w:val="single" w:sz="4" w:space="0" w:color="auto"/>
              <w:bottom w:val="single" w:sz="4" w:space="0" w:color="auto"/>
              <w:right w:val="single" w:sz="4" w:space="0" w:color="auto"/>
            </w:tcBorders>
          </w:tcPr>
          <w:p w:rsidR="003A12BC" w:rsidRPr="00E60F16" w:rsidP="001D5DBA" w14:paraId="468C5B92"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p w:rsidR="003A12BC" w:rsidRPr="00E60F16" w:rsidP="00693D26" w14:paraId="11A1C709" w14:textId="77777777">
            <w:pPr>
              <w:spacing w:line="276" w:lineRule="auto"/>
              <w:jc w:val="center"/>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3A12BC" w:rsidRPr="00E60F16" w:rsidP="00693D26" w14:paraId="065D5354" w14:textId="77777777">
            <w:pPr>
              <w:spacing w:line="276" w:lineRule="auto"/>
              <w:jc w:val="center"/>
              <w:rPr>
                <w:rFonts w:ascii="Times New Roman" w:hAnsi="Times New Roman"/>
                <w:sz w:val="20"/>
                <w:szCs w:val="20"/>
              </w:rPr>
            </w:pPr>
            <w:r w:rsidRPr="00E60F16">
              <w:rPr>
                <w:rFonts w:ascii="Times New Roman" w:hAnsi="Times New Roman"/>
                <w:sz w:val="20"/>
                <w:szCs w:val="20"/>
              </w:rPr>
              <w:t>1.5</w:t>
            </w:r>
          </w:p>
          <w:p w:rsidR="003A12BC" w:rsidRPr="00E60F16" w:rsidP="00693D26" w14:paraId="455273B0"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072D0D4B" w14:textId="77777777">
            <w:pPr>
              <w:spacing w:line="276" w:lineRule="auto"/>
              <w:jc w:val="center"/>
              <w:rPr>
                <w:rFonts w:ascii="Times New Roman" w:hAnsi="Times New Roman"/>
                <w:sz w:val="20"/>
                <w:szCs w:val="20"/>
              </w:rPr>
            </w:pPr>
            <w:r w:rsidRPr="00E60F16">
              <w:rPr>
                <w:rFonts w:ascii="Times New Roman" w:hAnsi="Times New Roman"/>
                <w:sz w:val="20"/>
                <w:szCs w:val="20"/>
              </w:rPr>
              <w:t>30</w:t>
            </w:r>
          </w:p>
          <w:p w:rsidR="003A12BC" w:rsidRPr="00E60F16" w:rsidP="00693D26" w14:paraId="6663AE5E" w14:textId="77777777">
            <w:pPr>
              <w:spacing w:line="276" w:lineRule="auto"/>
              <w:jc w:val="center"/>
              <w:rPr>
                <w:rFonts w:ascii="Times New Roman" w:hAnsi="Times New Roman"/>
                <w:sz w:val="20"/>
                <w:szCs w:val="20"/>
              </w:rPr>
            </w:pPr>
          </w:p>
        </w:tc>
        <w:tc>
          <w:tcPr>
            <w:tcW w:w="1160" w:type="dxa"/>
            <w:gridSpan w:val="3"/>
            <w:tcBorders>
              <w:top w:val="single" w:sz="4" w:space="0" w:color="auto"/>
              <w:left w:val="single" w:sz="4" w:space="0" w:color="auto"/>
              <w:bottom w:val="single" w:sz="4" w:space="0" w:color="auto"/>
              <w:right w:val="single" w:sz="4" w:space="0" w:color="auto"/>
            </w:tcBorders>
          </w:tcPr>
          <w:p w:rsidR="003A12BC" w:rsidRPr="00E60F16" w:rsidP="00693D26" w14:paraId="192527DD" w14:textId="77777777">
            <w:pPr>
              <w:spacing w:line="276" w:lineRule="auto"/>
              <w:jc w:val="center"/>
              <w:rPr>
                <w:rFonts w:ascii="Times New Roman" w:hAnsi="Times New Roman"/>
                <w:sz w:val="20"/>
                <w:szCs w:val="20"/>
              </w:rPr>
            </w:pPr>
            <w:r w:rsidRPr="00E60F16">
              <w:rPr>
                <w:rFonts w:ascii="Times New Roman" w:hAnsi="Times New Roman"/>
                <w:sz w:val="20"/>
                <w:szCs w:val="20"/>
              </w:rPr>
              <w:t>5</w:t>
            </w:r>
          </w:p>
          <w:p w:rsidR="003A12BC" w:rsidRPr="00E60F16" w:rsidP="00693D26" w14:paraId="41770959" w14:textId="77777777">
            <w:pPr>
              <w:spacing w:line="276" w:lineRule="auto"/>
              <w:jc w:val="cente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0EAE80CA" w14:textId="77777777">
            <w:pPr>
              <w:spacing w:line="276" w:lineRule="auto"/>
              <w:jc w:val="center"/>
              <w:rPr>
                <w:rFonts w:ascii="Times New Roman" w:hAnsi="Times New Roman"/>
                <w:sz w:val="20"/>
                <w:szCs w:val="20"/>
              </w:rPr>
            </w:pPr>
            <w:r w:rsidRPr="00E60F16">
              <w:rPr>
                <w:rFonts w:ascii="Times New Roman" w:hAnsi="Times New Roman"/>
                <w:sz w:val="20"/>
                <w:szCs w:val="20"/>
              </w:rPr>
              <w:t>150</w:t>
            </w:r>
          </w:p>
          <w:p w:rsidR="003A12BC" w:rsidRPr="00E60F16" w:rsidP="00693D26" w14:paraId="578F769C"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14:paraId="35C62579"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681891">
              <w:rPr>
                <w:rFonts w:ascii="Times New Roman" w:hAnsi="Times New Roman"/>
                <w:sz w:val="20"/>
                <w:szCs w:val="20"/>
              </w:rPr>
              <w:t>66.46</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14:paraId="0D9874E4"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963F13">
              <w:rPr>
                <w:rFonts w:ascii="Times New Roman" w:hAnsi="Times New Roman"/>
                <w:sz w:val="20"/>
                <w:szCs w:val="20"/>
              </w:rPr>
              <w:t>9,969</w:t>
            </w:r>
          </w:p>
          <w:p w:rsidR="003A12BC" w:rsidRPr="00E60F16" w14:paraId="2CC911D1" w14:textId="77777777">
            <w:pPr>
              <w:spacing w:line="276" w:lineRule="auto"/>
              <w:jc w:val="center"/>
              <w:rPr>
                <w:rFonts w:ascii="Times New Roman" w:hAnsi="Times New Roman"/>
                <w:sz w:val="20"/>
                <w:szCs w:val="20"/>
              </w:rPr>
            </w:pPr>
          </w:p>
        </w:tc>
      </w:tr>
      <w:tr w14:paraId="0F1D139C"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14:paraId="4F7C917C" w14:textId="77777777">
            <w:pPr>
              <w:spacing w:line="276" w:lineRule="auto"/>
              <w:jc w:val="center"/>
              <w:rPr>
                <w:rFonts w:ascii="Times New Roman" w:hAnsi="Times New Roman"/>
                <w:b/>
                <w:sz w:val="20"/>
                <w:szCs w:val="20"/>
              </w:rPr>
            </w:pPr>
            <w:r w:rsidRPr="00E60F16">
              <w:rPr>
                <w:rFonts w:ascii="Times New Roman" w:hAnsi="Times New Roman"/>
                <w:b/>
                <w:sz w:val="20"/>
                <w:szCs w:val="20"/>
              </w:rPr>
              <w:t>Sub</w:t>
            </w:r>
            <w:r w:rsidR="00262AF9">
              <w:rPr>
                <w:rFonts w:ascii="Times New Roman" w:hAnsi="Times New Roman"/>
                <w:b/>
                <w:sz w:val="20"/>
                <w:szCs w:val="20"/>
              </w:rPr>
              <w:t>t</w:t>
            </w:r>
            <w:r w:rsidRPr="00E60F16">
              <w:rPr>
                <w:rFonts w:ascii="Times New Roman" w:hAnsi="Times New Roman"/>
                <w:b/>
                <w:sz w:val="20"/>
                <w:szCs w:val="20"/>
              </w:rPr>
              <w:t>otal A.</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A12BC" w:rsidRPr="00E60F16" w:rsidP="00693D26" w14:paraId="78E61118" w14:textId="77777777">
            <w:pPr>
              <w:spacing w:line="276" w:lineRule="auto"/>
              <w:jc w:val="center"/>
              <w:rPr>
                <w:rFonts w:ascii="Times New Roman" w:hAnsi="Times New Roman"/>
                <w:b/>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12BC" w:rsidRPr="00E60F16" w:rsidP="00DD42B4" w14:paraId="2D2AB7C3" w14:textId="77777777">
            <w:pPr>
              <w:spacing w:line="276" w:lineRule="auto"/>
              <w:jc w:val="center"/>
              <w:rPr>
                <w:rFonts w:ascii="Times New Roman" w:hAnsi="Times New Roman"/>
                <w:b/>
                <w:sz w:val="20"/>
                <w:szCs w:val="20"/>
              </w:rPr>
            </w:pPr>
            <w:r w:rsidRPr="00E60F16">
              <w:rPr>
                <w:rFonts w:ascii="Times New Roman" w:hAnsi="Times New Roman"/>
                <w:b/>
                <w:sz w:val="20"/>
                <w:szCs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A12BC" w:rsidRPr="00E60F16" w:rsidP="00693D26" w14:paraId="5AD878FF"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3DA6C194" w14:textId="77777777">
            <w:pPr>
              <w:spacing w:line="276" w:lineRule="auto"/>
              <w:jc w:val="center"/>
              <w:rPr>
                <w:rFonts w:ascii="Times New Roman" w:hAnsi="Times New Roman"/>
                <w:b/>
                <w:sz w:val="20"/>
                <w:szCs w:val="20"/>
              </w:rPr>
            </w:pPr>
            <w:r w:rsidRPr="00E60F16">
              <w:rPr>
                <w:rFonts w:ascii="Times New Roman" w:hAnsi="Times New Roman"/>
                <w:b/>
                <w:sz w:val="20"/>
                <w:szCs w:val="20"/>
              </w:rPr>
              <w:t>54</w:t>
            </w:r>
          </w:p>
        </w:tc>
        <w:tc>
          <w:tcPr>
            <w:tcW w:w="1160" w:type="dxa"/>
            <w:gridSpan w:val="3"/>
            <w:tcBorders>
              <w:top w:val="single" w:sz="4" w:space="0" w:color="auto"/>
              <w:left w:val="single" w:sz="4" w:space="0" w:color="auto"/>
              <w:bottom w:val="single" w:sz="4" w:space="0" w:color="auto"/>
              <w:right w:val="single" w:sz="4" w:space="0" w:color="auto"/>
            </w:tcBorders>
            <w:shd w:val="clear" w:color="auto" w:fill="D0CECE"/>
          </w:tcPr>
          <w:p w:rsidR="003A12BC" w:rsidRPr="00E60F16" w:rsidP="00693D26" w14:paraId="415D16AB" w14:textId="77777777">
            <w:pPr>
              <w:spacing w:line="276" w:lineRule="auto"/>
              <w:jc w:val="center"/>
              <w:rPr>
                <w:rFonts w:ascii="Times New Roman" w:hAnsi="Times New Roman"/>
                <w:b/>
                <w:sz w:val="20"/>
                <w:szCs w:val="20"/>
              </w:rPr>
            </w:pP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2B3B7809" w14:textId="77777777">
            <w:pPr>
              <w:spacing w:line="276" w:lineRule="auto"/>
              <w:jc w:val="center"/>
              <w:rPr>
                <w:rFonts w:ascii="Times New Roman" w:hAnsi="Times New Roman"/>
                <w:b/>
                <w:sz w:val="20"/>
                <w:szCs w:val="20"/>
              </w:rPr>
            </w:pPr>
            <w:r w:rsidRPr="00E60F16">
              <w:rPr>
                <w:rFonts w:ascii="Times New Roman" w:hAnsi="Times New Roman"/>
                <w:b/>
                <w:sz w:val="20"/>
                <w:szCs w:val="20"/>
              </w:rPr>
              <w:t>2</w:t>
            </w:r>
            <w:r w:rsidRPr="00E60F16" w:rsidR="00963F13">
              <w:rPr>
                <w:rFonts w:ascii="Times New Roman" w:hAnsi="Times New Roman"/>
                <w:b/>
                <w:sz w:val="20"/>
                <w:szCs w:val="20"/>
              </w:rPr>
              <w:t>70</w:t>
            </w: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rsidP="00831496" w14:paraId="2378C9E9" w14:textId="77777777">
            <w:pPr>
              <w:spacing w:line="276" w:lineRule="auto"/>
              <w:rPr>
                <w:rFonts w:ascii="Times New Roman" w:hAnsi="Times New Roman"/>
                <w:b/>
                <w:sz w:val="20"/>
                <w:szCs w:val="20"/>
              </w:rPr>
            </w:pPr>
            <w:r w:rsidRPr="00E60F16">
              <w:rPr>
                <w:rFonts w:ascii="Times New Roman" w:hAnsi="Times New Roman"/>
                <w:b/>
                <w:sz w:val="20"/>
                <w:szCs w:val="20"/>
              </w:rPr>
              <w:t>$</w:t>
            </w:r>
            <w:r w:rsidRPr="00E60F16" w:rsidR="00963F13">
              <w:rPr>
                <w:rFonts w:ascii="Times New Roman" w:hAnsi="Times New Roman"/>
                <w:b/>
                <w:sz w:val="20"/>
                <w:szCs w:val="20"/>
              </w:rPr>
              <w:t>66.46</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14:paraId="6BE6C4E9"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A816F7">
              <w:rPr>
                <w:rFonts w:ascii="Times New Roman" w:hAnsi="Times New Roman"/>
                <w:b/>
                <w:sz w:val="20"/>
                <w:szCs w:val="20"/>
              </w:rPr>
              <w:t>17,944</w:t>
            </w:r>
          </w:p>
        </w:tc>
      </w:tr>
      <w:tr w14:paraId="571FCE86" w14:textId="77777777" w:rsidTr="00C7580B">
        <w:tblPrEx>
          <w:tblW w:w="11425" w:type="dxa"/>
          <w:jc w:val="center"/>
          <w:tblLayout w:type="fixed"/>
          <w:tblLook w:val="04A0"/>
        </w:tblPrEx>
        <w:trPr>
          <w:jc w:val="center"/>
        </w:trPr>
        <w:tc>
          <w:tcPr>
            <w:tcW w:w="11425" w:type="dxa"/>
            <w:gridSpan w:val="15"/>
            <w:tcBorders>
              <w:top w:val="single" w:sz="4" w:space="0" w:color="auto"/>
              <w:left w:val="single" w:sz="4" w:space="0" w:color="auto"/>
              <w:bottom w:val="single" w:sz="4" w:space="0" w:color="auto"/>
              <w:right w:val="single" w:sz="4" w:space="0" w:color="auto"/>
            </w:tcBorders>
          </w:tcPr>
          <w:p w:rsidR="00297FA6" w:rsidRPr="00E60F16" w:rsidP="00693D26" w14:paraId="69860FFA" w14:textId="77777777">
            <w:pPr>
              <w:spacing w:line="276" w:lineRule="auto"/>
              <w:jc w:val="center"/>
              <w:rPr>
                <w:rFonts w:ascii="Times New Roman" w:hAnsi="Times New Roman"/>
                <w:b/>
                <w:sz w:val="20"/>
                <w:szCs w:val="20"/>
              </w:rPr>
            </w:pPr>
            <w:r w:rsidRPr="00E60F16">
              <w:rPr>
                <w:rFonts w:ascii="Times New Roman" w:hAnsi="Times New Roman"/>
                <w:b/>
                <w:sz w:val="20"/>
                <w:szCs w:val="20"/>
              </w:rPr>
              <w:t>B. Prepare list of hazards (1908.6(e)(8))</w:t>
            </w:r>
          </w:p>
        </w:tc>
      </w:tr>
      <w:tr w14:paraId="69D3FC90"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rsidP="00693D26" w14:paraId="7A42C950"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Pilot </w:t>
            </w:r>
            <w:r w:rsidRPr="00E60F16" w:rsidR="007F48F2">
              <w:rPr>
                <w:rFonts w:ascii="Times New Roman" w:hAnsi="Times New Roman"/>
                <w:b/>
                <w:sz w:val="20"/>
                <w:szCs w:val="20"/>
              </w:rPr>
              <w:t>Visits</w:t>
            </w:r>
          </w:p>
        </w:tc>
        <w:tc>
          <w:tcPr>
            <w:tcW w:w="1530" w:type="dxa"/>
            <w:tcBorders>
              <w:top w:val="single" w:sz="4" w:space="0" w:color="auto"/>
              <w:left w:val="single" w:sz="4" w:space="0" w:color="auto"/>
              <w:bottom w:val="single" w:sz="4" w:space="0" w:color="auto"/>
              <w:right w:val="single" w:sz="4" w:space="0" w:color="auto"/>
            </w:tcBorders>
          </w:tcPr>
          <w:p w:rsidR="003A12BC" w:rsidRPr="00E60F16" w:rsidP="00693D26" w14:paraId="6F31EBB5" w14:textId="77777777">
            <w:pPr>
              <w:spacing w:line="276" w:lineRule="auto"/>
              <w:jc w:val="center"/>
              <w:rPr>
                <w:rFonts w:ascii="Times New Roman" w:hAnsi="Times New Roman"/>
                <w:sz w:val="20"/>
                <w:szCs w:val="20"/>
              </w:rPr>
            </w:pPr>
            <w:r w:rsidRPr="00E60F16">
              <w:rPr>
                <w:rFonts w:ascii="Times New Roman" w:hAnsi="Times New Roman"/>
                <w:sz w:val="20"/>
                <w:szCs w:val="20"/>
              </w:rPr>
              <w:t>Consultants</w:t>
            </w:r>
          </w:p>
        </w:tc>
        <w:tc>
          <w:tcPr>
            <w:tcW w:w="1350" w:type="dxa"/>
            <w:gridSpan w:val="2"/>
            <w:tcBorders>
              <w:top w:val="single" w:sz="4" w:space="0" w:color="auto"/>
              <w:left w:val="single" w:sz="4" w:space="0" w:color="auto"/>
              <w:bottom w:val="single" w:sz="4" w:space="0" w:color="auto"/>
              <w:right w:val="single" w:sz="4" w:space="0" w:color="auto"/>
            </w:tcBorders>
          </w:tcPr>
          <w:p w:rsidR="003A12BC" w:rsidRPr="00E60F16" w:rsidP="003F61CC" w14:paraId="692C8373"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1170" w:type="dxa"/>
            <w:tcBorders>
              <w:top w:val="single" w:sz="4" w:space="0" w:color="auto"/>
              <w:left w:val="single" w:sz="4" w:space="0" w:color="auto"/>
              <w:bottom w:val="single" w:sz="4" w:space="0" w:color="auto"/>
              <w:right w:val="single" w:sz="4" w:space="0" w:color="auto"/>
            </w:tcBorders>
          </w:tcPr>
          <w:p w:rsidR="003A12BC" w:rsidRPr="00E60F16" w:rsidP="00693D26" w14:paraId="6BBBC6FD" w14:textId="77777777">
            <w:pPr>
              <w:spacing w:line="276" w:lineRule="auto"/>
              <w:jc w:val="center"/>
              <w:rPr>
                <w:rFonts w:ascii="Times New Roman" w:hAnsi="Times New Roman"/>
                <w:sz w:val="20"/>
                <w:szCs w:val="20"/>
              </w:rPr>
            </w:pPr>
            <w:r w:rsidRPr="00E60F16">
              <w:rPr>
                <w:rFonts w:ascii="Times New Roman" w:hAnsi="Times New Roman"/>
                <w:sz w:val="20"/>
                <w:szCs w:val="20"/>
              </w:rPr>
              <w:t>1.</w:t>
            </w:r>
            <w:r w:rsidRPr="00E60F16" w:rsidR="00BE4340">
              <w:rPr>
                <w:rFonts w:ascii="Times New Roman" w:hAnsi="Times New Roman"/>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1DCDCD8D"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1160" w:type="dxa"/>
            <w:gridSpan w:val="3"/>
            <w:tcBorders>
              <w:top w:val="single" w:sz="4" w:space="0" w:color="auto"/>
              <w:left w:val="single" w:sz="4" w:space="0" w:color="auto"/>
              <w:bottom w:val="single" w:sz="4" w:space="0" w:color="auto"/>
              <w:right w:val="single" w:sz="4" w:space="0" w:color="auto"/>
            </w:tcBorders>
          </w:tcPr>
          <w:p w:rsidR="003A12BC" w:rsidRPr="00E60F16" w:rsidP="00693D26" w14:paraId="7B535497" w14:textId="77777777">
            <w:pPr>
              <w:spacing w:line="276" w:lineRule="auto"/>
              <w:jc w:val="center"/>
              <w:rPr>
                <w:rFonts w:ascii="Times New Roman" w:hAnsi="Times New Roman"/>
                <w:sz w:val="20"/>
                <w:szCs w:val="20"/>
              </w:rPr>
            </w:pPr>
            <w:r w:rsidRPr="00E60F16">
              <w:rPr>
                <w:rFonts w:ascii="Times New Roman" w:hAnsi="Times New Roman"/>
                <w:sz w:val="20"/>
                <w:szCs w:val="20"/>
              </w:rPr>
              <w:t>5/60</w:t>
            </w: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46E111CD" w14:textId="77777777">
            <w:pPr>
              <w:spacing w:line="276" w:lineRule="auto"/>
              <w:jc w:val="center"/>
              <w:rPr>
                <w:rFonts w:ascii="Times New Roman" w:hAnsi="Times New Roman"/>
                <w:sz w:val="20"/>
                <w:szCs w:val="20"/>
              </w:rPr>
            </w:pPr>
            <w:r w:rsidRPr="00E60F16">
              <w:rPr>
                <w:rFonts w:ascii="Times New Roman" w:hAnsi="Times New Roman"/>
                <w:sz w:val="20"/>
                <w:szCs w:val="20"/>
              </w:rPr>
              <w:t>1.</w:t>
            </w:r>
            <w:r w:rsidRPr="00E60F16" w:rsidR="00E30979">
              <w:rPr>
                <w:rFonts w:ascii="Times New Roman" w:hAnsi="Times New Roman"/>
                <w:sz w:val="20"/>
                <w:szCs w:val="20"/>
              </w:rPr>
              <w:t>7</w:t>
            </w: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14:paraId="4374C382"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D16FE3">
              <w:rPr>
                <w:rFonts w:ascii="Times New Roman" w:hAnsi="Times New Roman"/>
                <w:sz w:val="20"/>
                <w:szCs w:val="20"/>
              </w:rPr>
              <w:t>66.46</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14:paraId="717D2A7D"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7442D8">
              <w:rPr>
                <w:rFonts w:ascii="Times New Roman" w:hAnsi="Times New Roman"/>
                <w:sz w:val="20"/>
                <w:szCs w:val="20"/>
              </w:rPr>
              <w:t>1</w:t>
            </w:r>
            <w:r w:rsidRPr="00E60F16" w:rsidR="00E770AD">
              <w:rPr>
                <w:rFonts w:ascii="Times New Roman" w:hAnsi="Times New Roman"/>
                <w:sz w:val="20"/>
                <w:szCs w:val="20"/>
              </w:rPr>
              <w:t>1</w:t>
            </w:r>
            <w:r w:rsidR="003805F2">
              <w:rPr>
                <w:rFonts w:ascii="Times New Roman" w:hAnsi="Times New Roman"/>
                <w:sz w:val="20"/>
                <w:szCs w:val="20"/>
              </w:rPr>
              <w:t>3</w:t>
            </w:r>
          </w:p>
        </w:tc>
      </w:tr>
      <w:tr w14:paraId="4D9745B2"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rsidP="00693D26" w14:paraId="048D0399" w14:textId="77777777">
            <w:pPr>
              <w:spacing w:line="276" w:lineRule="auto"/>
              <w:jc w:val="center"/>
              <w:rPr>
                <w:rFonts w:ascii="Times New Roman" w:hAnsi="Times New Roman"/>
                <w:b/>
                <w:sz w:val="20"/>
                <w:szCs w:val="20"/>
              </w:rPr>
            </w:pPr>
            <w:r w:rsidRPr="00E60F16">
              <w:rPr>
                <w:rFonts w:ascii="Times New Roman" w:hAnsi="Times New Roman"/>
                <w:b/>
                <w:sz w:val="20"/>
                <w:szCs w:val="20"/>
              </w:rPr>
              <w:t>Follow-Up</w:t>
            </w:r>
            <w:r w:rsidRPr="00E60F16" w:rsidR="007F48F2">
              <w:rPr>
                <w:rFonts w:ascii="Times New Roman" w:hAnsi="Times New Roman"/>
                <w:b/>
                <w:sz w:val="20"/>
                <w:szCs w:val="20"/>
              </w:rPr>
              <w:t xml:space="preserve"> Visits</w:t>
            </w:r>
          </w:p>
        </w:tc>
        <w:tc>
          <w:tcPr>
            <w:tcW w:w="1530" w:type="dxa"/>
            <w:tcBorders>
              <w:top w:val="single" w:sz="4" w:space="0" w:color="auto"/>
              <w:left w:val="single" w:sz="4" w:space="0" w:color="auto"/>
              <w:bottom w:val="single" w:sz="4" w:space="0" w:color="auto"/>
              <w:right w:val="single" w:sz="4" w:space="0" w:color="auto"/>
            </w:tcBorders>
          </w:tcPr>
          <w:p w:rsidR="003A12BC" w:rsidRPr="00E60F16" w:rsidP="00693D26" w14:paraId="30CFAB8C" w14:textId="77777777">
            <w:pPr>
              <w:spacing w:line="276" w:lineRule="auto"/>
              <w:jc w:val="center"/>
              <w:rPr>
                <w:rFonts w:ascii="Times New Roman" w:hAnsi="Times New Roman"/>
                <w:sz w:val="20"/>
                <w:szCs w:val="20"/>
              </w:rPr>
            </w:pPr>
            <w:r w:rsidRPr="00E60F16">
              <w:rPr>
                <w:rFonts w:ascii="Times New Roman" w:hAnsi="Times New Roman"/>
                <w:sz w:val="20"/>
                <w:szCs w:val="20"/>
              </w:rPr>
              <w:t>Consultants</w:t>
            </w:r>
          </w:p>
        </w:tc>
        <w:tc>
          <w:tcPr>
            <w:tcW w:w="1350" w:type="dxa"/>
            <w:gridSpan w:val="2"/>
            <w:tcBorders>
              <w:top w:val="single" w:sz="4" w:space="0" w:color="auto"/>
              <w:left w:val="single" w:sz="4" w:space="0" w:color="auto"/>
              <w:bottom w:val="single" w:sz="4" w:space="0" w:color="auto"/>
              <w:right w:val="single" w:sz="4" w:space="0" w:color="auto"/>
            </w:tcBorders>
          </w:tcPr>
          <w:p w:rsidR="003A12BC" w:rsidRPr="00E60F16" w:rsidP="007F48F2" w14:paraId="29F4DEB8"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1170" w:type="dxa"/>
            <w:tcBorders>
              <w:top w:val="single" w:sz="4" w:space="0" w:color="auto"/>
              <w:left w:val="single" w:sz="4" w:space="0" w:color="auto"/>
              <w:bottom w:val="single" w:sz="4" w:space="0" w:color="auto"/>
              <w:right w:val="single" w:sz="4" w:space="0" w:color="auto"/>
            </w:tcBorders>
          </w:tcPr>
          <w:p w:rsidR="003A12BC" w:rsidRPr="00E60F16" w:rsidP="00693D26" w14:paraId="32110FE9" w14:textId="77777777">
            <w:pPr>
              <w:spacing w:line="276" w:lineRule="auto"/>
              <w:jc w:val="center"/>
              <w:rPr>
                <w:rFonts w:ascii="Times New Roman" w:hAnsi="Times New Roman"/>
                <w:sz w:val="20"/>
                <w:szCs w:val="20"/>
              </w:rPr>
            </w:pPr>
            <w:r w:rsidRPr="00E60F16">
              <w:rPr>
                <w:rFonts w:ascii="Times New Roman" w:hAnsi="Times New Roman"/>
                <w:sz w:val="20"/>
                <w:szCs w:val="20"/>
              </w:rPr>
              <w:t>1.5</w:t>
            </w: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539C3A08" w14:textId="77777777">
            <w:pPr>
              <w:spacing w:line="276" w:lineRule="auto"/>
              <w:jc w:val="center"/>
              <w:rPr>
                <w:rFonts w:ascii="Times New Roman" w:hAnsi="Times New Roman"/>
                <w:sz w:val="20"/>
                <w:szCs w:val="20"/>
              </w:rPr>
            </w:pPr>
            <w:r w:rsidRPr="00E60F16">
              <w:rPr>
                <w:rFonts w:ascii="Times New Roman" w:hAnsi="Times New Roman"/>
                <w:sz w:val="20"/>
                <w:szCs w:val="20"/>
              </w:rPr>
              <w:t>30</w:t>
            </w:r>
          </w:p>
        </w:tc>
        <w:tc>
          <w:tcPr>
            <w:tcW w:w="1160" w:type="dxa"/>
            <w:gridSpan w:val="3"/>
            <w:tcBorders>
              <w:top w:val="single" w:sz="4" w:space="0" w:color="auto"/>
              <w:left w:val="single" w:sz="4" w:space="0" w:color="auto"/>
              <w:bottom w:val="single" w:sz="4" w:space="0" w:color="auto"/>
              <w:right w:val="single" w:sz="4" w:space="0" w:color="auto"/>
            </w:tcBorders>
          </w:tcPr>
          <w:p w:rsidR="003A12BC" w:rsidRPr="00E60F16" w:rsidP="00693D26" w14:paraId="2B6B1D53" w14:textId="77777777">
            <w:pPr>
              <w:spacing w:line="276" w:lineRule="auto"/>
              <w:jc w:val="center"/>
              <w:rPr>
                <w:rFonts w:ascii="Times New Roman" w:hAnsi="Times New Roman"/>
                <w:sz w:val="20"/>
                <w:szCs w:val="20"/>
              </w:rPr>
            </w:pPr>
            <w:r w:rsidRPr="00E60F16">
              <w:rPr>
                <w:rFonts w:ascii="Times New Roman" w:hAnsi="Times New Roman"/>
                <w:sz w:val="20"/>
                <w:szCs w:val="20"/>
              </w:rPr>
              <w:t>5/60</w:t>
            </w: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4750B984" w14:textId="77777777">
            <w:pPr>
              <w:spacing w:line="276" w:lineRule="auto"/>
              <w:jc w:val="center"/>
              <w:rPr>
                <w:rFonts w:ascii="Times New Roman" w:hAnsi="Times New Roman"/>
                <w:sz w:val="20"/>
                <w:szCs w:val="20"/>
              </w:rPr>
            </w:pPr>
            <w:r w:rsidRPr="00E60F16">
              <w:rPr>
                <w:rFonts w:ascii="Times New Roman" w:hAnsi="Times New Roman"/>
                <w:sz w:val="20"/>
                <w:szCs w:val="20"/>
              </w:rPr>
              <w:t>2.</w:t>
            </w:r>
            <w:r w:rsidRPr="00E60F16" w:rsidR="00E770AD">
              <w:rPr>
                <w:rFonts w:ascii="Times New Roman" w:hAnsi="Times New Roman"/>
                <w:sz w:val="20"/>
                <w:szCs w:val="20"/>
              </w:rPr>
              <w:t>5</w:t>
            </w: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14:paraId="7EE9D7EA"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D16FE3">
              <w:rPr>
                <w:rFonts w:ascii="Times New Roman" w:hAnsi="Times New Roman"/>
                <w:sz w:val="20"/>
                <w:szCs w:val="20"/>
              </w:rPr>
              <w:t>66.46</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14:paraId="6C0D197A"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056829">
              <w:rPr>
                <w:rFonts w:ascii="Times New Roman" w:hAnsi="Times New Roman"/>
                <w:sz w:val="20"/>
                <w:szCs w:val="20"/>
              </w:rPr>
              <w:t>166</w:t>
            </w:r>
          </w:p>
        </w:tc>
      </w:tr>
      <w:tr w14:paraId="1C36D57A"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rsidP="00693D26" w14:paraId="3F59988D" w14:textId="77777777">
            <w:pPr>
              <w:spacing w:line="276" w:lineRule="auto"/>
              <w:jc w:val="center"/>
              <w:rPr>
                <w:rFonts w:ascii="Times New Roman" w:hAnsi="Times New Roman"/>
                <w:b/>
                <w:sz w:val="20"/>
                <w:szCs w:val="20"/>
              </w:rPr>
            </w:pPr>
            <w:r w:rsidRPr="00E60F16">
              <w:rPr>
                <w:rFonts w:ascii="Times New Roman" w:hAnsi="Times New Roman"/>
                <w:b/>
                <w:sz w:val="20"/>
                <w:szCs w:val="20"/>
              </w:rPr>
              <w:t>Sub</w:t>
            </w:r>
            <w:r w:rsidR="00AC2EDD">
              <w:rPr>
                <w:rFonts w:ascii="Times New Roman" w:hAnsi="Times New Roman"/>
                <w:b/>
                <w:sz w:val="20"/>
                <w:szCs w:val="20"/>
              </w:rPr>
              <w:t>t</w:t>
            </w:r>
            <w:r w:rsidRPr="00E60F16">
              <w:rPr>
                <w:rFonts w:ascii="Times New Roman" w:hAnsi="Times New Roman"/>
                <w:b/>
                <w:sz w:val="20"/>
                <w:szCs w:val="20"/>
              </w:rPr>
              <w:t>otal B.</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A12BC" w:rsidRPr="00E60F16" w:rsidP="00693D26" w14:paraId="6B3E3FB9" w14:textId="77777777">
            <w:pPr>
              <w:spacing w:line="276" w:lineRule="auto"/>
              <w:jc w:val="center"/>
              <w:rPr>
                <w:rFonts w:ascii="Times New Roman" w:hAnsi="Times New Roman"/>
                <w:sz w:val="20"/>
                <w:szCs w:val="20"/>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12BC" w:rsidRPr="00E60F16" w:rsidP="007B14B1" w14:paraId="4E1F88A1" w14:textId="77777777">
            <w:pPr>
              <w:tabs>
                <w:tab w:val="left" w:pos="449"/>
                <w:tab w:val="center" w:pos="477"/>
              </w:tabs>
              <w:spacing w:line="276" w:lineRule="auto"/>
              <w:rPr>
                <w:rFonts w:ascii="Times New Roman" w:hAnsi="Times New Roman"/>
                <w:b/>
                <w:sz w:val="20"/>
                <w:szCs w:val="20"/>
              </w:rPr>
            </w:pPr>
            <w:r w:rsidRPr="00E60F16">
              <w:rPr>
                <w:rFonts w:ascii="Times New Roman" w:hAnsi="Times New Roman"/>
                <w:b/>
                <w:sz w:val="20"/>
                <w:szCs w:val="20"/>
              </w:rPr>
              <w:tab/>
            </w:r>
            <w:r w:rsidRPr="00E60F16">
              <w:rPr>
                <w:rFonts w:ascii="Times New Roman" w:hAnsi="Times New Roman"/>
                <w:b/>
                <w:sz w:val="20"/>
                <w:szCs w:val="20"/>
              </w:rPr>
              <w:tab/>
              <w:t>20</w:t>
            </w:r>
          </w:p>
        </w:tc>
        <w:tc>
          <w:tcPr>
            <w:tcW w:w="1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A12BC" w:rsidRPr="00E60F16" w:rsidP="00693D26" w14:paraId="2AC95C09"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09DC8D0E" w14:textId="77777777">
            <w:pPr>
              <w:spacing w:line="276" w:lineRule="auto"/>
              <w:jc w:val="center"/>
              <w:rPr>
                <w:rFonts w:ascii="Times New Roman" w:hAnsi="Times New Roman"/>
                <w:b/>
                <w:sz w:val="20"/>
                <w:szCs w:val="20"/>
              </w:rPr>
            </w:pPr>
            <w:r w:rsidRPr="00E60F16">
              <w:rPr>
                <w:rFonts w:ascii="Times New Roman" w:hAnsi="Times New Roman"/>
                <w:b/>
                <w:sz w:val="20"/>
                <w:szCs w:val="20"/>
              </w:rPr>
              <w:t>50</w:t>
            </w:r>
          </w:p>
        </w:tc>
        <w:tc>
          <w:tcPr>
            <w:tcW w:w="1160" w:type="dxa"/>
            <w:gridSpan w:val="3"/>
            <w:tcBorders>
              <w:top w:val="single" w:sz="4" w:space="0" w:color="auto"/>
              <w:left w:val="single" w:sz="4" w:space="0" w:color="auto"/>
              <w:bottom w:val="single" w:sz="4" w:space="0" w:color="auto"/>
              <w:right w:val="single" w:sz="4" w:space="0" w:color="auto"/>
            </w:tcBorders>
            <w:shd w:val="clear" w:color="auto" w:fill="D0CECE"/>
          </w:tcPr>
          <w:p w:rsidR="003A12BC" w:rsidRPr="00E60F16" w:rsidP="00693D26" w14:paraId="6D1C0602" w14:textId="77777777">
            <w:pPr>
              <w:spacing w:line="276" w:lineRule="auto"/>
              <w:jc w:val="center"/>
              <w:rPr>
                <w:rFonts w:ascii="Times New Roman" w:hAnsi="Times New Roman"/>
                <w:b/>
                <w:sz w:val="20"/>
                <w:szCs w:val="20"/>
              </w:rPr>
            </w:pP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671F7635" w14:textId="77777777">
            <w:pPr>
              <w:spacing w:line="276" w:lineRule="auto"/>
              <w:jc w:val="center"/>
              <w:rPr>
                <w:rFonts w:ascii="Times New Roman" w:hAnsi="Times New Roman"/>
                <w:b/>
                <w:sz w:val="20"/>
                <w:szCs w:val="20"/>
              </w:rPr>
            </w:pPr>
            <w:r w:rsidRPr="00E60F16">
              <w:rPr>
                <w:rFonts w:ascii="Times New Roman" w:hAnsi="Times New Roman"/>
                <w:b/>
                <w:sz w:val="20"/>
                <w:szCs w:val="20"/>
              </w:rPr>
              <w:t>4</w:t>
            </w:r>
            <w:r w:rsidRPr="00E60F16" w:rsidR="00CE0B4B">
              <w:rPr>
                <w:rFonts w:ascii="Times New Roman" w:hAnsi="Times New Roman"/>
                <w:b/>
                <w:sz w:val="20"/>
                <w:szCs w:val="20"/>
              </w:rPr>
              <w:t>.</w:t>
            </w:r>
            <w:r w:rsidRPr="00E60F16" w:rsidR="00281B0F">
              <w:rPr>
                <w:rFonts w:ascii="Times New Roman" w:hAnsi="Times New Roman"/>
                <w:b/>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3D06B648"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3E3FF4">
              <w:rPr>
                <w:rFonts w:ascii="Times New Roman" w:hAnsi="Times New Roman"/>
                <w:b/>
                <w:sz w:val="20"/>
                <w:szCs w:val="20"/>
              </w:rPr>
              <w:t>66.46</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14:paraId="458BB8A1"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5842E4">
              <w:rPr>
                <w:rFonts w:ascii="Times New Roman" w:hAnsi="Times New Roman"/>
                <w:b/>
                <w:sz w:val="20"/>
                <w:szCs w:val="20"/>
              </w:rPr>
              <w:t>27</w:t>
            </w:r>
            <w:r w:rsidRPr="00E60F16" w:rsidR="003253EC">
              <w:rPr>
                <w:rFonts w:ascii="Times New Roman" w:hAnsi="Times New Roman"/>
                <w:b/>
                <w:sz w:val="20"/>
                <w:szCs w:val="20"/>
              </w:rPr>
              <w:t>9</w:t>
            </w:r>
          </w:p>
        </w:tc>
      </w:tr>
      <w:tr w14:paraId="20219279" w14:textId="77777777" w:rsidTr="001646CF">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3A12BC" w:rsidRPr="00E60F16" w14:paraId="7EA86CC1" w14:textId="77777777">
            <w:pPr>
              <w:spacing w:line="276" w:lineRule="auto"/>
              <w:jc w:val="center"/>
              <w:rPr>
                <w:rFonts w:ascii="Times New Roman" w:hAnsi="Times New Roman"/>
                <w:b/>
                <w:sz w:val="20"/>
                <w:szCs w:val="20"/>
              </w:rPr>
            </w:pPr>
            <w:r w:rsidRPr="00E60F16">
              <w:rPr>
                <w:rFonts w:ascii="Times New Roman" w:hAnsi="Times New Roman"/>
                <w:b/>
                <w:sz w:val="20"/>
                <w:szCs w:val="20"/>
              </w:rPr>
              <w:t>C. Referral to enforcement for all studies or analyses that will be conducted (1908.6(f)(1)&amp;(4))</w:t>
            </w:r>
          </w:p>
        </w:tc>
        <w:tc>
          <w:tcPr>
            <w:tcW w:w="1530" w:type="dxa"/>
            <w:tcBorders>
              <w:top w:val="single" w:sz="4" w:space="0" w:color="auto"/>
              <w:left w:val="single" w:sz="4" w:space="0" w:color="auto"/>
              <w:bottom w:val="single" w:sz="4" w:space="0" w:color="auto"/>
              <w:right w:val="single" w:sz="4" w:space="0" w:color="auto"/>
            </w:tcBorders>
          </w:tcPr>
          <w:p w:rsidR="003A12BC" w:rsidRPr="00E60F16" w:rsidP="00693D26" w14:paraId="1E61143D" w14:textId="77777777">
            <w:pPr>
              <w:spacing w:line="276" w:lineRule="auto"/>
              <w:jc w:val="center"/>
              <w:rPr>
                <w:rFonts w:ascii="Times New Roman" w:hAnsi="Times New Roman"/>
                <w:sz w:val="20"/>
                <w:szCs w:val="20"/>
              </w:rPr>
            </w:pPr>
            <w:r w:rsidRPr="00E60F16">
              <w:rPr>
                <w:rFonts w:ascii="Times New Roman" w:hAnsi="Times New Roman"/>
                <w:sz w:val="20"/>
                <w:szCs w:val="20"/>
              </w:rPr>
              <w:t>Consultation Program Managers (CPM)</w:t>
            </w:r>
          </w:p>
        </w:tc>
        <w:tc>
          <w:tcPr>
            <w:tcW w:w="135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0D521FD6"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1170" w:type="dxa"/>
            <w:tcBorders>
              <w:top w:val="single" w:sz="4" w:space="0" w:color="auto"/>
              <w:left w:val="single" w:sz="4" w:space="0" w:color="auto"/>
              <w:bottom w:val="single" w:sz="4" w:space="0" w:color="auto"/>
              <w:right w:val="single" w:sz="4" w:space="0" w:color="auto"/>
            </w:tcBorders>
          </w:tcPr>
          <w:p w:rsidR="003A12BC" w:rsidRPr="00E60F16" w:rsidP="00693D26" w14:paraId="229C06A6" w14:textId="77777777">
            <w:pPr>
              <w:spacing w:line="276" w:lineRule="auto"/>
              <w:jc w:val="center"/>
              <w:rPr>
                <w:rFonts w:ascii="Times New Roman" w:hAnsi="Times New Roman"/>
                <w:sz w:val="20"/>
                <w:szCs w:val="20"/>
              </w:rPr>
            </w:pPr>
            <w:r w:rsidRPr="00E60F16">
              <w:rPr>
                <w:rFonts w:ascii="Times New Roman" w:hAnsi="Times New Roman"/>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56B7C0BB" w14:textId="77777777">
            <w:pPr>
              <w:spacing w:line="276" w:lineRule="auto"/>
              <w:jc w:val="center"/>
              <w:rPr>
                <w:rFonts w:ascii="Times New Roman" w:hAnsi="Times New Roman"/>
                <w:b/>
                <w:bCs/>
                <w:sz w:val="20"/>
                <w:szCs w:val="20"/>
              </w:rPr>
            </w:pPr>
            <w:r w:rsidRPr="00E60F16">
              <w:rPr>
                <w:rFonts w:ascii="Times New Roman" w:hAnsi="Times New Roman"/>
                <w:b/>
                <w:bCs/>
                <w:sz w:val="20"/>
                <w:szCs w:val="20"/>
              </w:rPr>
              <w:t>0</w:t>
            </w:r>
          </w:p>
        </w:tc>
        <w:tc>
          <w:tcPr>
            <w:tcW w:w="1160" w:type="dxa"/>
            <w:gridSpan w:val="3"/>
            <w:tcBorders>
              <w:top w:val="single" w:sz="4" w:space="0" w:color="auto"/>
              <w:left w:val="single" w:sz="4" w:space="0" w:color="auto"/>
              <w:bottom w:val="single" w:sz="4" w:space="0" w:color="auto"/>
              <w:right w:val="single" w:sz="4" w:space="0" w:color="auto"/>
            </w:tcBorders>
          </w:tcPr>
          <w:p w:rsidR="003A12BC" w:rsidRPr="00E60F16" w:rsidP="00693D26" w14:paraId="6269A923" w14:textId="77777777">
            <w:pPr>
              <w:spacing w:line="276" w:lineRule="auto"/>
              <w:jc w:val="center"/>
              <w:rPr>
                <w:rFonts w:ascii="Times New Roman" w:hAnsi="Times New Roman"/>
                <w:b/>
                <w:bCs/>
                <w:sz w:val="20"/>
                <w:szCs w:val="20"/>
              </w:rPr>
            </w:pPr>
            <w:r w:rsidRPr="00E60F16">
              <w:rPr>
                <w:rFonts w:ascii="Times New Roman" w:hAnsi="Times New Roman"/>
                <w:b/>
                <w:bCs/>
                <w:sz w:val="20"/>
                <w:szCs w:val="20"/>
              </w:rPr>
              <w:t>30/60</w:t>
            </w:r>
          </w:p>
        </w:tc>
        <w:tc>
          <w:tcPr>
            <w:tcW w:w="910" w:type="dxa"/>
            <w:tcBorders>
              <w:top w:val="single" w:sz="4" w:space="0" w:color="auto"/>
              <w:left w:val="single" w:sz="4" w:space="0" w:color="auto"/>
              <w:bottom w:val="single" w:sz="4" w:space="0" w:color="auto"/>
              <w:right w:val="single" w:sz="4" w:space="0" w:color="auto"/>
            </w:tcBorders>
          </w:tcPr>
          <w:p w:rsidR="003A12BC" w:rsidRPr="00E60F16" w:rsidP="00693D26" w14:paraId="0A8A9070" w14:textId="77777777">
            <w:pPr>
              <w:spacing w:line="276" w:lineRule="auto"/>
              <w:jc w:val="center"/>
              <w:rPr>
                <w:rFonts w:ascii="Times New Roman" w:hAnsi="Times New Roman"/>
                <w:b/>
                <w:sz w:val="20"/>
                <w:szCs w:val="20"/>
              </w:rPr>
            </w:pPr>
            <w:r w:rsidRPr="00E60F16">
              <w:rPr>
                <w:rFonts w:ascii="Times New Roman" w:hAnsi="Times New Roman"/>
                <w:b/>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tcPr>
          <w:p w:rsidR="003A12BC" w:rsidRPr="00E60F16" w:rsidP="00831496" w14:paraId="00D3E1AC" w14:textId="77777777">
            <w:pPr>
              <w:spacing w:line="276" w:lineRule="auto"/>
              <w:rPr>
                <w:rFonts w:ascii="Times New Roman" w:hAnsi="Times New Roman"/>
                <w:b/>
                <w:sz w:val="20"/>
                <w:szCs w:val="20"/>
              </w:rPr>
            </w:pPr>
            <w:r w:rsidRPr="00E60F16">
              <w:rPr>
                <w:rFonts w:ascii="Times New Roman" w:hAnsi="Times New Roman"/>
                <w:b/>
                <w:bCs/>
                <w:sz w:val="20"/>
                <w:szCs w:val="20"/>
              </w:rPr>
              <w:t>$</w:t>
            </w:r>
            <w:r w:rsidRPr="00E60F16" w:rsidR="00B84BD0">
              <w:rPr>
                <w:rFonts w:ascii="Times New Roman" w:hAnsi="Times New Roman"/>
                <w:b/>
                <w:bCs/>
                <w:sz w:val="20"/>
                <w:szCs w:val="20"/>
              </w:rPr>
              <w:t>91.37</w:t>
            </w:r>
          </w:p>
        </w:tc>
        <w:tc>
          <w:tcPr>
            <w:tcW w:w="1430" w:type="dxa"/>
            <w:gridSpan w:val="2"/>
            <w:tcBorders>
              <w:top w:val="single" w:sz="4" w:space="0" w:color="auto"/>
              <w:left w:val="single" w:sz="4" w:space="0" w:color="auto"/>
              <w:bottom w:val="single" w:sz="4" w:space="0" w:color="auto"/>
              <w:right w:val="single" w:sz="4" w:space="0" w:color="auto"/>
            </w:tcBorders>
          </w:tcPr>
          <w:p w:rsidR="003A12BC" w:rsidRPr="00E60F16" w:rsidP="00693D26" w14:paraId="5B8533D0" w14:textId="77777777">
            <w:pPr>
              <w:spacing w:line="276" w:lineRule="auto"/>
              <w:jc w:val="center"/>
              <w:rPr>
                <w:rFonts w:ascii="Times New Roman" w:hAnsi="Times New Roman"/>
                <w:b/>
                <w:sz w:val="20"/>
                <w:szCs w:val="20"/>
              </w:rPr>
            </w:pPr>
            <w:r w:rsidRPr="00E60F16">
              <w:rPr>
                <w:rFonts w:ascii="Times New Roman" w:hAnsi="Times New Roman"/>
                <w:b/>
                <w:sz w:val="20"/>
                <w:szCs w:val="20"/>
              </w:rPr>
              <w:t>$0.00</w:t>
            </w:r>
          </w:p>
        </w:tc>
      </w:tr>
      <w:tr w14:paraId="7EAC2219" w14:textId="77777777" w:rsidTr="005F4A95">
        <w:tblPrEx>
          <w:tblW w:w="11425" w:type="dxa"/>
          <w:jc w:val="center"/>
          <w:tblLayout w:type="fixed"/>
          <w:tblLook w:val="04A0"/>
        </w:tblPrEx>
        <w:trPr>
          <w:trHeight w:val="593"/>
          <w:jc w:val="center"/>
        </w:trPr>
        <w:tc>
          <w:tcPr>
            <w:tcW w:w="11425" w:type="dxa"/>
            <w:gridSpan w:val="15"/>
            <w:tcBorders>
              <w:top w:val="single" w:sz="4" w:space="0" w:color="auto"/>
              <w:left w:val="single" w:sz="4" w:space="0" w:color="auto"/>
              <w:bottom w:val="single" w:sz="4" w:space="0" w:color="auto"/>
              <w:right w:val="single" w:sz="4" w:space="0" w:color="auto"/>
            </w:tcBorders>
          </w:tcPr>
          <w:p w:rsidR="00297FA6" w:rsidRPr="00E60F16" w:rsidP="00CF0703" w14:paraId="42FCFE14" w14:textId="77777777">
            <w:pPr>
              <w:spacing w:line="276" w:lineRule="auto"/>
              <w:jc w:val="center"/>
              <w:rPr>
                <w:rFonts w:ascii="Times New Roman" w:hAnsi="Times New Roman"/>
                <w:sz w:val="20"/>
                <w:szCs w:val="20"/>
              </w:rPr>
            </w:pPr>
            <w:r w:rsidRPr="00E60F16">
              <w:rPr>
                <w:rFonts w:ascii="Times New Roman" w:hAnsi="Times New Roman"/>
                <w:b/>
                <w:sz w:val="20"/>
                <w:szCs w:val="20"/>
              </w:rPr>
              <w:t>D. Prepare the Written Report to the Employer describing all serious hazards for all activities or workplace SHP assessments listed in B above (1908.6(g)(1))</w:t>
            </w:r>
          </w:p>
        </w:tc>
      </w:tr>
      <w:tr w14:paraId="488A61C0" w14:textId="77777777" w:rsidTr="005F4A95">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6D49AD" w:rsidRPr="00E60F16" w:rsidP="00273E2A" w14:paraId="2CA51B4F"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Pilot </w:t>
            </w:r>
            <w:r w:rsidRPr="00E60F16" w:rsidR="00CF0703">
              <w:rPr>
                <w:rFonts w:ascii="Times New Roman" w:hAnsi="Times New Roman"/>
                <w:b/>
                <w:sz w:val="20"/>
                <w:szCs w:val="20"/>
              </w:rPr>
              <w:t>Visits</w:t>
            </w:r>
          </w:p>
        </w:tc>
        <w:tc>
          <w:tcPr>
            <w:tcW w:w="1530" w:type="dxa"/>
            <w:tcBorders>
              <w:top w:val="single" w:sz="4" w:space="0" w:color="auto"/>
              <w:left w:val="single" w:sz="4" w:space="0" w:color="auto"/>
              <w:bottom w:val="single" w:sz="4" w:space="0" w:color="auto"/>
              <w:right w:val="single" w:sz="4" w:space="0" w:color="auto"/>
            </w:tcBorders>
          </w:tcPr>
          <w:p w:rsidR="006D49AD" w:rsidRPr="00E60F16" w:rsidP="00273E2A" w14:paraId="551573D9" w14:textId="77777777">
            <w:pPr>
              <w:spacing w:line="276" w:lineRule="auto"/>
              <w:jc w:val="center"/>
              <w:rPr>
                <w:rFonts w:ascii="Times New Roman" w:hAnsi="Times New Roman"/>
                <w:sz w:val="20"/>
                <w:szCs w:val="20"/>
              </w:rPr>
            </w:pPr>
            <w:r w:rsidRPr="00E60F16">
              <w:rPr>
                <w:rFonts w:ascii="Times New Roman" w:hAnsi="Times New Roman"/>
                <w:sz w:val="20"/>
                <w:szCs w:val="20"/>
              </w:rPr>
              <w:t>Consultants</w:t>
            </w:r>
          </w:p>
        </w:tc>
        <w:tc>
          <w:tcPr>
            <w:tcW w:w="1340" w:type="dxa"/>
            <w:tcBorders>
              <w:top w:val="single" w:sz="4" w:space="0" w:color="auto"/>
              <w:left w:val="single" w:sz="4" w:space="0" w:color="auto"/>
              <w:bottom w:val="single" w:sz="4" w:space="0" w:color="auto"/>
              <w:right w:val="single" w:sz="4" w:space="0" w:color="auto"/>
            </w:tcBorders>
          </w:tcPr>
          <w:p w:rsidR="006D49AD" w:rsidRPr="00E60F16" w:rsidP="00964DD1" w14:paraId="330A36FB"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1326" w:type="dxa"/>
            <w:gridSpan w:val="3"/>
            <w:tcBorders>
              <w:top w:val="single" w:sz="4" w:space="0" w:color="auto"/>
              <w:left w:val="single" w:sz="4" w:space="0" w:color="auto"/>
              <w:bottom w:val="single" w:sz="4" w:space="0" w:color="auto"/>
              <w:right w:val="single" w:sz="4" w:space="0" w:color="auto"/>
            </w:tcBorders>
          </w:tcPr>
          <w:p w:rsidR="006D49AD" w:rsidRPr="00E60F16" w:rsidP="00273E2A" w14:paraId="29EC0B49" w14:textId="77777777">
            <w:pPr>
              <w:spacing w:line="276" w:lineRule="auto"/>
              <w:jc w:val="center"/>
              <w:rPr>
                <w:rFonts w:ascii="Times New Roman" w:hAnsi="Times New Roman"/>
                <w:sz w:val="20"/>
                <w:szCs w:val="20"/>
              </w:rPr>
            </w:pPr>
            <w:r w:rsidRPr="00E60F16">
              <w:rPr>
                <w:rFonts w:ascii="Times New Roman" w:hAnsi="Times New Roman"/>
                <w:sz w:val="20"/>
                <w:szCs w:val="20"/>
              </w:rPr>
              <w:t>1.</w:t>
            </w:r>
            <w:r w:rsidRPr="00E60F16" w:rsidR="009D66DD">
              <w:rPr>
                <w:rFonts w:ascii="Times New Roman" w:hAnsi="Times New Roman"/>
                <w:sz w:val="20"/>
                <w:szCs w:val="20"/>
              </w:rPr>
              <w:t>0</w:t>
            </w:r>
          </w:p>
        </w:tc>
        <w:tc>
          <w:tcPr>
            <w:tcW w:w="1170" w:type="dxa"/>
            <w:gridSpan w:val="2"/>
            <w:tcBorders>
              <w:top w:val="single" w:sz="4" w:space="0" w:color="auto"/>
              <w:left w:val="single" w:sz="4" w:space="0" w:color="auto"/>
              <w:bottom w:val="single" w:sz="4" w:space="0" w:color="auto"/>
              <w:right w:val="single" w:sz="4" w:space="0" w:color="auto"/>
            </w:tcBorders>
          </w:tcPr>
          <w:p w:rsidR="006D49AD" w:rsidRPr="00E60F16" w:rsidP="00273E2A" w14:paraId="5F79A9AA"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900" w:type="dxa"/>
            <w:tcBorders>
              <w:top w:val="single" w:sz="4" w:space="0" w:color="auto"/>
              <w:left w:val="single" w:sz="4" w:space="0" w:color="auto"/>
              <w:bottom w:val="single" w:sz="4" w:space="0" w:color="auto"/>
              <w:right w:val="single" w:sz="4" w:space="0" w:color="auto"/>
            </w:tcBorders>
          </w:tcPr>
          <w:p w:rsidR="006D49AD" w:rsidRPr="00E60F16" w:rsidP="00273E2A" w14:paraId="596EB6CC" w14:textId="77777777">
            <w:pPr>
              <w:spacing w:line="276" w:lineRule="auto"/>
              <w:jc w:val="center"/>
              <w:rPr>
                <w:rFonts w:ascii="Times New Roman" w:hAnsi="Times New Roman"/>
                <w:sz w:val="20"/>
                <w:szCs w:val="20"/>
              </w:rPr>
            </w:pPr>
            <w:r w:rsidRPr="00E60F16">
              <w:rPr>
                <w:rFonts w:ascii="Times New Roman" w:hAnsi="Times New Roman"/>
                <w:sz w:val="20"/>
                <w:szCs w:val="20"/>
              </w:rPr>
              <w:t>7.5</w:t>
            </w:r>
          </w:p>
        </w:tc>
        <w:tc>
          <w:tcPr>
            <w:tcW w:w="1170" w:type="dxa"/>
            <w:gridSpan w:val="3"/>
            <w:tcBorders>
              <w:top w:val="single" w:sz="4" w:space="0" w:color="auto"/>
              <w:left w:val="single" w:sz="4" w:space="0" w:color="auto"/>
              <w:bottom w:val="single" w:sz="4" w:space="0" w:color="auto"/>
              <w:right w:val="single" w:sz="4" w:space="0" w:color="auto"/>
            </w:tcBorders>
          </w:tcPr>
          <w:p w:rsidR="006D49AD" w:rsidRPr="00E60F16" w:rsidP="00273E2A" w14:paraId="07679A5D" w14:textId="77777777">
            <w:pPr>
              <w:spacing w:line="276" w:lineRule="auto"/>
              <w:jc w:val="center"/>
              <w:rPr>
                <w:rFonts w:ascii="Times New Roman" w:hAnsi="Times New Roman"/>
                <w:sz w:val="20"/>
                <w:szCs w:val="20"/>
              </w:rPr>
            </w:pPr>
            <w:r w:rsidRPr="00E60F16">
              <w:rPr>
                <w:rFonts w:ascii="Times New Roman" w:hAnsi="Times New Roman"/>
                <w:sz w:val="20"/>
                <w:szCs w:val="20"/>
              </w:rPr>
              <w:t>150</w:t>
            </w:r>
          </w:p>
        </w:tc>
        <w:tc>
          <w:tcPr>
            <w:tcW w:w="900" w:type="dxa"/>
            <w:gridSpan w:val="2"/>
            <w:tcBorders>
              <w:top w:val="single" w:sz="4" w:space="0" w:color="auto"/>
              <w:left w:val="single" w:sz="4" w:space="0" w:color="auto"/>
              <w:bottom w:val="single" w:sz="4" w:space="0" w:color="auto"/>
              <w:right w:val="single" w:sz="4" w:space="0" w:color="auto"/>
            </w:tcBorders>
          </w:tcPr>
          <w:p w:rsidR="006D49AD" w:rsidRPr="00E60F16" w:rsidP="00273E2A" w14:paraId="2C9984A1" w14:textId="77777777">
            <w:pPr>
              <w:spacing w:line="276" w:lineRule="auto"/>
              <w:jc w:val="center"/>
              <w:rPr>
                <w:rFonts w:ascii="Times New Roman" w:hAnsi="Times New Roman"/>
                <w:sz w:val="20"/>
                <w:szCs w:val="20"/>
              </w:rPr>
            </w:pPr>
            <w:r w:rsidRPr="00E60F16">
              <w:rPr>
                <w:rFonts w:ascii="Times New Roman" w:hAnsi="Times New Roman"/>
                <w:sz w:val="20"/>
                <w:szCs w:val="20"/>
              </w:rPr>
              <w:t>$66.46</w:t>
            </w:r>
          </w:p>
        </w:tc>
        <w:tc>
          <w:tcPr>
            <w:tcW w:w="1284" w:type="dxa"/>
            <w:tcBorders>
              <w:top w:val="single" w:sz="4" w:space="0" w:color="auto"/>
              <w:left w:val="single" w:sz="4" w:space="0" w:color="auto"/>
              <w:bottom w:val="single" w:sz="4" w:space="0" w:color="auto"/>
              <w:right w:val="single" w:sz="4" w:space="0" w:color="auto"/>
            </w:tcBorders>
          </w:tcPr>
          <w:p w:rsidR="006D49AD" w:rsidRPr="00E60F16" w:rsidP="005F4A95" w14:paraId="1881D9BA"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793471">
              <w:rPr>
                <w:rFonts w:ascii="Times New Roman" w:hAnsi="Times New Roman"/>
                <w:sz w:val="20"/>
                <w:szCs w:val="20"/>
              </w:rPr>
              <w:t>9,969</w:t>
            </w:r>
          </w:p>
        </w:tc>
      </w:tr>
      <w:tr w14:paraId="44B99A34" w14:textId="77777777" w:rsidTr="005F4A95">
        <w:tblPrEx>
          <w:tblW w:w="11425" w:type="dxa"/>
          <w:jc w:val="center"/>
          <w:tblLayout w:type="fixed"/>
          <w:tblLook w:val="04A0"/>
        </w:tblPrEx>
        <w:trPr>
          <w:trHeight w:val="242"/>
          <w:jc w:val="center"/>
        </w:trPr>
        <w:tc>
          <w:tcPr>
            <w:tcW w:w="1805" w:type="dxa"/>
            <w:tcBorders>
              <w:top w:val="single" w:sz="4" w:space="0" w:color="auto"/>
              <w:left w:val="single" w:sz="4" w:space="0" w:color="auto"/>
              <w:bottom w:val="single" w:sz="4" w:space="0" w:color="auto"/>
              <w:right w:val="single" w:sz="4" w:space="0" w:color="auto"/>
            </w:tcBorders>
          </w:tcPr>
          <w:p w:rsidR="00793471" w:rsidRPr="00E60F16" w:rsidP="00793471" w14:paraId="7FD4F0E4" w14:textId="77777777">
            <w:pPr>
              <w:spacing w:line="276" w:lineRule="auto"/>
              <w:jc w:val="center"/>
              <w:rPr>
                <w:rFonts w:ascii="Times New Roman" w:hAnsi="Times New Roman"/>
                <w:b/>
                <w:sz w:val="20"/>
                <w:szCs w:val="20"/>
              </w:rPr>
            </w:pPr>
            <w:r w:rsidRPr="00E60F16">
              <w:rPr>
                <w:rFonts w:ascii="Times New Roman" w:hAnsi="Times New Roman"/>
                <w:b/>
                <w:sz w:val="20"/>
                <w:szCs w:val="20"/>
              </w:rPr>
              <w:t>Follow-up</w:t>
            </w:r>
            <w:r w:rsidRPr="00E60F16" w:rsidR="00CF0703">
              <w:rPr>
                <w:rFonts w:ascii="Times New Roman" w:hAnsi="Times New Roman"/>
                <w:b/>
                <w:sz w:val="20"/>
                <w:szCs w:val="20"/>
              </w:rPr>
              <w:t xml:space="preserve"> Visits</w:t>
            </w:r>
          </w:p>
        </w:tc>
        <w:tc>
          <w:tcPr>
            <w:tcW w:w="1530" w:type="dxa"/>
            <w:tcBorders>
              <w:top w:val="single" w:sz="4" w:space="0" w:color="auto"/>
              <w:left w:val="single" w:sz="4" w:space="0" w:color="auto"/>
              <w:bottom w:val="single" w:sz="4" w:space="0" w:color="auto"/>
              <w:right w:val="single" w:sz="4" w:space="0" w:color="auto"/>
            </w:tcBorders>
          </w:tcPr>
          <w:p w:rsidR="006D49AD" w:rsidRPr="00E60F16" w:rsidP="00964DD1" w14:paraId="272A5B7B" w14:textId="77777777">
            <w:pPr>
              <w:spacing w:line="276" w:lineRule="auto"/>
              <w:jc w:val="center"/>
              <w:rPr>
                <w:rFonts w:ascii="Times New Roman" w:hAnsi="Times New Roman"/>
                <w:sz w:val="20"/>
                <w:szCs w:val="20"/>
              </w:rPr>
            </w:pPr>
            <w:r w:rsidRPr="00E60F16">
              <w:rPr>
                <w:rFonts w:ascii="Times New Roman" w:hAnsi="Times New Roman"/>
                <w:sz w:val="20"/>
                <w:szCs w:val="20"/>
              </w:rPr>
              <w:t>Consultants</w:t>
            </w:r>
          </w:p>
        </w:tc>
        <w:tc>
          <w:tcPr>
            <w:tcW w:w="1340" w:type="dxa"/>
            <w:tcBorders>
              <w:top w:val="single" w:sz="4" w:space="0" w:color="auto"/>
              <w:left w:val="single" w:sz="4" w:space="0" w:color="auto"/>
              <w:bottom w:val="single" w:sz="4" w:space="0" w:color="auto"/>
              <w:right w:val="single" w:sz="4" w:space="0" w:color="auto"/>
            </w:tcBorders>
          </w:tcPr>
          <w:p w:rsidR="006D49AD" w:rsidRPr="00E60F16" w:rsidP="00793471" w14:paraId="1F0452E1" w14:textId="77777777">
            <w:pPr>
              <w:spacing w:line="276" w:lineRule="auto"/>
              <w:jc w:val="center"/>
              <w:rPr>
                <w:rFonts w:ascii="Times New Roman" w:hAnsi="Times New Roman"/>
                <w:sz w:val="20"/>
                <w:szCs w:val="20"/>
              </w:rPr>
            </w:pPr>
            <w:r w:rsidRPr="00E60F16">
              <w:rPr>
                <w:rFonts w:ascii="Times New Roman" w:hAnsi="Times New Roman"/>
                <w:sz w:val="20"/>
                <w:szCs w:val="20"/>
              </w:rPr>
              <w:t>20</w:t>
            </w:r>
          </w:p>
        </w:tc>
        <w:tc>
          <w:tcPr>
            <w:tcW w:w="1326" w:type="dxa"/>
            <w:gridSpan w:val="3"/>
            <w:tcBorders>
              <w:top w:val="single" w:sz="4" w:space="0" w:color="auto"/>
              <w:left w:val="single" w:sz="4" w:space="0" w:color="auto"/>
              <w:bottom w:val="single" w:sz="4" w:space="0" w:color="auto"/>
              <w:right w:val="single" w:sz="4" w:space="0" w:color="auto"/>
            </w:tcBorders>
          </w:tcPr>
          <w:p w:rsidR="006D49AD" w:rsidRPr="00E60F16" w:rsidP="00273E2A" w14:paraId="03EC4960" w14:textId="77777777">
            <w:pPr>
              <w:spacing w:line="276" w:lineRule="auto"/>
              <w:jc w:val="center"/>
              <w:rPr>
                <w:rFonts w:ascii="Times New Roman" w:hAnsi="Times New Roman"/>
                <w:sz w:val="20"/>
                <w:szCs w:val="20"/>
              </w:rPr>
            </w:pPr>
            <w:r w:rsidRPr="00E60F16">
              <w:rPr>
                <w:rFonts w:ascii="Times New Roman" w:hAnsi="Times New Roman"/>
                <w:sz w:val="20"/>
                <w:szCs w:val="20"/>
              </w:rPr>
              <w:t>1.5</w:t>
            </w:r>
          </w:p>
          <w:p w:rsidR="006D49AD" w:rsidRPr="00E60F16" w:rsidP="00273E2A" w14:paraId="1AC78DDE"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6D49AD" w:rsidRPr="00E60F16" w:rsidP="00273E2A" w14:paraId="749A34A5" w14:textId="77777777">
            <w:pPr>
              <w:spacing w:line="276" w:lineRule="auto"/>
              <w:jc w:val="center"/>
              <w:rPr>
                <w:rFonts w:ascii="Times New Roman" w:hAnsi="Times New Roman"/>
                <w:sz w:val="20"/>
                <w:szCs w:val="20"/>
              </w:rPr>
            </w:pPr>
            <w:r w:rsidRPr="00E60F16">
              <w:rPr>
                <w:rFonts w:ascii="Times New Roman" w:hAnsi="Times New Roman"/>
                <w:sz w:val="20"/>
                <w:szCs w:val="20"/>
              </w:rPr>
              <w:t>30</w:t>
            </w:r>
          </w:p>
          <w:p w:rsidR="006D49AD" w:rsidRPr="00E60F16" w:rsidP="00273E2A" w14:paraId="5AE28438" w14:textId="77777777">
            <w:pPr>
              <w:spacing w:line="276"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6D49AD" w:rsidRPr="00E60F16" w:rsidP="00273E2A" w14:paraId="3EF72FEF" w14:textId="77777777">
            <w:pPr>
              <w:spacing w:line="276" w:lineRule="auto"/>
              <w:jc w:val="center"/>
              <w:rPr>
                <w:rFonts w:ascii="Times New Roman" w:hAnsi="Times New Roman"/>
                <w:sz w:val="20"/>
                <w:szCs w:val="20"/>
              </w:rPr>
            </w:pPr>
            <w:r w:rsidRPr="00E60F16">
              <w:rPr>
                <w:rFonts w:ascii="Times New Roman" w:hAnsi="Times New Roman"/>
                <w:sz w:val="20"/>
                <w:szCs w:val="20"/>
              </w:rPr>
              <w:t>7.5</w:t>
            </w:r>
          </w:p>
          <w:p w:rsidR="006D49AD" w:rsidRPr="00E60F16" w:rsidP="00273E2A" w14:paraId="2BF6CAA1" w14:textId="77777777">
            <w:pPr>
              <w:spacing w:line="276" w:lineRule="auto"/>
              <w:jc w:val="center"/>
              <w:rPr>
                <w:rFonts w:ascii="Times New Roman" w:hAnsi="Times New Roman"/>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6D49AD" w:rsidRPr="00E60F16" w:rsidP="00273E2A" w14:paraId="35C83E0F" w14:textId="77777777">
            <w:pPr>
              <w:spacing w:line="276" w:lineRule="auto"/>
              <w:jc w:val="center"/>
              <w:rPr>
                <w:rFonts w:ascii="Times New Roman" w:hAnsi="Times New Roman"/>
                <w:sz w:val="20"/>
                <w:szCs w:val="20"/>
              </w:rPr>
            </w:pPr>
            <w:r w:rsidRPr="00E60F16">
              <w:rPr>
                <w:rFonts w:ascii="Times New Roman" w:hAnsi="Times New Roman"/>
                <w:sz w:val="20"/>
                <w:szCs w:val="20"/>
              </w:rPr>
              <w:t>225</w:t>
            </w:r>
          </w:p>
          <w:p w:rsidR="006D49AD" w:rsidRPr="00E60F16" w:rsidP="00273E2A" w14:paraId="5E01886F"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6D49AD" w:rsidRPr="00E60F16" w:rsidP="00273E2A" w14:paraId="7BDBF2FF"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2E75CD">
              <w:rPr>
                <w:rFonts w:ascii="Times New Roman" w:hAnsi="Times New Roman"/>
                <w:sz w:val="20"/>
                <w:szCs w:val="20"/>
              </w:rPr>
              <w:t>66.46</w:t>
            </w:r>
          </w:p>
        </w:tc>
        <w:tc>
          <w:tcPr>
            <w:tcW w:w="1284" w:type="dxa"/>
            <w:tcBorders>
              <w:top w:val="single" w:sz="4" w:space="0" w:color="auto"/>
              <w:left w:val="single" w:sz="4" w:space="0" w:color="auto"/>
              <w:bottom w:val="single" w:sz="4" w:space="0" w:color="auto"/>
              <w:right w:val="single" w:sz="4" w:space="0" w:color="auto"/>
            </w:tcBorders>
          </w:tcPr>
          <w:p w:rsidR="006D49AD" w:rsidRPr="00E60F16" w:rsidP="00793471" w14:paraId="40061753"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012800">
              <w:rPr>
                <w:rFonts w:ascii="Times New Roman" w:hAnsi="Times New Roman"/>
                <w:sz w:val="20"/>
                <w:szCs w:val="20"/>
              </w:rPr>
              <w:t>14,95</w:t>
            </w:r>
            <w:r w:rsidR="00461567">
              <w:rPr>
                <w:rFonts w:ascii="Times New Roman" w:hAnsi="Times New Roman"/>
                <w:sz w:val="20"/>
                <w:szCs w:val="20"/>
              </w:rPr>
              <w:t>4</w:t>
            </w:r>
          </w:p>
        </w:tc>
      </w:tr>
      <w:tr w14:paraId="4B38E860" w14:textId="77777777" w:rsidTr="005F4A95">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6D49AD" w:rsidRPr="00E60F16" w:rsidP="00693D26" w14:paraId="1F5D8892" w14:textId="77777777">
            <w:pPr>
              <w:spacing w:line="276" w:lineRule="auto"/>
              <w:jc w:val="center"/>
              <w:rPr>
                <w:rFonts w:ascii="Times New Roman" w:hAnsi="Times New Roman"/>
                <w:b/>
                <w:sz w:val="20"/>
                <w:szCs w:val="20"/>
              </w:rPr>
            </w:pPr>
            <w:r w:rsidRPr="00E60F16">
              <w:rPr>
                <w:rFonts w:ascii="Times New Roman" w:hAnsi="Times New Roman"/>
                <w:b/>
                <w:sz w:val="20"/>
                <w:szCs w:val="20"/>
              </w:rPr>
              <w:t>Sub</w:t>
            </w:r>
            <w:r w:rsidR="00D21297">
              <w:rPr>
                <w:rFonts w:ascii="Times New Roman" w:hAnsi="Times New Roman"/>
                <w:b/>
                <w:sz w:val="20"/>
                <w:szCs w:val="20"/>
              </w:rPr>
              <w:t>t</w:t>
            </w:r>
            <w:r w:rsidRPr="00E60F16">
              <w:rPr>
                <w:rFonts w:ascii="Times New Roman" w:hAnsi="Times New Roman"/>
                <w:b/>
                <w:sz w:val="20"/>
                <w:szCs w:val="20"/>
              </w:rPr>
              <w:t>otal D.</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D49AD" w:rsidRPr="00E60F16" w:rsidP="00693D26" w14:paraId="624D0E0C" w14:textId="77777777">
            <w:pPr>
              <w:spacing w:line="276" w:lineRule="auto"/>
              <w:jc w:val="center"/>
              <w:rPr>
                <w:rFonts w:ascii="Times New Roman" w:hAnsi="Times New Roman"/>
                <w:b/>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tcPr>
          <w:p w:rsidR="006D49AD" w:rsidRPr="00E60F16" w:rsidP="00693D26" w14:paraId="4120C75D" w14:textId="77777777">
            <w:pPr>
              <w:spacing w:line="276" w:lineRule="auto"/>
              <w:jc w:val="center"/>
              <w:rPr>
                <w:rFonts w:ascii="Times New Roman" w:hAnsi="Times New Roman"/>
                <w:b/>
                <w:sz w:val="20"/>
                <w:szCs w:val="20"/>
              </w:rPr>
            </w:pPr>
          </w:p>
          <w:p w:rsidR="006D49AD" w:rsidRPr="00E60F16" w:rsidP="00693D26" w14:paraId="218D0EEF" w14:textId="77777777">
            <w:pPr>
              <w:spacing w:line="276" w:lineRule="auto"/>
              <w:jc w:val="center"/>
              <w:rPr>
                <w:rFonts w:ascii="Times New Roman" w:hAnsi="Times New Roman"/>
                <w:b/>
                <w:sz w:val="20"/>
                <w:szCs w:val="20"/>
              </w:rPr>
            </w:pPr>
            <w:r w:rsidRPr="00E60F16">
              <w:rPr>
                <w:rFonts w:ascii="Times New Roman" w:hAnsi="Times New Roman"/>
                <w:sz w:val="20"/>
                <w:szCs w:val="20"/>
                <w:shd w:val="clear" w:color="auto" w:fill="FFFFFF" w:themeFill="background1"/>
              </w:rPr>
              <w:t>20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D49AD" w:rsidRPr="00E60F16" w:rsidP="00693D26" w14:paraId="3B8299A0"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6D49AD" w:rsidRPr="00E60F16" w14:paraId="1C4C6ED0" w14:textId="77777777">
            <w:pPr>
              <w:spacing w:line="276" w:lineRule="auto"/>
              <w:jc w:val="center"/>
              <w:rPr>
                <w:rFonts w:ascii="Times New Roman" w:hAnsi="Times New Roman"/>
                <w:b/>
                <w:sz w:val="20"/>
                <w:szCs w:val="20"/>
              </w:rPr>
            </w:pPr>
            <w:r w:rsidRPr="00E60F16">
              <w:rPr>
                <w:rFonts w:ascii="Times New Roman" w:hAnsi="Times New Roman"/>
                <w:b/>
                <w:sz w:val="20"/>
                <w:szCs w:val="20"/>
              </w:rPr>
              <w:t>50</w:t>
            </w:r>
          </w:p>
        </w:tc>
        <w:tc>
          <w:tcPr>
            <w:tcW w:w="900" w:type="dxa"/>
            <w:tcBorders>
              <w:top w:val="single" w:sz="4" w:space="0" w:color="auto"/>
              <w:left w:val="single" w:sz="4" w:space="0" w:color="auto"/>
              <w:bottom w:val="single" w:sz="4" w:space="0" w:color="auto"/>
              <w:right w:val="single" w:sz="4" w:space="0" w:color="auto"/>
            </w:tcBorders>
          </w:tcPr>
          <w:p w:rsidR="006D49AD" w:rsidRPr="00E60F16" w:rsidP="00693D26" w14:paraId="3B43D351" w14:textId="77777777">
            <w:pPr>
              <w:spacing w:line="276" w:lineRule="auto"/>
              <w:jc w:val="center"/>
              <w:rPr>
                <w:rFonts w:ascii="Times New Roman" w:hAnsi="Times New Roman"/>
                <w:b/>
                <w:sz w:val="20"/>
                <w:szCs w:val="20"/>
              </w:rPr>
            </w:pPr>
            <w:r w:rsidRPr="00E60F16">
              <w:rPr>
                <w:rFonts w:ascii="Times New Roman" w:hAnsi="Times New Roman"/>
                <w:b/>
                <w:sz w:val="20"/>
                <w:szCs w:val="20"/>
              </w:rPr>
              <w:t>7.5</w:t>
            </w:r>
          </w:p>
        </w:tc>
        <w:tc>
          <w:tcPr>
            <w:tcW w:w="1170" w:type="dxa"/>
            <w:gridSpan w:val="3"/>
            <w:tcBorders>
              <w:top w:val="single" w:sz="4" w:space="0" w:color="auto"/>
              <w:left w:val="single" w:sz="4" w:space="0" w:color="auto"/>
              <w:bottom w:val="single" w:sz="4" w:space="0" w:color="auto"/>
              <w:right w:val="single" w:sz="4" w:space="0" w:color="auto"/>
            </w:tcBorders>
          </w:tcPr>
          <w:p w:rsidR="006D49AD" w:rsidRPr="00E60F16" w14:paraId="340E9548" w14:textId="77777777">
            <w:pPr>
              <w:spacing w:line="276" w:lineRule="auto"/>
              <w:jc w:val="center"/>
              <w:rPr>
                <w:rFonts w:ascii="Times New Roman" w:hAnsi="Times New Roman"/>
                <w:b/>
                <w:sz w:val="20"/>
                <w:szCs w:val="20"/>
              </w:rPr>
            </w:pPr>
            <w:r w:rsidRPr="00E60F16">
              <w:rPr>
                <w:rFonts w:ascii="Times New Roman" w:hAnsi="Times New Roman"/>
                <w:b/>
                <w:sz w:val="20"/>
                <w:szCs w:val="20"/>
              </w:rPr>
              <w:t>375</w:t>
            </w:r>
          </w:p>
        </w:tc>
        <w:tc>
          <w:tcPr>
            <w:tcW w:w="900" w:type="dxa"/>
            <w:gridSpan w:val="2"/>
            <w:tcBorders>
              <w:top w:val="single" w:sz="4" w:space="0" w:color="auto"/>
              <w:left w:val="single" w:sz="4" w:space="0" w:color="auto"/>
              <w:bottom w:val="single" w:sz="4" w:space="0" w:color="auto"/>
              <w:right w:val="single" w:sz="4" w:space="0" w:color="auto"/>
            </w:tcBorders>
          </w:tcPr>
          <w:p w:rsidR="006D49AD" w:rsidRPr="00E60F16" w:rsidP="00693D26" w14:paraId="2E81B03E"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012800">
              <w:rPr>
                <w:rFonts w:ascii="Times New Roman" w:hAnsi="Times New Roman"/>
                <w:b/>
                <w:sz w:val="20"/>
                <w:szCs w:val="20"/>
              </w:rPr>
              <w:t>66.46</w:t>
            </w:r>
          </w:p>
        </w:tc>
        <w:tc>
          <w:tcPr>
            <w:tcW w:w="1284" w:type="dxa"/>
            <w:tcBorders>
              <w:top w:val="single" w:sz="4" w:space="0" w:color="auto"/>
              <w:left w:val="single" w:sz="4" w:space="0" w:color="auto"/>
              <w:bottom w:val="single" w:sz="4" w:space="0" w:color="auto"/>
              <w:right w:val="single" w:sz="4" w:space="0" w:color="auto"/>
            </w:tcBorders>
          </w:tcPr>
          <w:p w:rsidR="006D49AD" w:rsidRPr="00E60F16" w:rsidP="00693D26" w14:paraId="40530022"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9505B6">
              <w:rPr>
                <w:rFonts w:ascii="Times New Roman" w:hAnsi="Times New Roman"/>
                <w:b/>
                <w:sz w:val="20"/>
                <w:szCs w:val="20"/>
              </w:rPr>
              <w:t>24,92</w:t>
            </w:r>
            <w:r w:rsidR="00801DB5">
              <w:rPr>
                <w:rFonts w:ascii="Times New Roman" w:hAnsi="Times New Roman"/>
                <w:b/>
                <w:sz w:val="20"/>
                <w:szCs w:val="20"/>
              </w:rPr>
              <w:t>3</w:t>
            </w:r>
          </w:p>
        </w:tc>
      </w:tr>
      <w:tr w14:paraId="09B49835" w14:textId="77777777" w:rsidTr="005F4A95">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6D49AD" w:rsidRPr="00E60F16" w:rsidP="00693D26" w14:paraId="6137846A"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E. Inform OSHA or State Plan </w:t>
            </w:r>
            <w:r w:rsidRPr="00E60F16">
              <w:rPr>
                <w:rFonts w:ascii="Times New Roman" w:hAnsi="Times New Roman"/>
                <w:b/>
                <w:sz w:val="20"/>
                <w:szCs w:val="20"/>
              </w:rPr>
              <w:t xml:space="preserve">Compliance there is a Consultation </w:t>
            </w:r>
            <w:r w:rsidRPr="00E60F16">
              <w:rPr>
                <w:rFonts w:ascii="Times New Roman" w:hAnsi="Times New Roman"/>
                <w:b/>
                <w:sz w:val="20"/>
                <w:szCs w:val="20"/>
              </w:rPr>
              <w:br/>
              <w:t>“Visit in Progress</w:t>
            </w:r>
            <w:r>
              <w:rPr>
                <w:rStyle w:val="FootnoteReference"/>
                <w:rFonts w:ascii="Times New Roman" w:hAnsi="Times New Roman"/>
                <w:b/>
                <w:sz w:val="20"/>
                <w:szCs w:val="20"/>
              </w:rPr>
              <w:footnoteReference w:id="10"/>
            </w:r>
            <w:r w:rsidRPr="00E60F16">
              <w:rPr>
                <w:rFonts w:ascii="Times New Roman" w:hAnsi="Times New Roman"/>
                <w:b/>
                <w:sz w:val="20"/>
                <w:szCs w:val="20"/>
              </w:rPr>
              <w:t>” (1908.7(b)(1))</w:t>
            </w:r>
          </w:p>
        </w:tc>
        <w:tc>
          <w:tcPr>
            <w:tcW w:w="1530" w:type="dxa"/>
            <w:tcBorders>
              <w:top w:val="single" w:sz="4" w:space="0" w:color="auto"/>
              <w:left w:val="single" w:sz="4" w:space="0" w:color="auto"/>
              <w:bottom w:val="single" w:sz="4" w:space="0" w:color="auto"/>
              <w:right w:val="single" w:sz="4" w:space="0" w:color="auto"/>
            </w:tcBorders>
          </w:tcPr>
          <w:p w:rsidR="006D49AD" w:rsidRPr="00E60F16" w:rsidP="00C46D8C" w14:paraId="29DFB2AC" w14:textId="77777777">
            <w:pPr>
              <w:spacing w:line="276" w:lineRule="auto"/>
              <w:jc w:val="center"/>
              <w:rPr>
                <w:rFonts w:ascii="Times New Roman" w:hAnsi="Times New Roman"/>
                <w:sz w:val="20"/>
                <w:szCs w:val="20"/>
              </w:rPr>
            </w:pPr>
            <w:r w:rsidRPr="00E60F16">
              <w:rPr>
                <w:rFonts w:ascii="Times New Roman" w:hAnsi="Times New Roman"/>
                <w:sz w:val="20"/>
                <w:szCs w:val="20"/>
              </w:rPr>
              <w:t>CPM</w:t>
            </w:r>
          </w:p>
        </w:tc>
        <w:tc>
          <w:tcPr>
            <w:tcW w:w="1340" w:type="dxa"/>
            <w:tcBorders>
              <w:top w:val="single" w:sz="4" w:space="0" w:color="auto"/>
              <w:left w:val="single" w:sz="4" w:space="0" w:color="auto"/>
              <w:bottom w:val="single" w:sz="4" w:space="0" w:color="auto"/>
              <w:right w:val="single" w:sz="4" w:space="0" w:color="auto"/>
            </w:tcBorders>
          </w:tcPr>
          <w:p w:rsidR="006D49AD" w:rsidRPr="00E60F16" w:rsidP="00C46D8C" w14:paraId="05D63400" w14:textId="77777777">
            <w:pPr>
              <w:spacing w:line="276" w:lineRule="auto"/>
              <w:jc w:val="center"/>
              <w:rPr>
                <w:rFonts w:ascii="Times New Roman" w:hAnsi="Times New Roman"/>
                <w:sz w:val="20"/>
                <w:szCs w:val="20"/>
              </w:rPr>
            </w:pPr>
            <w:r w:rsidRPr="00E60F16">
              <w:rPr>
                <w:rFonts w:ascii="Times New Roman" w:hAnsi="Times New Roman"/>
                <w:sz w:val="20"/>
                <w:szCs w:val="20"/>
              </w:rPr>
              <w:t>3</w:t>
            </w:r>
          </w:p>
        </w:tc>
        <w:tc>
          <w:tcPr>
            <w:tcW w:w="1326" w:type="dxa"/>
            <w:gridSpan w:val="3"/>
            <w:tcBorders>
              <w:top w:val="single" w:sz="4" w:space="0" w:color="auto"/>
              <w:left w:val="single" w:sz="4" w:space="0" w:color="auto"/>
              <w:bottom w:val="single" w:sz="4" w:space="0" w:color="auto"/>
              <w:right w:val="single" w:sz="4" w:space="0" w:color="auto"/>
            </w:tcBorders>
          </w:tcPr>
          <w:p w:rsidR="006D49AD" w:rsidRPr="00E60F16" w:rsidP="00693D26" w14:paraId="05958A5E" w14:textId="77777777">
            <w:pPr>
              <w:spacing w:line="276" w:lineRule="auto"/>
              <w:jc w:val="center"/>
              <w:rPr>
                <w:rFonts w:ascii="Times New Roman" w:hAnsi="Times New Roman"/>
                <w:sz w:val="20"/>
                <w:szCs w:val="20"/>
              </w:rPr>
            </w:pPr>
            <w:r w:rsidRPr="00E60F16">
              <w:rPr>
                <w:rFonts w:ascii="Times New Roman" w:hAnsi="Times New Roman"/>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tcPr>
          <w:p w:rsidR="006D49AD" w:rsidRPr="00E60F16" w:rsidP="00693D26" w14:paraId="54E9EBA0" w14:textId="77777777">
            <w:pPr>
              <w:spacing w:line="276" w:lineRule="auto"/>
              <w:jc w:val="center"/>
              <w:rPr>
                <w:rFonts w:ascii="Times New Roman" w:hAnsi="Times New Roman"/>
                <w:b/>
                <w:sz w:val="20"/>
                <w:szCs w:val="20"/>
              </w:rPr>
            </w:pPr>
            <w:r w:rsidRPr="00E60F16">
              <w:rPr>
                <w:rFonts w:ascii="Times New Roman" w:hAnsi="Times New Roman"/>
                <w:b/>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6D49AD" w:rsidRPr="00E60F16" w:rsidP="00693D26" w14:paraId="2D012ACC" w14:textId="77777777">
            <w:pPr>
              <w:spacing w:line="276" w:lineRule="auto"/>
              <w:jc w:val="center"/>
              <w:rPr>
                <w:rFonts w:ascii="Times New Roman" w:hAnsi="Times New Roman"/>
                <w:b/>
                <w:sz w:val="20"/>
                <w:szCs w:val="20"/>
              </w:rPr>
            </w:pPr>
            <w:r w:rsidRPr="00E60F16">
              <w:rPr>
                <w:rFonts w:ascii="Times New Roman" w:hAnsi="Times New Roman"/>
                <w:b/>
                <w:sz w:val="20"/>
                <w:szCs w:val="20"/>
              </w:rPr>
              <w:t>6/60</w:t>
            </w:r>
          </w:p>
        </w:tc>
        <w:tc>
          <w:tcPr>
            <w:tcW w:w="1170" w:type="dxa"/>
            <w:gridSpan w:val="3"/>
            <w:tcBorders>
              <w:top w:val="single" w:sz="4" w:space="0" w:color="auto"/>
              <w:left w:val="single" w:sz="4" w:space="0" w:color="auto"/>
              <w:bottom w:val="single" w:sz="4" w:space="0" w:color="auto"/>
              <w:right w:val="single" w:sz="4" w:space="0" w:color="auto"/>
            </w:tcBorders>
          </w:tcPr>
          <w:p w:rsidR="006D49AD" w:rsidRPr="00E60F16" w:rsidP="00693D26" w14:paraId="20D3AD80" w14:textId="77777777">
            <w:pPr>
              <w:spacing w:line="276" w:lineRule="auto"/>
              <w:jc w:val="center"/>
              <w:rPr>
                <w:rFonts w:ascii="Times New Roman" w:hAnsi="Times New Roman"/>
                <w:b/>
                <w:sz w:val="20"/>
                <w:szCs w:val="20"/>
              </w:rPr>
            </w:pPr>
            <w:r w:rsidRPr="00E60F16">
              <w:rPr>
                <w:rFonts w:ascii="Times New Roman" w:hAnsi="Times New Roman"/>
                <w:b/>
                <w:sz w:val="20"/>
                <w:szCs w:val="20"/>
              </w:rPr>
              <w:t>0.3</w:t>
            </w:r>
          </w:p>
        </w:tc>
        <w:tc>
          <w:tcPr>
            <w:tcW w:w="900" w:type="dxa"/>
            <w:gridSpan w:val="2"/>
            <w:tcBorders>
              <w:top w:val="single" w:sz="4" w:space="0" w:color="auto"/>
              <w:left w:val="single" w:sz="4" w:space="0" w:color="auto"/>
              <w:bottom w:val="single" w:sz="4" w:space="0" w:color="auto"/>
              <w:right w:val="single" w:sz="4" w:space="0" w:color="auto"/>
            </w:tcBorders>
          </w:tcPr>
          <w:p w:rsidR="006D49AD" w:rsidRPr="00E60F16" w14:paraId="73B3D5B9"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B84BD0">
              <w:rPr>
                <w:rFonts w:ascii="Times New Roman" w:hAnsi="Times New Roman"/>
                <w:b/>
                <w:sz w:val="20"/>
                <w:szCs w:val="20"/>
              </w:rPr>
              <w:t>91.37</w:t>
            </w:r>
          </w:p>
        </w:tc>
        <w:tc>
          <w:tcPr>
            <w:tcW w:w="1284" w:type="dxa"/>
            <w:tcBorders>
              <w:top w:val="single" w:sz="4" w:space="0" w:color="auto"/>
              <w:left w:val="single" w:sz="4" w:space="0" w:color="auto"/>
              <w:bottom w:val="single" w:sz="4" w:space="0" w:color="auto"/>
              <w:right w:val="single" w:sz="4" w:space="0" w:color="auto"/>
            </w:tcBorders>
          </w:tcPr>
          <w:p w:rsidR="006D49AD" w:rsidRPr="00E60F16" w14:paraId="551B0C52"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C62601">
              <w:rPr>
                <w:rFonts w:ascii="Times New Roman" w:hAnsi="Times New Roman"/>
                <w:b/>
                <w:sz w:val="20"/>
                <w:szCs w:val="20"/>
              </w:rPr>
              <w:t>27</w:t>
            </w:r>
          </w:p>
        </w:tc>
      </w:tr>
      <w:tr w14:paraId="3114BB18" w14:textId="77777777" w:rsidTr="005F4A95">
        <w:tblPrEx>
          <w:tblW w:w="11425"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tcPr>
          <w:p w:rsidR="006D49AD" w:rsidRPr="00E60F16" w:rsidP="00693D26" w14:paraId="703FEABD"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49AD" w:rsidRPr="00E60F16" w:rsidP="00693D26" w14:paraId="5F1D4B6C" w14:textId="77777777">
            <w:pPr>
              <w:spacing w:line="276" w:lineRule="auto"/>
              <w:jc w:val="center"/>
              <w:rPr>
                <w:rFonts w:ascii="Times New Roman" w:hAnsi="Times New Roman"/>
                <w:b/>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FFFFFF" w:themeFill="background1"/>
          </w:tcPr>
          <w:p w:rsidR="006D49AD" w:rsidRPr="00E60F16" w:rsidP="00693D26" w14:paraId="01E34455" w14:textId="77777777">
            <w:pPr>
              <w:spacing w:line="276" w:lineRule="auto"/>
              <w:jc w:val="center"/>
              <w:rPr>
                <w:rFonts w:ascii="Times New Roman" w:hAnsi="Times New Roman"/>
                <w:sz w:val="20"/>
                <w:szCs w:val="20"/>
              </w:rPr>
            </w:pPr>
            <w:r w:rsidRPr="00E60F16">
              <w:rPr>
                <w:rFonts w:ascii="Times New Roman" w:hAnsi="Times New Roman"/>
                <w:sz w:val="20"/>
                <w:szCs w:val="20"/>
              </w:rPr>
              <w:t>2</w:t>
            </w:r>
            <w:r w:rsidRPr="00E60F16" w:rsidR="00C229C1">
              <w:rPr>
                <w:rFonts w:ascii="Times New Roman" w:hAnsi="Times New Roman"/>
                <w:sz w:val="20"/>
                <w:szCs w:val="20"/>
              </w:rPr>
              <w:t>3</w:t>
            </w:r>
          </w:p>
        </w:tc>
        <w:tc>
          <w:tcPr>
            <w:tcW w:w="132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49AD" w:rsidRPr="00E60F16" w:rsidP="00693D26" w14:paraId="06C1190B"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6D49AD" w:rsidRPr="00E60F16" w:rsidP="00693D26" w14:paraId="38EA7C43" w14:textId="77777777">
            <w:pPr>
              <w:spacing w:line="276" w:lineRule="auto"/>
              <w:jc w:val="center"/>
              <w:rPr>
                <w:rFonts w:ascii="Times New Roman" w:hAnsi="Times New Roman"/>
                <w:b/>
                <w:sz w:val="20"/>
                <w:szCs w:val="20"/>
              </w:rPr>
            </w:pPr>
            <w:r w:rsidRPr="00E60F16">
              <w:rPr>
                <w:rFonts w:ascii="Times New Roman" w:hAnsi="Times New Roman"/>
                <w:b/>
                <w:sz w:val="20"/>
                <w:szCs w:val="20"/>
              </w:rPr>
              <w:t>157</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49AD" w:rsidRPr="00E60F16" w:rsidP="00693D26" w14:paraId="16ADE8D4" w14:textId="77777777">
            <w:pPr>
              <w:spacing w:line="276" w:lineRule="auto"/>
              <w:jc w:val="center"/>
              <w:rPr>
                <w:rFonts w:ascii="Times New Roman" w:hAnsi="Times New Roman"/>
                <w:sz w:val="20"/>
                <w:szCs w:val="20"/>
              </w:rPr>
            </w:pPr>
          </w:p>
        </w:tc>
        <w:tc>
          <w:tcPr>
            <w:tcW w:w="1170" w:type="dxa"/>
            <w:gridSpan w:val="3"/>
            <w:tcBorders>
              <w:top w:val="single" w:sz="4" w:space="0" w:color="auto"/>
              <w:left w:val="single" w:sz="4" w:space="0" w:color="auto"/>
              <w:bottom w:val="single" w:sz="4" w:space="0" w:color="auto"/>
              <w:right w:val="single" w:sz="4" w:space="0" w:color="auto"/>
            </w:tcBorders>
          </w:tcPr>
          <w:p w:rsidR="006D49AD" w:rsidRPr="00E60F16" w:rsidP="00693D26" w14:paraId="28C9D70C" w14:textId="77777777">
            <w:pPr>
              <w:spacing w:line="276" w:lineRule="auto"/>
              <w:jc w:val="center"/>
              <w:rPr>
                <w:rFonts w:ascii="Times New Roman" w:hAnsi="Times New Roman"/>
                <w:b/>
                <w:sz w:val="20"/>
                <w:szCs w:val="20"/>
              </w:rPr>
            </w:pPr>
            <w:r w:rsidRPr="00E60F16">
              <w:rPr>
                <w:rFonts w:ascii="Times New Roman" w:hAnsi="Times New Roman"/>
                <w:b/>
                <w:sz w:val="20"/>
                <w:szCs w:val="20"/>
              </w:rPr>
              <w:t>649.</w:t>
            </w:r>
            <w:r w:rsidRPr="00E60F16" w:rsidR="003E62F7">
              <w:rPr>
                <w:rFonts w:ascii="Times New Roman" w:hAnsi="Times New Roman"/>
                <w:b/>
                <w:sz w:val="20"/>
                <w:szCs w:val="20"/>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D49AD" w:rsidRPr="00E60F16" w:rsidP="00693D26" w14:paraId="624BAC84" w14:textId="77777777">
            <w:pPr>
              <w:spacing w:line="276" w:lineRule="auto"/>
              <w:jc w:val="center"/>
              <w:rPr>
                <w:rFonts w:ascii="Times New Roman" w:hAnsi="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6D49AD" w:rsidRPr="00E60F16" w14:paraId="0C2636E6" w14:textId="77777777">
            <w:pPr>
              <w:spacing w:line="276" w:lineRule="auto"/>
              <w:jc w:val="center"/>
              <w:rPr>
                <w:rFonts w:ascii="Times New Roman" w:hAnsi="Times New Roman"/>
                <w:b/>
                <w:sz w:val="20"/>
                <w:szCs w:val="20"/>
              </w:rPr>
            </w:pPr>
            <w:r w:rsidRPr="00E60F16">
              <w:rPr>
                <w:rFonts w:ascii="Times New Roman" w:hAnsi="Times New Roman"/>
                <w:b/>
                <w:sz w:val="20"/>
                <w:szCs w:val="20"/>
              </w:rPr>
              <w:t>$</w:t>
            </w:r>
            <w:r w:rsidRPr="00E60F16" w:rsidR="000C20E1">
              <w:rPr>
                <w:rFonts w:ascii="Times New Roman" w:hAnsi="Times New Roman"/>
                <w:b/>
                <w:sz w:val="20"/>
                <w:szCs w:val="20"/>
              </w:rPr>
              <w:t>43,1</w:t>
            </w:r>
            <w:r w:rsidRPr="00E60F16" w:rsidR="00670DE6">
              <w:rPr>
                <w:rFonts w:ascii="Times New Roman" w:hAnsi="Times New Roman"/>
                <w:b/>
                <w:sz w:val="20"/>
                <w:szCs w:val="20"/>
              </w:rPr>
              <w:t>73</w:t>
            </w:r>
          </w:p>
        </w:tc>
      </w:tr>
    </w:tbl>
    <w:p w:rsidR="00F706CB" w:rsidP="00AA2D32" w14:paraId="035A61A3" w14:textId="77777777">
      <w:pPr>
        <w:keepNext/>
        <w:rPr>
          <w:rFonts w:ascii="Times New Roman" w:hAnsi="Times New Roman"/>
          <w:b/>
        </w:rPr>
      </w:pPr>
    </w:p>
    <w:p w:rsidR="00F44164" w:rsidRPr="00E60F16" w:rsidP="00AA2D32" w14:paraId="3D605C7E" w14:textId="77777777">
      <w:pPr>
        <w:keepNext/>
        <w:rPr>
          <w:rFonts w:ascii="Times New Roman" w:hAnsi="Times New Roman"/>
          <w:b/>
        </w:rPr>
      </w:pPr>
      <w:r w:rsidRPr="00F44164">
        <w:rPr>
          <w:rFonts w:ascii="Times New Roman" w:hAnsi="Times New Roman"/>
          <w:bCs/>
        </w:rPr>
        <w:t>The number of respondents is</w:t>
      </w:r>
      <w:r>
        <w:rPr>
          <w:rFonts w:ascii="Times New Roman" w:hAnsi="Times New Roman"/>
          <w:b/>
        </w:rPr>
        <w:t xml:space="preserve"> 23.</w:t>
      </w:r>
    </w:p>
    <w:p w:rsidR="0053607F" w:rsidRPr="00E60F16" w:rsidP="00C120A3" w14:paraId="34C9230B" w14:textId="77777777">
      <w:pPr>
        <w:widowControl/>
        <w:rPr>
          <w:rFonts w:ascii="Times New Roman" w:hAnsi="Times New Roman"/>
          <w:b/>
        </w:rPr>
      </w:pPr>
    </w:p>
    <w:p w:rsidR="00AA2D32" w:rsidRPr="00E60F16" w:rsidP="00C120A3" w14:paraId="23522B99" w14:textId="77777777">
      <w:pPr>
        <w:widowControl/>
        <w:rPr>
          <w:rFonts w:ascii="Times New Roman" w:hAnsi="Times New Roman"/>
          <w:i/>
        </w:rPr>
      </w:pPr>
      <w:r w:rsidRPr="00E60F16">
        <w:rPr>
          <w:rFonts w:ascii="Times New Roman" w:hAnsi="Times New Roman"/>
          <w:b/>
        </w:rPr>
        <w:t>Table 1</w:t>
      </w:r>
      <w:r w:rsidRPr="00E60F16" w:rsidR="00CC7954">
        <w:rPr>
          <w:rFonts w:ascii="Times New Roman" w:hAnsi="Times New Roman"/>
          <w:b/>
        </w:rPr>
        <w:t>b</w:t>
      </w:r>
      <w:r w:rsidRPr="00E60F16">
        <w:rPr>
          <w:rFonts w:ascii="Times New Roman" w:hAnsi="Times New Roman"/>
          <w:b/>
        </w:rPr>
        <w:t xml:space="preserve">: Estimated Respondent (State Consultation </w:t>
      </w:r>
      <w:r w:rsidRPr="00E60F16" w:rsidR="005F53EF">
        <w:rPr>
          <w:rFonts w:ascii="Times New Roman" w:hAnsi="Times New Roman"/>
          <w:b/>
        </w:rPr>
        <w:t>p</w:t>
      </w:r>
      <w:r w:rsidRPr="00E60F16">
        <w:rPr>
          <w:rFonts w:ascii="Times New Roman" w:hAnsi="Times New Roman"/>
          <w:b/>
        </w:rPr>
        <w:t>rogram</w:t>
      </w:r>
      <w:r w:rsidRPr="00E60F16" w:rsidR="00D63557">
        <w:rPr>
          <w:rFonts w:ascii="Times New Roman" w:hAnsi="Times New Roman"/>
          <w:b/>
        </w:rPr>
        <w:t>s</w:t>
      </w:r>
      <w:r w:rsidRPr="00E60F16">
        <w:rPr>
          <w:rFonts w:ascii="Times New Roman" w:hAnsi="Times New Roman"/>
          <w:b/>
        </w:rPr>
        <w:t>) Hour and Cost Burden</w:t>
      </w:r>
      <w:r w:rsidRPr="00E60F16" w:rsidR="00CC7954">
        <w:rPr>
          <w:rFonts w:ascii="Times New Roman" w:hAnsi="Times New Roman"/>
          <w:b/>
        </w:rPr>
        <w:t xml:space="preserve"> for the Prospective Analys</w:t>
      </w:r>
      <w:r w:rsidRPr="00E60F16" w:rsidR="00870AE8">
        <w:rPr>
          <w:rFonts w:ascii="Times New Roman" w:hAnsi="Times New Roman"/>
          <w:b/>
        </w:rPr>
        <w:t>i</w:t>
      </w:r>
      <w:r w:rsidRPr="00E60F16" w:rsidR="00CC7954">
        <w:rPr>
          <w:rFonts w:ascii="Times New Roman" w:hAnsi="Times New Roman"/>
          <w:b/>
        </w:rPr>
        <w:t>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5"/>
        <w:gridCol w:w="1260"/>
        <w:gridCol w:w="1260"/>
        <w:gridCol w:w="1170"/>
        <w:gridCol w:w="1170"/>
        <w:gridCol w:w="1080"/>
        <w:gridCol w:w="900"/>
        <w:gridCol w:w="990"/>
        <w:gridCol w:w="990"/>
      </w:tblGrid>
      <w:tr w14:paraId="52F34870" w14:textId="77777777" w:rsidTr="001646CF">
        <w:tblPrEx>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23"/>
          <w:tblHeader/>
          <w:jc w:val="center"/>
        </w:trPr>
        <w:tc>
          <w:tcPr>
            <w:tcW w:w="2515"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225F54D1" w14:textId="77777777">
            <w:pPr>
              <w:spacing w:line="276" w:lineRule="auto"/>
              <w:jc w:val="center"/>
              <w:rPr>
                <w:rFonts w:ascii="Times New Roman" w:hAnsi="Times New Roman"/>
                <w:b/>
                <w:sz w:val="20"/>
                <w:szCs w:val="20"/>
              </w:rPr>
            </w:pPr>
            <w:r w:rsidRPr="00E60F16">
              <w:rPr>
                <w:rFonts w:ascii="Times New Roman" w:hAnsi="Times New Roman"/>
                <w:b/>
                <w:sz w:val="20"/>
                <w:szCs w:val="20"/>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3E458D4C" w14:textId="77777777">
            <w:pPr>
              <w:spacing w:line="276" w:lineRule="auto"/>
              <w:jc w:val="center"/>
              <w:rPr>
                <w:rFonts w:ascii="Times New Roman" w:hAnsi="Times New Roman"/>
                <w:b/>
                <w:sz w:val="18"/>
                <w:szCs w:val="18"/>
              </w:rPr>
            </w:pPr>
            <w:r w:rsidRPr="00E60F16">
              <w:rPr>
                <w:rFonts w:ascii="Times New Roman" w:hAnsi="Times New Roman"/>
                <w:b/>
                <w:sz w:val="18"/>
                <w:szCs w:val="18"/>
              </w:rPr>
              <w:t>Type of</w:t>
            </w:r>
          </w:p>
          <w:p w:rsidR="00AA2D32" w:rsidRPr="00E60F16" w:rsidP="00A76572" w14:paraId="0D4A7F5E" w14:textId="77777777">
            <w:pPr>
              <w:spacing w:line="276" w:lineRule="auto"/>
              <w:jc w:val="center"/>
              <w:rPr>
                <w:rFonts w:ascii="Times New Roman" w:hAnsi="Times New Roman"/>
                <w:b/>
                <w:sz w:val="20"/>
                <w:szCs w:val="20"/>
              </w:rPr>
            </w:pPr>
            <w:r w:rsidRPr="00E60F16">
              <w:rPr>
                <w:rFonts w:ascii="Times New Roman" w:hAnsi="Times New Roman"/>
                <w:b/>
                <w:sz w:val="18"/>
                <w:szCs w:val="18"/>
              </w:rPr>
              <w:t>Respondent</w:t>
            </w:r>
            <w:r>
              <w:rPr>
                <w:rStyle w:val="FootnoteReference"/>
                <w:rFonts w:ascii="Times New Roman" w:hAnsi="Times New Roman"/>
                <w:b/>
                <w:sz w:val="20"/>
                <w:szCs w:val="20"/>
              </w:rPr>
              <w:footnoteReference w:id="11"/>
            </w:r>
          </w:p>
        </w:tc>
        <w:tc>
          <w:tcPr>
            <w:tcW w:w="126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7E04FC0E"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No. of </w:t>
            </w:r>
            <w:r w:rsidRPr="00E60F16">
              <w:rPr>
                <w:rFonts w:ascii="Times New Roman" w:hAnsi="Times New Roman"/>
                <w:b/>
                <w:sz w:val="18"/>
                <w:szCs w:val="18"/>
              </w:rPr>
              <w:t>Respondents</w:t>
            </w:r>
            <w:r>
              <w:rPr>
                <w:rStyle w:val="FootnoteReference"/>
                <w:rFonts w:ascii="Times New Roman" w:hAnsi="Times New Roman"/>
                <w:b/>
                <w:sz w:val="18"/>
                <w:szCs w:val="18"/>
              </w:rPr>
              <w:footnoteReference w:id="12"/>
            </w:r>
          </w:p>
          <w:p w:rsidR="00AA2D32" w:rsidRPr="00E60F16" w:rsidP="00A76572" w14:paraId="2046AD28" w14:textId="77777777">
            <w:pPr>
              <w:spacing w:line="276" w:lineRule="auto"/>
              <w:jc w:val="center"/>
              <w:rPr>
                <w:rFonts w:ascii="Times New Roman" w:hAnsi="Times New Roman"/>
                <w:b/>
                <w:sz w:val="20"/>
                <w:szCs w:val="20"/>
              </w:rPr>
            </w:pPr>
          </w:p>
          <w:p w:rsidR="00AA2D32" w:rsidRPr="00E60F16" w:rsidP="00A76572" w14:paraId="526DABFA" w14:textId="77777777">
            <w:pPr>
              <w:spacing w:line="276" w:lineRule="auto"/>
              <w:jc w:val="center"/>
              <w:rPr>
                <w:rFonts w:ascii="Times New Roman" w:hAnsi="Times New Roman"/>
                <w:b/>
                <w:sz w:val="20"/>
                <w:szCs w:val="20"/>
              </w:rPr>
            </w:pPr>
          </w:p>
          <w:p w:rsidR="00AA2D32" w:rsidRPr="00E60F16" w:rsidP="00A76572" w14:paraId="546B647E" w14:textId="77777777">
            <w:pPr>
              <w:spacing w:line="276" w:lineRule="auto"/>
              <w:jc w:val="center"/>
              <w:rPr>
                <w:rFonts w:ascii="Times New Roman" w:hAnsi="Times New Roman"/>
                <w:b/>
                <w:sz w:val="20"/>
                <w:szCs w:val="20"/>
              </w:rPr>
            </w:pPr>
          </w:p>
          <w:p w:rsidR="00AA2D32" w:rsidRPr="00E60F16" w:rsidP="00A76572" w14:paraId="36FB2B56" w14:textId="77777777">
            <w:pPr>
              <w:spacing w:line="276" w:lineRule="auto"/>
              <w:jc w:val="center"/>
              <w:rPr>
                <w:rFonts w:ascii="Times New Roman" w:hAnsi="Times New Roman"/>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5CBA5BDB" w14:textId="77777777">
            <w:pPr>
              <w:spacing w:line="276" w:lineRule="auto"/>
              <w:jc w:val="center"/>
              <w:rPr>
                <w:rFonts w:ascii="Times New Roman" w:hAnsi="Times New Roman"/>
                <w:b/>
                <w:sz w:val="20"/>
                <w:szCs w:val="20"/>
              </w:rPr>
            </w:pPr>
            <w:r w:rsidRPr="00E60F16">
              <w:rPr>
                <w:rFonts w:ascii="Times New Roman" w:hAnsi="Times New Roman"/>
                <w:b/>
                <w:sz w:val="20"/>
                <w:szCs w:val="20"/>
              </w:rPr>
              <w:t>No. of Responses</w:t>
            </w:r>
          </w:p>
          <w:p w:rsidR="00AA2D32" w:rsidRPr="00E60F16" w:rsidP="00A76572" w14:paraId="7462C3B0" w14:textId="77777777">
            <w:pPr>
              <w:spacing w:line="276" w:lineRule="auto"/>
              <w:jc w:val="center"/>
              <w:rPr>
                <w:rFonts w:ascii="Times New Roman" w:hAnsi="Times New Roman"/>
                <w:b/>
                <w:sz w:val="20"/>
                <w:szCs w:val="20"/>
              </w:rPr>
            </w:pPr>
            <w:r w:rsidRPr="00E60F16">
              <w:rPr>
                <w:rFonts w:ascii="Times New Roman" w:hAnsi="Times New Roman"/>
                <w:b/>
                <w:sz w:val="20"/>
                <w:szCs w:val="20"/>
              </w:rPr>
              <w:t xml:space="preserve">per </w:t>
            </w:r>
            <w:r w:rsidRPr="00E60F16">
              <w:rPr>
                <w:rFonts w:ascii="Times New Roman" w:hAnsi="Times New Roman"/>
                <w:b/>
                <w:sz w:val="18"/>
                <w:szCs w:val="18"/>
              </w:rPr>
              <w:t>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0BFA1CB2"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 No. of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152B7F8E" w14:textId="77777777">
            <w:pPr>
              <w:spacing w:line="276" w:lineRule="auto"/>
              <w:jc w:val="center"/>
              <w:rPr>
                <w:rFonts w:ascii="Times New Roman" w:hAnsi="Times New Roman"/>
                <w:b/>
                <w:sz w:val="20"/>
                <w:szCs w:val="20"/>
              </w:rPr>
            </w:pPr>
            <w:r w:rsidRPr="00E60F16">
              <w:rPr>
                <w:rFonts w:ascii="Times New Roman" w:hAnsi="Times New Roman"/>
                <w:b/>
                <w:sz w:val="18"/>
                <w:szCs w:val="18"/>
              </w:rPr>
              <w:t xml:space="preserve">Average </w:t>
            </w:r>
            <w:r w:rsidRPr="00E60F16">
              <w:rPr>
                <w:rFonts w:ascii="Times New Roman" w:hAnsi="Times New Roman"/>
                <w:b/>
                <w:sz w:val="20"/>
                <w:szCs w:val="20"/>
              </w:rPr>
              <w:t>Burden</w:t>
            </w:r>
            <w:r w:rsidR="008D0EF6">
              <w:rPr>
                <w:rFonts w:ascii="Times New Roman" w:hAnsi="Times New Roman"/>
                <w:b/>
                <w:sz w:val="20"/>
                <w:szCs w:val="20"/>
              </w:rPr>
              <w:t xml:space="preserve"> per Response</w:t>
            </w:r>
            <w:r w:rsidRPr="00E60F16">
              <w:rPr>
                <w:rFonts w:ascii="Times New Roman" w:hAnsi="Times New Roman"/>
                <w:b/>
                <w:sz w:val="20"/>
                <w:szCs w:val="20"/>
              </w:rPr>
              <w:t xml:space="preserve"> (Hours)</w:t>
            </w:r>
          </w:p>
        </w:tc>
        <w:tc>
          <w:tcPr>
            <w:tcW w:w="90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40C9287A"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0022AB83" w14:textId="77777777">
            <w:pPr>
              <w:spacing w:line="276" w:lineRule="auto"/>
              <w:jc w:val="center"/>
              <w:rPr>
                <w:rFonts w:ascii="Times New Roman" w:hAnsi="Times New Roman"/>
                <w:b/>
                <w:sz w:val="20"/>
                <w:szCs w:val="20"/>
              </w:rPr>
            </w:pPr>
            <w:r w:rsidRPr="00E60F16">
              <w:rPr>
                <w:rFonts w:ascii="Times New Roman" w:hAnsi="Times New Roman"/>
                <w:b/>
                <w:sz w:val="20"/>
                <w:szCs w:val="20"/>
              </w:rPr>
              <w:t>Hourly</w:t>
            </w:r>
          </w:p>
          <w:p w:rsidR="00AA2D32" w:rsidRPr="00E60F16" w:rsidP="00A76572" w14:paraId="4D1A763D" w14:textId="77777777">
            <w:pPr>
              <w:spacing w:line="276" w:lineRule="auto"/>
              <w:jc w:val="center"/>
              <w:rPr>
                <w:rFonts w:ascii="Times New Roman" w:hAnsi="Times New Roman"/>
                <w:b/>
                <w:sz w:val="20"/>
                <w:szCs w:val="20"/>
              </w:rPr>
            </w:pPr>
            <w:r w:rsidRPr="00E60F16">
              <w:rPr>
                <w:rFonts w:ascii="Times New Roman" w:hAnsi="Times New Roman"/>
                <w:b/>
                <w:sz w:val="20"/>
                <w:szCs w:val="20"/>
              </w:rPr>
              <w:t>Wage Rate</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AA2D32" w:rsidRPr="00E60F16" w:rsidP="00A76572" w14:paraId="0B36DE1A" w14:textId="77777777">
            <w:pPr>
              <w:spacing w:line="276" w:lineRule="auto"/>
              <w:jc w:val="center"/>
              <w:rPr>
                <w:rFonts w:ascii="Times New Roman" w:hAnsi="Times New Roman"/>
                <w:b/>
                <w:sz w:val="20"/>
                <w:szCs w:val="20"/>
              </w:rPr>
            </w:pPr>
            <w:r w:rsidRPr="00E60F16">
              <w:rPr>
                <w:rFonts w:ascii="Times New Roman" w:hAnsi="Times New Roman"/>
                <w:b/>
                <w:sz w:val="20"/>
                <w:szCs w:val="20"/>
              </w:rPr>
              <w:t>Total Burden Cost</w:t>
            </w:r>
          </w:p>
        </w:tc>
      </w:tr>
      <w:tr w14:paraId="4F47B849" w14:textId="77777777" w:rsidTr="007B14B1">
        <w:tblPrEx>
          <w:tblW w:w="11335" w:type="dxa"/>
          <w:jc w:val="center"/>
          <w:tblLayout w:type="fixed"/>
          <w:tblLook w:val="04A0"/>
        </w:tblPrEx>
        <w:trPr>
          <w:jc w:val="center"/>
        </w:trPr>
        <w:tc>
          <w:tcPr>
            <w:tcW w:w="11335" w:type="dxa"/>
            <w:gridSpan w:val="9"/>
            <w:tcBorders>
              <w:top w:val="single" w:sz="4" w:space="0" w:color="auto"/>
              <w:left w:val="single" w:sz="4" w:space="0" w:color="auto"/>
              <w:bottom w:val="single" w:sz="4" w:space="0" w:color="auto"/>
              <w:right w:val="single" w:sz="4" w:space="0" w:color="auto"/>
            </w:tcBorders>
          </w:tcPr>
          <w:p w:rsidR="00AA2D32" w:rsidRPr="00E60F16" w:rsidP="00A76572" w14:paraId="5A2EC4FB" w14:textId="77777777">
            <w:pPr>
              <w:spacing w:line="276" w:lineRule="auto"/>
              <w:jc w:val="center"/>
              <w:rPr>
                <w:rFonts w:ascii="Times New Roman" w:hAnsi="Times New Roman"/>
                <w:b/>
                <w:sz w:val="20"/>
                <w:szCs w:val="20"/>
              </w:rPr>
            </w:pPr>
            <w:r w:rsidRPr="00E60F16">
              <w:rPr>
                <w:rFonts w:ascii="Times New Roman" w:hAnsi="Times New Roman"/>
                <w:b/>
                <w:sz w:val="20"/>
                <w:szCs w:val="20"/>
              </w:rPr>
              <w:t>A. Safety and Health Program Assessment Worksheet (1908.6(e)(3))</w:t>
            </w:r>
          </w:p>
        </w:tc>
      </w:tr>
      <w:tr w14:paraId="57FC2746" w14:textId="77777777" w:rsidTr="001646CF">
        <w:tblPrEx>
          <w:tblW w:w="11335" w:type="dxa"/>
          <w:jc w:val="center"/>
          <w:tblLayout w:type="fixed"/>
          <w:tblLook w:val="04A0"/>
        </w:tblPrEx>
        <w:trPr>
          <w:jc w:val="center"/>
        </w:trPr>
        <w:tc>
          <w:tcPr>
            <w:tcW w:w="2515" w:type="dxa"/>
            <w:tcBorders>
              <w:top w:val="single" w:sz="4" w:space="0" w:color="auto"/>
              <w:left w:val="single" w:sz="4" w:space="0" w:color="auto"/>
              <w:bottom w:val="single" w:sz="4" w:space="0" w:color="auto"/>
              <w:right w:val="single" w:sz="4" w:space="0" w:color="auto"/>
            </w:tcBorders>
          </w:tcPr>
          <w:p w:rsidR="00030E92" w:rsidRPr="00E60F16" w:rsidP="00030E92" w14:paraId="0D759FF7" w14:textId="77777777">
            <w:pPr>
              <w:spacing w:line="276" w:lineRule="auto"/>
              <w:jc w:val="center"/>
              <w:rPr>
                <w:rFonts w:ascii="Times New Roman" w:hAnsi="Times New Roman"/>
                <w:b/>
                <w:sz w:val="20"/>
                <w:szCs w:val="20"/>
              </w:rPr>
            </w:pPr>
            <w:r w:rsidRPr="00E60F16">
              <w:rPr>
                <w:rFonts w:ascii="Times New Roman" w:hAnsi="Times New Roman"/>
                <w:b/>
                <w:sz w:val="20"/>
                <w:szCs w:val="20"/>
              </w:rPr>
              <w:t>Prospective Analysis (Injury and illness data collection, 12 months after pilot consultation visits)</w:t>
            </w:r>
          </w:p>
        </w:tc>
        <w:tc>
          <w:tcPr>
            <w:tcW w:w="1260" w:type="dxa"/>
            <w:tcBorders>
              <w:top w:val="single" w:sz="4" w:space="0" w:color="auto"/>
              <w:left w:val="single" w:sz="4" w:space="0" w:color="auto"/>
              <w:bottom w:val="single" w:sz="4" w:space="0" w:color="auto"/>
              <w:right w:val="single" w:sz="4" w:space="0" w:color="auto"/>
            </w:tcBorders>
          </w:tcPr>
          <w:p w:rsidR="00030E92" w:rsidRPr="00E60F16" w:rsidP="00030E92" w14:paraId="7486793B" w14:textId="77777777">
            <w:pPr>
              <w:spacing w:line="276" w:lineRule="auto"/>
              <w:jc w:val="center"/>
              <w:rPr>
                <w:rFonts w:ascii="Times New Roman" w:hAnsi="Times New Roman"/>
                <w:sz w:val="20"/>
                <w:szCs w:val="20"/>
              </w:rPr>
            </w:pPr>
            <w:r w:rsidRPr="00E60F16">
              <w:rPr>
                <w:rFonts w:ascii="Times New Roman" w:hAnsi="Times New Roman"/>
                <w:sz w:val="20"/>
                <w:szCs w:val="20"/>
              </w:rPr>
              <w:t>Consultants</w:t>
            </w:r>
          </w:p>
        </w:tc>
        <w:tc>
          <w:tcPr>
            <w:tcW w:w="1260" w:type="dxa"/>
            <w:tcBorders>
              <w:top w:val="single" w:sz="4" w:space="0" w:color="auto"/>
              <w:left w:val="single" w:sz="4" w:space="0" w:color="auto"/>
              <w:bottom w:val="single" w:sz="4" w:space="0" w:color="auto"/>
              <w:right w:val="single" w:sz="4" w:space="0" w:color="auto"/>
            </w:tcBorders>
          </w:tcPr>
          <w:p w:rsidR="00030E92" w:rsidRPr="00E60F16" w:rsidP="00030E92" w14:paraId="65E5B69B" w14:textId="77777777">
            <w:pPr>
              <w:spacing w:line="276" w:lineRule="auto"/>
              <w:jc w:val="center"/>
              <w:rPr>
                <w:rFonts w:ascii="Times New Roman" w:hAnsi="Times New Roman"/>
                <w:sz w:val="20"/>
                <w:szCs w:val="20"/>
              </w:rPr>
            </w:pPr>
            <w:r w:rsidRPr="00E60F16">
              <w:rPr>
                <w:rFonts w:ascii="Times New Roman" w:hAnsi="Times New Roman"/>
                <w:sz w:val="20"/>
                <w:szCs w:val="20"/>
              </w:rPr>
              <w:t>200</w:t>
            </w:r>
          </w:p>
          <w:p w:rsidR="00030E92" w:rsidRPr="00E60F16" w:rsidP="00030E92" w14:paraId="389B40FC" w14:textId="77777777">
            <w:pPr>
              <w:spacing w:line="276" w:lineRule="auto"/>
              <w:jc w:val="center"/>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E92" w:rsidRPr="00E60F16" w:rsidP="00030E92" w14:paraId="3718D3DF" w14:textId="77777777">
            <w:pPr>
              <w:spacing w:line="276" w:lineRule="auto"/>
              <w:jc w:val="center"/>
              <w:rPr>
                <w:rFonts w:ascii="Times New Roman" w:hAnsi="Times New Roman"/>
                <w:sz w:val="20"/>
                <w:szCs w:val="20"/>
              </w:rPr>
            </w:pPr>
            <w:r w:rsidRPr="00E60F16">
              <w:rPr>
                <w:rFonts w:ascii="Times New Roman" w:hAnsi="Times New Roman"/>
                <w:sz w:val="20"/>
                <w:szCs w:val="20"/>
              </w:rPr>
              <w:t>1.5</w:t>
            </w:r>
          </w:p>
          <w:p w:rsidR="00030E92" w:rsidRPr="00E60F16" w:rsidP="00030E92" w14:paraId="4E84E10F" w14:textId="77777777">
            <w:pPr>
              <w:spacing w:line="276" w:lineRule="auto"/>
              <w:jc w:val="center"/>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E92" w:rsidRPr="00E60F16" w:rsidP="00030E92" w14:paraId="5ABAEE7D" w14:textId="77777777">
            <w:pPr>
              <w:spacing w:line="276" w:lineRule="auto"/>
              <w:jc w:val="center"/>
              <w:rPr>
                <w:rFonts w:ascii="Times New Roman" w:hAnsi="Times New Roman"/>
                <w:sz w:val="20"/>
                <w:szCs w:val="20"/>
              </w:rPr>
            </w:pPr>
            <w:r w:rsidRPr="00E60F16">
              <w:rPr>
                <w:rFonts w:ascii="Times New Roman" w:hAnsi="Times New Roman"/>
                <w:sz w:val="20"/>
                <w:szCs w:val="20"/>
              </w:rPr>
              <w:t>300</w:t>
            </w:r>
          </w:p>
          <w:p w:rsidR="00030E92" w:rsidRPr="00E60F16" w:rsidP="00030E92" w14:paraId="505C1CC8" w14:textId="77777777">
            <w:pPr>
              <w:spacing w:line="276" w:lineRule="auto"/>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30E92" w:rsidRPr="00E60F16" w:rsidP="00030E92" w14:paraId="78C909A8" w14:textId="77777777">
            <w:pPr>
              <w:spacing w:line="276" w:lineRule="auto"/>
              <w:jc w:val="center"/>
              <w:rPr>
                <w:rFonts w:ascii="Times New Roman" w:hAnsi="Times New Roman"/>
                <w:sz w:val="20"/>
                <w:szCs w:val="20"/>
              </w:rPr>
            </w:pPr>
            <w:r w:rsidRPr="00E60F16">
              <w:rPr>
                <w:rFonts w:ascii="Times New Roman" w:hAnsi="Times New Roman"/>
                <w:sz w:val="20"/>
                <w:szCs w:val="20"/>
              </w:rPr>
              <w:t>30/60</w:t>
            </w:r>
          </w:p>
          <w:p w:rsidR="00030E92" w:rsidRPr="00E60F16" w:rsidP="00030E92" w14:paraId="53846C8A" w14:textId="77777777">
            <w:pPr>
              <w:spacing w:line="276"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030E92" w:rsidRPr="00E60F16" w:rsidP="00030E92" w14:paraId="1A44C360" w14:textId="77777777">
            <w:pPr>
              <w:spacing w:line="276" w:lineRule="auto"/>
              <w:jc w:val="center"/>
              <w:rPr>
                <w:rFonts w:ascii="Times New Roman" w:hAnsi="Times New Roman"/>
                <w:b/>
                <w:sz w:val="20"/>
                <w:szCs w:val="20"/>
              </w:rPr>
            </w:pPr>
            <w:r w:rsidRPr="00E60F16">
              <w:rPr>
                <w:rFonts w:ascii="Times New Roman" w:hAnsi="Times New Roman"/>
                <w:b/>
                <w:sz w:val="20"/>
                <w:szCs w:val="20"/>
              </w:rPr>
              <w:t>150</w:t>
            </w:r>
          </w:p>
          <w:p w:rsidR="00030E92" w:rsidRPr="00E60F16" w:rsidP="00030E92" w14:paraId="5B07FA2A" w14:textId="77777777">
            <w:pPr>
              <w:spacing w:line="276" w:lineRule="auto"/>
              <w:jc w:val="center"/>
              <w:rPr>
                <w:rFonts w:ascii="Times New Roman" w:hAnsi="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030E92" w:rsidRPr="00E60F16" w:rsidP="00030E92" w14:paraId="5C14F140" w14:textId="77777777">
            <w:pPr>
              <w:spacing w:line="276" w:lineRule="auto"/>
              <w:jc w:val="center"/>
              <w:rPr>
                <w:rFonts w:ascii="Times New Roman" w:hAnsi="Times New Roman"/>
                <w:sz w:val="20"/>
                <w:szCs w:val="20"/>
              </w:rPr>
            </w:pPr>
            <w:r w:rsidRPr="00E60F16">
              <w:rPr>
                <w:rFonts w:ascii="Times New Roman" w:hAnsi="Times New Roman"/>
                <w:sz w:val="20"/>
                <w:szCs w:val="20"/>
              </w:rPr>
              <w:t>$</w:t>
            </w:r>
            <w:r w:rsidRPr="00E60F16" w:rsidR="0071577A">
              <w:rPr>
                <w:rFonts w:ascii="Times New Roman" w:hAnsi="Times New Roman"/>
                <w:sz w:val="20"/>
                <w:szCs w:val="20"/>
              </w:rPr>
              <w:t>66.46</w:t>
            </w:r>
          </w:p>
        </w:tc>
        <w:tc>
          <w:tcPr>
            <w:tcW w:w="990" w:type="dxa"/>
            <w:tcBorders>
              <w:top w:val="single" w:sz="4" w:space="0" w:color="auto"/>
              <w:left w:val="single" w:sz="4" w:space="0" w:color="auto"/>
              <w:bottom w:val="single" w:sz="4" w:space="0" w:color="auto"/>
              <w:right w:val="single" w:sz="4" w:space="0" w:color="auto"/>
            </w:tcBorders>
          </w:tcPr>
          <w:p w:rsidR="00030E92" w:rsidRPr="00E60F16" w:rsidP="00030E92" w14:paraId="2A7815D8" w14:textId="77777777">
            <w:pPr>
              <w:spacing w:line="276" w:lineRule="auto"/>
              <w:jc w:val="center"/>
              <w:rPr>
                <w:rFonts w:ascii="Times New Roman" w:hAnsi="Times New Roman"/>
                <w:b/>
                <w:sz w:val="20"/>
                <w:szCs w:val="20"/>
              </w:rPr>
            </w:pPr>
            <w:r w:rsidRPr="00E60F16">
              <w:rPr>
                <w:rFonts w:ascii="Times New Roman" w:hAnsi="Times New Roman"/>
                <w:b/>
                <w:sz w:val="20"/>
                <w:szCs w:val="20"/>
              </w:rPr>
              <w:t>$9,969</w:t>
            </w:r>
          </w:p>
          <w:p w:rsidR="00030E92" w:rsidRPr="00E60F16" w:rsidP="00030E92" w14:paraId="5BEAC108" w14:textId="77777777">
            <w:pPr>
              <w:spacing w:line="276" w:lineRule="auto"/>
              <w:jc w:val="center"/>
              <w:rPr>
                <w:rFonts w:ascii="Times New Roman" w:hAnsi="Times New Roman"/>
                <w:sz w:val="20"/>
                <w:szCs w:val="20"/>
              </w:rPr>
            </w:pPr>
          </w:p>
        </w:tc>
      </w:tr>
    </w:tbl>
    <w:p w:rsidR="00DD5DEE" w:rsidRPr="00FD4C57" w:rsidP="00831496" w14:paraId="7F7B7A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5F8A" w:rsidP="007E5643" w14:paraId="3F10B072" w14:textId="77777777">
      <w:pPr>
        <w:widowControl/>
        <w:autoSpaceDE/>
        <w:autoSpaceDN/>
        <w:adjustRightInd/>
        <w:ind w:left="720"/>
        <w:rPr>
          <w:rFonts w:ascii="Times New Roman" w:hAnsi="Times New Roman"/>
        </w:rPr>
      </w:pPr>
    </w:p>
    <w:p w:rsidR="00AA5F8A" w:rsidP="007E5643" w14:paraId="7E4DEDA3" w14:textId="77777777">
      <w:pPr>
        <w:widowControl/>
        <w:autoSpaceDE/>
        <w:autoSpaceDN/>
        <w:adjustRightInd/>
        <w:ind w:left="720"/>
        <w:rPr>
          <w:rFonts w:ascii="Times New Roman" w:hAnsi="Times New Roman"/>
        </w:rPr>
      </w:pPr>
      <w:r>
        <w:rPr>
          <w:rFonts w:ascii="Times New Roman" w:hAnsi="Times New Roman"/>
        </w:rPr>
        <w:t xml:space="preserve">The number of respondents is </w:t>
      </w:r>
      <w:r w:rsidRPr="00AA5F8A">
        <w:rPr>
          <w:rFonts w:ascii="Times New Roman" w:hAnsi="Times New Roman"/>
          <w:b/>
          <w:bCs/>
        </w:rPr>
        <w:t>200</w:t>
      </w:r>
      <w:r>
        <w:rPr>
          <w:rFonts w:ascii="Times New Roman" w:hAnsi="Times New Roman"/>
        </w:rPr>
        <w:t>.</w:t>
      </w:r>
    </w:p>
    <w:p w:rsidR="00AA5F8A" w:rsidP="007E5643" w14:paraId="0EA27975" w14:textId="77777777">
      <w:pPr>
        <w:widowControl/>
        <w:autoSpaceDE/>
        <w:autoSpaceDN/>
        <w:adjustRightInd/>
        <w:ind w:left="720"/>
        <w:rPr>
          <w:rFonts w:ascii="Times New Roman" w:hAnsi="Times New Roman"/>
        </w:rPr>
      </w:pPr>
    </w:p>
    <w:p w:rsidR="006071D6" w:rsidRPr="00E60F16" w:rsidP="007E5643" w14:paraId="0A1A3F12" w14:textId="77777777">
      <w:pPr>
        <w:widowControl/>
        <w:autoSpaceDE/>
        <w:autoSpaceDN/>
        <w:adjustRightInd/>
        <w:ind w:left="720"/>
        <w:rPr>
          <w:rFonts w:ascii="Times New Roman" w:hAnsi="Times New Roman"/>
        </w:rPr>
      </w:pPr>
      <w:r w:rsidRPr="00E60F16">
        <w:rPr>
          <w:rFonts w:ascii="Times New Roman" w:hAnsi="Times New Roman"/>
        </w:rPr>
        <w:t xml:space="preserve">OSHA estimates </w:t>
      </w:r>
      <w:r w:rsidRPr="00E60F16" w:rsidR="004805AE">
        <w:rPr>
          <w:rFonts w:ascii="Times New Roman" w:hAnsi="Times New Roman"/>
          <w:b/>
          <w:bCs/>
        </w:rPr>
        <w:t>799.</w:t>
      </w:r>
      <w:r w:rsidRPr="00E60F16" w:rsidR="0043145F">
        <w:rPr>
          <w:rFonts w:ascii="Times New Roman" w:hAnsi="Times New Roman"/>
          <w:b/>
          <w:bCs/>
        </w:rPr>
        <w:t>5</w:t>
      </w:r>
      <w:r w:rsidRPr="00E60F16" w:rsidR="004805AE">
        <w:rPr>
          <w:rFonts w:ascii="Times New Roman" w:hAnsi="Times New Roman"/>
          <w:b/>
          <w:bCs/>
        </w:rPr>
        <w:t xml:space="preserve"> burden hours and a cost of $53,1</w:t>
      </w:r>
      <w:r w:rsidRPr="00E60F16" w:rsidR="000F0970">
        <w:rPr>
          <w:rFonts w:ascii="Times New Roman" w:hAnsi="Times New Roman"/>
          <w:b/>
          <w:bCs/>
        </w:rPr>
        <w:t>42</w:t>
      </w:r>
      <w:r w:rsidRPr="00E60F16" w:rsidR="004805AE">
        <w:rPr>
          <w:rFonts w:ascii="Times New Roman" w:hAnsi="Times New Roman"/>
          <w:b/>
          <w:bCs/>
        </w:rPr>
        <w:t>.</w:t>
      </w:r>
      <w:r w:rsidRPr="00E60F16" w:rsidR="000F0970">
        <w:rPr>
          <w:rFonts w:ascii="Times New Roman" w:hAnsi="Times New Roman"/>
          <w:b/>
          <w:bCs/>
        </w:rPr>
        <w:t>24</w:t>
      </w:r>
      <w:r w:rsidRPr="00E60F16" w:rsidR="004805AE">
        <w:rPr>
          <w:rFonts w:ascii="Times New Roman" w:hAnsi="Times New Roman"/>
        </w:rPr>
        <w:t xml:space="preserve"> for the states and territories </w:t>
      </w:r>
      <w:r w:rsidRPr="00E60F16" w:rsidR="00D8009E">
        <w:rPr>
          <w:rFonts w:ascii="Times New Roman" w:hAnsi="Times New Roman"/>
        </w:rPr>
        <w:t xml:space="preserve">to </w:t>
      </w:r>
      <w:r w:rsidRPr="00E60F16" w:rsidR="00B414B4">
        <w:rPr>
          <w:rFonts w:ascii="Times New Roman" w:hAnsi="Times New Roman"/>
        </w:rPr>
        <w:t>comply with the information collection and reporting requirements of 29 CFR 1908</w:t>
      </w:r>
      <w:r w:rsidRPr="00E60F16" w:rsidR="00D8009E">
        <w:rPr>
          <w:rFonts w:ascii="Times New Roman" w:hAnsi="Times New Roman"/>
        </w:rPr>
        <w:t xml:space="preserve"> to complete the remaining activities </w:t>
      </w:r>
      <w:r w:rsidRPr="00E60F16" w:rsidR="00E556FA">
        <w:rPr>
          <w:rFonts w:ascii="Times New Roman" w:hAnsi="Times New Roman"/>
        </w:rPr>
        <w:t xml:space="preserve">for </w:t>
      </w:r>
      <w:r w:rsidRPr="00E60F16" w:rsidR="00D8009E">
        <w:rPr>
          <w:rFonts w:ascii="Times New Roman" w:hAnsi="Times New Roman"/>
        </w:rPr>
        <w:t>the Pilot Study</w:t>
      </w:r>
      <w:r w:rsidRPr="00E60F16" w:rsidR="00B414B4">
        <w:rPr>
          <w:rFonts w:ascii="Times New Roman" w:hAnsi="Times New Roman"/>
        </w:rPr>
        <w:t xml:space="preserve">.    </w:t>
      </w:r>
    </w:p>
    <w:p w:rsidR="006071D6" w:rsidRPr="00E60F16" w:rsidP="007E5643" w14:paraId="2BF2468B" w14:textId="77777777">
      <w:pPr>
        <w:widowControl/>
        <w:autoSpaceDE/>
        <w:autoSpaceDN/>
        <w:adjustRightInd/>
        <w:ind w:left="720"/>
        <w:rPr>
          <w:rFonts w:ascii="Times New Roman" w:hAnsi="Times New Roman"/>
        </w:rPr>
      </w:pPr>
    </w:p>
    <w:p w:rsidR="003A1542" w:rsidRPr="00E60F16" w:rsidP="007E5643" w14:paraId="08891465" w14:textId="77777777">
      <w:pPr>
        <w:widowControl/>
        <w:autoSpaceDE/>
        <w:autoSpaceDN/>
        <w:adjustRightInd/>
        <w:ind w:left="720"/>
        <w:rPr>
          <w:rFonts w:ascii="Times New Roman" w:hAnsi="Times New Roman"/>
        </w:rPr>
      </w:pPr>
      <w:r w:rsidRPr="00E60F16">
        <w:rPr>
          <w:rFonts w:ascii="Times New Roman" w:hAnsi="Times New Roman"/>
        </w:rPr>
        <w:t xml:space="preserve">OSHA </w:t>
      </w:r>
      <w:r w:rsidRPr="00E60F16" w:rsidR="004447C1">
        <w:rPr>
          <w:rFonts w:ascii="Times New Roman" w:hAnsi="Times New Roman"/>
        </w:rPr>
        <w:t xml:space="preserve">previously </w:t>
      </w:r>
      <w:r w:rsidRPr="00E60F16">
        <w:rPr>
          <w:rFonts w:ascii="Times New Roman" w:hAnsi="Times New Roman"/>
        </w:rPr>
        <w:t>estimate</w:t>
      </w:r>
      <w:r w:rsidRPr="00E60F16" w:rsidR="00B414B4">
        <w:rPr>
          <w:rFonts w:ascii="Times New Roman" w:hAnsi="Times New Roman"/>
        </w:rPr>
        <w:t>d</w:t>
      </w:r>
      <w:r w:rsidRPr="00E60F16">
        <w:rPr>
          <w:rFonts w:ascii="Times New Roman" w:hAnsi="Times New Roman"/>
        </w:rPr>
        <w:t xml:space="preserve"> a total of </w:t>
      </w:r>
      <w:r w:rsidRPr="00E60F16" w:rsidR="009A3FEE">
        <w:rPr>
          <w:rFonts w:ascii="Times New Roman" w:hAnsi="Times New Roman"/>
          <w:b/>
        </w:rPr>
        <w:t>4,810</w:t>
      </w:r>
      <w:r w:rsidRPr="00E60F16" w:rsidR="00982F50">
        <w:rPr>
          <w:rFonts w:ascii="Times New Roman" w:hAnsi="Times New Roman"/>
          <w:b/>
        </w:rPr>
        <w:t>.</w:t>
      </w:r>
      <w:r w:rsidRPr="00E60F16" w:rsidR="00F70B22">
        <w:rPr>
          <w:rFonts w:ascii="Times New Roman" w:hAnsi="Times New Roman"/>
          <w:b/>
        </w:rPr>
        <w:t>00</w:t>
      </w:r>
      <w:r w:rsidRPr="00E60F16">
        <w:rPr>
          <w:rFonts w:ascii="Times New Roman" w:hAnsi="Times New Roman"/>
          <w:b/>
        </w:rPr>
        <w:t xml:space="preserve"> burden hours</w:t>
      </w:r>
      <w:r w:rsidRPr="00E60F16">
        <w:rPr>
          <w:rFonts w:ascii="Times New Roman" w:hAnsi="Times New Roman"/>
        </w:rPr>
        <w:t xml:space="preserve"> with a </w:t>
      </w:r>
      <w:r w:rsidRPr="00E60F16">
        <w:rPr>
          <w:rFonts w:ascii="Times New Roman" w:hAnsi="Times New Roman"/>
          <w:b/>
        </w:rPr>
        <w:t xml:space="preserve">cost of </w:t>
      </w:r>
      <w:r w:rsidRPr="00E60F16" w:rsidR="00982F50">
        <w:rPr>
          <w:rFonts w:ascii="Times New Roman" w:hAnsi="Times New Roman"/>
          <w:b/>
        </w:rPr>
        <w:t>$</w:t>
      </w:r>
      <w:r w:rsidRPr="00E60F16" w:rsidR="009A3FEE">
        <w:rPr>
          <w:rFonts w:ascii="Times New Roman" w:hAnsi="Times New Roman"/>
          <w:b/>
        </w:rPr>
        <w:t>254,20</w:t>
      </w:r>
      <w:r w:rsidRPr="00E60F16" w:rsidR="00F70B22">
        <w:rPr>
          <w:rFonts w:ascii="Times New Roman" w:hAnsi="Times New Roman"/>
          <w:b/>
        </w:rPr>
        <w:t>4</w:t>
      </w:r>
      <w:r w:rsidRPr="00E60F16" w:rsidR="009A3FEE">
        <w:rPr>
          <w:rFonts w:ascii="Times New Roman" w:hAnsi="Times New Roman"/>
          <w:b/>
        </w:rPr>
        <w:t>.</w:t>
      </w:r>
      <w:r w:rsidRPr="00E60F16" w:rsidR="00F70B22">
        <w:rPr>
          <w:rFonts w:ascii="Times New Roman" w:hAnsi="Times New Roman"/>
          <w:b/>
        </w:rPr>
        <w:t>00</w:t>
      </w:r>
      <w:r w:rsidRPr="00E60F16">
        <w:rPr>
          <w:rFonts w:ascii="Times New Roman" w:hAnsi="Times New Roman"/>
        </w:rPr>
        <w:t xml:space="preserve"> for the states and territories </w:t>
      </w:r>
      <w:bookmarkStart w:id="2" w:name="_Hlk173506012"/>
      <w:r w:rsidRPr="00E60F16">
        <w:rPr>
          <w:rFonts w:ascii="Times New Roman" w:hAnsi="Times New Roman"/>
        </w:rPr>
        <w:t>to comply with the information collection and reporting requirements of 29 CFR 1908</w:t>
      </w:r>
      <w:r w:rsidRPr="00E60F16" w:rsidR="004447C1">
        <w:rPr>
          <w:rFonts w:ascii="Times New Roman" w:hAnsi="Times New Roman"/>
        </w:rPr>
        <w:t xml:space="preserve"> to complete the entire Pilot Study (see Appendi</w:t>
      </w:r>
      <w:r w:rsidRPr="00E60F16" w:rsidR="002F1AE2">
        <w:rPr>
          <w:rFonts w:ascii="Times New Roman" w:hAnsi="Times New Roman"/>
        </w:rPr>
        <w:t>x</w:t>
      </w:r>
      <w:r w:rsidRPr="00E60F16" w:rsidR="004447C1">
        <w:rPr>
          <w:rFonts w:ascii="Times New Roman" w:hAnsi="Times New Roman"/>
        </w:rPr>
        <w:t xml:space="preserve"> B)</w:t>
      </w:r>
      <w:r w:rsidRPr="00E60F16" w:rsidR="00D20C6F">
        <w:rPr>
          <w:rFonts w:ascii="Times New Roman" w:hAnsi="Times New Roman"/>
        </w:rPr>
        <w:t xml:space="preserve">.    </w:t>
      </w:r>
      <w:bookmarkEnd w:id="2"/>
    </w:p>
    <w:p w:rsidR="003A1542" w:rsidRPr="00E60F16" w:rsidP="007E5643" w14:paraId="0DE02EA0" w14:textId="77777777">
      <w:pPr>
        <w:widowControl/>
        <w:autoSpaceDE/>
        <w:autoSpaceDN/>
        <w:adjustRightInd/>
        <w:ind w:left="720"/>
        <w:rPr>
          <w:rFonts w:ascii="Times New Roman" w:hAnsi="Times New Roman"/>
        </w:rPr>
      </w:pPr>
    </w:p>
    <w:p w:rsidR="004A5FE0" w:rsidRPr="00E60F16" w:rsidP="00FC55BA" w14:paraId="6C6971FC" w14:textId="77777777">
      <w:pPr>
        <w:widowControl/>
        <w:autoSpaceDE/>
        <w:autoSpaceDN/>
        <w:adjustRightInd/>
        <w:ind w:left="720"/>
        <w:rPr>
          <w:rFonts w:ascii="Times New Roman" w:hAnsi="Times New Roman"/>
        </w:rPr>
      </w:pPr>
      <w:r w:rsidRPr="00E60F16">
        <w:rPr>
          <w:rFonts w:ascii="Times New Roman" w:hAnsi="Times New Roman"/>
        </w:rPr>
        <w:t xml:space="preserve">OSHA and state On-Site Consultation programs will not incur the estimated cost for participating in any study or analysis described herein, as a separate additional cost.  In general, under the Cooperative Agreement, OSHA reimburses states ninety (90) percent of the budget for implementing Consultation programs.  The activities conducted by state Consultation programs during the pre-test, </w:t>
      </w:r>
      <w:r w:rsidRPr="00E60F16" w:rsidR="004447C1">
        <w:rPr>
          <w:rFonts w:ascii="Times New Roman" w:hAnsi="Times New Roman"/>
        </w:rPr>
        <w:t>pilot consultation visits/SHP assessments</w:t>
      </w:r>
      <w:r w:rsidRPr="00E60F16">
        <w:rPr>
          <w:rFonts w:ascii="Times New Roman" w:hAnsi="Times New Roman"/>
        </w:rPr>
        <w:t>, follow-up study, and Prospective Analysis count towards meeting the projected number of consultative services in the Consultation Annual Program Plan (CAPP).  The CAPP is a requirement of state On-Site Consultation programs’ Cooperative Agreements with OSHA</w:t>
      </w:r>
      <w:r w:rsidRPr="00E60F16" w:rsidR="00A656F0">
        <w:rPr>
          <w:rFonts w:ascii="Times New Roman" w:hAnsi="Times New Roman"/>
        </w:rPr>
        <w:t xml:space="preserve">.  </w:t>
      </w:r>
    </w:p>
    <w:p w:rsidR="004A5FE0" w:rsidRPr="00E60F16" w:rsidP="00E60FB0" w14:paraId="2446C3CA" w14:textId="77777777">
      <w:pPr>
        <w:widowControl/>
        <w:autoSpaceDE/>
        <w:autoSpaceDN/>
        <w:adjustRightInd/>
        <w:rPr>
          <w:rFonts w:ascii="Times New Roman" w:hAnsi="Times New Roman"/>
          <w:highlight w:val="yellow"/>
        </w:rPr>
      </w:pPr>
    </w:p>
    <w:p w:rsidR="005F39B8" w:rsidRPr="00E60F16" w:rsidP="007E5643" w14:paraId="49D1DDF2" w14:textId="77777777">
      <w:pPr>
        <w:widowControl/>
        <w:autoSpaceDE/>
        <w:autoSpaceDN/>
        <w:adjustRightInd/>
        <w:ind w:left="1080" w:hanging="360"/>
        <w:rPr>
          <w:rFonts w:ascii="Times New Roman" w:hAnsi="Times New Roman"/>
        </w:rPr>
      </w:pPr>
      <w:r w:rsidRPr="00E60F16">
        <w:rPr>
          <w:rFonts w:ascii="Times New Roman" w:hAnsi="Times New Roman"/>
          <w:b/>
          <w:bCs/>
        </w:rPr>
        <w:t>ii.</w:t>
      </w:r>
      <w:r w:rsidRPr="00E60F16">
        <w:rPr>
          <w:rFonts w:ascii="Times New Roman" w:hAnsi="Times New Roman"/>
          <w:b/>
          <w:bCs/>
        </w:rPr>
        <w:tab/>
        <w:t>Estimate of Burden Hours to Employers</w:t>
      </w:r>
    </w:p>
    <w:p w:rsidR="005F39B8" w:rsidRPr="00E60F16" w:rsidP="005F39B8" w14:paraId="133C6449" w14:textId="77777777">
      <w:pPr>
        <w:widowControl/>
        <w:autoSpaceDE/>
        <w:autoSpaceDN/>
        <w:adjustRightInd/>
        <w:rPr>
          <w:rFonts w:ascii="Times New Roman" w:hAnsi="Times New Roman"/>
        </w:rPr>
      </w:pPr>
    </w:p>
    <w:p w:rsidR="005F39B8" w:rsidRPr="00E60F16" w:rsidP="007E5643" w14:paraId="0EDFF00E" w14:textId="77777777">
      <w:pPr>
        <w:widowControl/>
        <w:autoSpaceDE/>
        <w:autoSpaceDN/>
        <w:adjustRightInd/>
        <w:ind w:left="720"/>
        <w:rPr>
          <w:rFonts w:ascii="Times New Roman" w:hAnsi="Times New Roman"/>
          <w:bCs/>
        </w:rPr>
      </w:pPr>
      <w:r w:rsidRPr="00E60F16">
        <w:rPr>
          <w:rFonts w:ascii="Times New Roman" w:hAnsi="Times New Roman"/>
        </w:rPr>
        <w:t>OSHA estimates the burden hours to employers</w:t>
      </w:r>
      <w:r w:rsidRPr="00E60F16" w:rsidR="00D764FA">
        <w:rPr>
          <w:rFonts w:ascii="Times New Roman" w:hAnsi="Times New Roman"/>
        </w:rPr>
        <w:t xml:space="preserve"> voluntarily</w:t>
      </w:r>
      <w:r w:rsidRPr="00E60F16">
        <w:rPr>
          <w:rFonts w:ascii="Times New Roman" w:hAnsi="Times New Roman"/>
        </w:rPr>
        <w:t xml:space="preserve"> using no-cost consultation services as follows (See below Table 2.</w:t>
      </w:r>
      <w:r w:rsidRPr="00E60F16">
        <w:rPr>
          <w:rFonts w:ascii="Times New Roman" w:hAnsi="Times New Roman"/>
          <w:bCs/>
        </w:rPr>
        <w:t xml:space="preserve"> </w:t>
      </w:r>
      <w:r w:rsidRPr="00E60F16">
        <w:rPr>
          <w:rFonts w:ascii="Times New Roman" w:hAnsi="Times New Roman"/>
          <w:bCs/>
          <w:i/>
        </w:rPr>
        <w:t>Summary of Estimated Annualized Respondent (Employer) Hour and Cost Burden</w:t>
      </w:r>
      <w:r w:rsidRPr="00E60F16">
        <w:rPr>
          <w:rFonts w:ascii="Times New Roman" w:hAnsi="Times New Roman"/>
          <w:bCs/>
        </w:rPr>
        <w:t>):</w:t>
      </w:r>
    </w:p>
    <w:p w:rsidR="005F39B8" w:rsidRPr="00E60F16" w:rsidP="005F39B8" w14:paraId="40091104" w14:textId="77777777">
      <w:pPr>
        <w:widowControl/>
        <w:autoSpaceDE/>
        <w:autoSpaceDN/>
        <w:adjustRightInd/>
        <w:rPr>
          <w:rFonts w:ascii="Times New Roman" w:hAnsi="Times New Roman"/>
          <w:bCs/>
        </w:rPr>
      </w:pPr>
    </w:p>
    <w:p w:rsidR="005F39B8" w:rsidRPr="00E60F16" w:rsidP="007E5643" w14:paraId="36DEAEAE" w14:textId="77777777">
      <w:pPr>
        <w:widowControl/>
        <w:autoSpaceDE/>
        <w:autoSpaceDN/>
        <w:adjustRightInd/>
        <w:ind w:left="1080" w:hanging="360"/>
        <w:rPr>
          <w:rFonts w:ascii="Times New Roman" w:hAnsi="Times New Roman"/>
        </w:rPr>
      </w:pPr>
      <w:r w:rsidRPr="00E60F16">
        <w:rPr>
          <w:rFonts w:ascii="Times New Roman" w:hAnsi="Times New Roman"/>
        </w:rPr>
        <w:t>A.</w:t>
      </w:r>
      <w:r w:rsidRPr="00E60F16">
        <w:rPr>
          <w:rFonts w:ascii="Times New Roman" w:hAnsi="Times New Roman"/>
        </w:rPr>
        <w:tab/>
        <w:t>1908.6(e)(8); 1908.6(f)(5):</w:t>
      </w:r>
    </w:p>
    <w:p w:rsidR="005F39B8" w:rsidRPr="00E60F16" w:rsidP="007E5643" w14:paraId="17E01617" w14:textId="77777777">
      <w:pPr>
        <w:widowControl/>
        <w:autoSpaceDE/>
        <w:autoSpaceDN/>
        <w:adjustRightInd/>
        <w:ind w:left="720"/>
        <w:rPr>
          <w:rFonts w:ascii="Times New Roman" w:hAnsi="Times New Roman"/>
        </w:rPr>
      </w:pPr>
      <w:r w:rsidRPr="00E60F16">
        <w:rPr>
          <w:rFonts w:ascii="Times New Roman" w:hAnsi="Times New Roman"/>
        </w:rPr>
        <w:t xml:space="preserve">Employers must post the list of serious hazards and correction due </w:t>
      </w:r>
      <w:r w:rsidRPr="00E60F16" w:rsidR="006077AA">
        <w:rPr>
          <w:rFonts w:ascii="Times New Roman" w:hAnsi="Times New Roman"/>
        </w:rPr>
        <w:t>dates and</w:t>
      </w:r>
      <w:r w:rsidRPr="00E60F16">
        <w:rPr>
          <w:rFonts w:ascii="Times New Roman" w:hAnsi="Times New Roman"/>
        </w:rPr>
        <w:t xml:space="preserve"> notify the </w:t>
      </w:r>
      <w:r w:rsidRPr="00E60F16" w:rsidR="004A5C7D">
        <w:rPr>
          <w:rFonts w:ascii="Times New Roman" w:hAnsi="Times New Roman"/>
        </w:rPr>
        <w:t>Consultation Program M</w:t>
      </w:r>
      <w:r w:rsidRPr="00E60F16">
        <w:rPr>
          <w:rFonts w:ascii="Times New Roman" w:hAnsi="Times New Roman"/>
        </w:rPr>
        <w:t>anager in writing when serious hazards are corrected.  This requirement is necessary to ensure that workers are informed of the hazards in the workplace, and to ensure that employers take the necessary action to correct those hazards.</w:t>
      </w:r>
    </w:p>
    <w:p w:rsidR="005F39B8" w:rsidRPr="00E60F16" w:rsidP="007E5643" w14:paraId="0ABC31C5" w14:textId="77777777">
      <w:pPr>
        <w:widowControl/>
        <w:autoSpaceDE/>
        <w:autoSpaceDN/>
        <w:adjustRightInd/>
        <w:ind w:left="720"/>
        <w:rPr>
          <w:rFonts w:ascii="Times New Roman" w:hAnsi="Times New Roman"/>
        </w:rPr>
      </w:pPr>
    </w:p>
    <w:p w:rsidR="004A5C7D" w:rsidRPr="00E60F16" w:rsidP="007E5643" w14:paraId="70CE1BFE" w14:textId="77777777">
      <w:pPr>
        <w:widowControl/>
        <w:autoSpaceDE/>
        <w:autoSpaceDN/>
        <w:adjustRightInd/>
        <w:ind w:left="720"/>
        <w:rPr>
          <w:rFonts w:ascii="Times New Roman" w:hAnsi="Times New Roman"/>
        </w:rPr>
      </w:pPr>
      <w:r w:rsidRPr="00E60F16">
        <w:rPr>
          <w:rFonts w:ascii="Times New Roman" w:hAnsi="Times New Roman"/>
        </w:rPr>
        <w:t xml:space="preserve">Some hazards are corrected while the consultant is still at the employer’s worksite, so the consultant can </w:t>
      </w:r>
      <w:r w:rsidRPr="00E60F16" w:rsidR="00E83384">
        <w:rPr>
          <w:rFonts w:ascii="Times New Roman" w:hAnsi="Times New Roman"/>
        </w:rPr>
        <w:t>verify hazard correction</w:t>
      </w:r>
      <w:r w:rsidRPr="00E60F16">
        <w:rPr>
          <w:rFonts w:ascii="Times New Roman" w:hAnsi="Times New Roman"/>
        </w:rPr>
        <w:t xml:space="preserve"> before leaving the </w:t>
      </w:r>
      <w:r w:rsidRPr="00E60F16" w:rsidR="00245175">
        <w:rPr>
          <w:rFonts w:ascii="Times New Roman" w:hAnsi="Times New Roman"/>
        </w:rPr>
        <w:t>workplace</w:t>
      </w:r>
      <w:r w:rsidRPr="00E60F16">
        <w:rPr>
          <w:rFonts w:ascii="Times New Roman" w:hAnsi="Times New Roman"/>
        </w:rPr>
        <w:t xml:space="preserve">.  For those that are not corrected immediately, OSHA estimates that it takes 15 minutes for an employer to notify the On-Site Consultation </w:t>
      </w:r>
      <w:r w:rsidRPr="00E60F16" w:rsidR="00245175">
        <w:rPr>
          <w:rFonts w:ascii="Times New Roman" w:hAnsi="Times New Roman"/>
        </w:rPr>
        <w:t>p</w:t>
      </w:r>
      <w:r w:rsidRPr="00E60F16">
        <w:rPr>
          <w:rFonts w:ascii="Times New Roman" w:hAnsi="Times New Roman"/>
        </w:rPr>
        <w:t xml:space="preserve">rogram when serious hazards are corrected.  Since the list to be posted by the employer is provided by the On-Site Consultation </w:t>
      </w:r>
      <w:r w:rsidRPr="00E60F16" w:rsidR="00245175">
        <w:rPr>
          <w:rFonts w:ascii="Times New Roman" w:hAnsi="Times New Roman"/>
        </w:rPr>
        <w:t>p</w:t>
      </w:r>
      <w:r w:rsidRPr="00E60F16">
        <w:rPr>
          <w:rFonts w:ascii="Times New Roman" w:hAnsi="Times New Roman"/>
        </w:rPr>
        <w:t xml:space="preserve">rogram, there is no </w:t>
      </w:r>
      <w:r w:rsidR="006077AA">
        <w:rPr>
          <w:rFonts w:ascii="Times New Roman" w:hAnsi="Times New Roman"/>
        </w:rPr>
        <w:t>burden on the employer for information collection</w:t>
      </w:r>
      <w:r w:rsidRPr="00E60F16">
        <w:rPr>
          <w:rFonts w:ascii="Times New Roman" w:hAnsi="Times New Roman"/>
        </w:rPr>
        <w:t xml:space="preserve">.  However, OSHA estimates a total of 0.25 </w:t>
      </w:r>
      <w:r w:rsidR="006077AA">
        <w:rPr>
          <w:rFonts w:ascii="Times New Roman" w:hAnsi="Times New Roman"/>
        </w:rPr>
        <w:t>hours</w:t>
      </w:r>
      <w:r w:rsidRPr="00E60F16" w:rsidR="006077AA">
        <w:rPr>
          <w:rFonts w:ascii="Times New Roman" w:hAnsi="Times New Roman"/>
        </w:rPr>
        <w:t xml:space="preserve"> </w:t>
      </w:r>
      <w:r w:rsidRPr="00E60F16" w:rsidR="00B276FE">
        <w:rPr>
          <w:rFonts w:ascii="Times New Roman" w:hAnsi="Times New Roman"/>
        </w:rPr>
        <w:t xml:space="preserve">(15 minutes) </w:t>
      </w:r>
      <w:r w:rsidRPr="00E60F16">
        <w:rPr>
          <w:rFonts w:ascii="Times New Roman" w:hAnsi="Times New Roman"/>
        </w:rPr>
        <w:t xml:space="preserve">to comply with this requirement on every consultation visit.  </w:t>
      </w:r>
    </w:p>
    <w:p w:rsidR="004A5C7D" w:rsidRPr="00E60F16" w:rsidP="007E5643" w14:paraId="2E14DFC7" w14:textId="77777777">
      <w:pPr>
        <w:widowControl/>
        <w:autoSpaceDE/>
        <w:autoSpaceDN/>
        <w:adjustRightInd/>
        <w:ind w:left="720"/>
        <w:rPr>
          <w:rFonts w:ascii="Times New Roman" w:hAnsi="Times New Roman"/>
        </w:rPr>
      </w:pPr>
    </w:p>
    <w:p w:rsidR="001E258C" w:rsidRPr="00E60F16" w:rsidP="001E258C" w14:paraId="71D99C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Assuming that serious hazards are identified in each of the remaining </w:t>
      </w:r>
      <w:r w:rsidRPr="00E60F16">
        <w:rPr>
          <w:rFonts w:ascii="Times New Roman" w:hAnsi="Times New Roman"/>
          <w:b/>
        </w:rPr>
        <w:t>20 pilot workplace consultation visits</w:t>
      </w:r>
      <w:r w:rsidRPr="00E60F16">
        <w:rPr>
          <w:rFonts w:ascii="Times New Roman" w:hAnsi="Times New Roman"/>
          <w:bCs/>
        </w:rPr>
        <w:t xml:space="preserve"> that will be conducted, the resulting burden hours will be </w:t>
      </w:r>
      <w:r w:rsidRPr="00E60F16" w:rsidR="00420E37">
        <w:rPr>
          <w:rFonts w:ascii="Times New Roman" w:hAnsi="Times New Roman"/>
          <w:b/>
          <w:bCs/>
        </w:rPr>
        <w:t>5.0</w:t>
      </w:r>
      <w:r w:rsidRPr="00E60F16">
        <w:rPr>
          <w:rFonts w:ascii="Times New Roman" w:hAnsi="Times New Roman"/>
          <w:b/>
          <w:bCs/>
        </w:rPr>
        <w:t xml:space="preserve"> hours</w:t>
      </w:r>
      <w:r w:rsidRPr="00E60F16">
        <w:rPr>
          <w:rFonts w:ascii="Times New Roman" w:hAnsi="Times New Roman"/>
          <w:bCs/>
        </w:rPr>
        <w:t>.</w:t>
      </w:r>
    </w:p>
    <w:p w:rsidR="001E258C" w:rsidRPr="00E60F16" w:rsidP="001E258C" w14:paraId="44579D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1E258C" w:rsidRPr="00E60F16" w:rsidP="001E258C" w14:paraId="703293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bCs/>
        </w:rPr>
        <w:t xml:space="preserve">The Pilot Study will also involve a follow-up (if necessary), with a maximum of </w:t>
      </w:r>
      <w:r w:rsidRPr="00E60F16">
        <w:rPr>
          <w:rFonts w:ascii="Times New Roman" w:hAnsi="Times New Roman"/>
          <w:b/>
        </w:rPr>
        <w:t>30 workplace consultation visits</w:t>
      </w:r>
      <w:r w:rsidRPr="00E60F16">
        <w:rPr>
          <w:rFonts w:ascii="Times New Roman" w:hAnsi="Times New Roman"/>
          <w:bCs/>
        </w:rPr>
        <w:t xml:space="preserve">, resulting in </w:t>
      </w:r>
      <w:r w:rsidRPr="00E60F16" w:rsidR="00BA57AB">
        <w:rPr>
          <w:rFonts w:ascii="Times New Roman" w:hAnsi="Times New Roman"/>
          <w:b/>
        </w:rPr>
        <w:t>7.5</w:t>
      </w:r>
      <w:r w:rsidRPr="00E60F16">
        <w:rPr>
          <w:rFonts w:ascii="Times New Roman" w:hAnsi="Times New Roman"/>
          <w:b/>
        </w:rPr>
        <w:t xml:space="preserve"> hours</w:t>
      </w:r>
      <w:r w:rsidRPr="00E60F16" w:rsidR="00A3103F">
        <w:rPr>
          <w:rFonts w:ascii="Times New Roman" w:hAnsi="Times New Roman"/>
          <w:bCs/>
        </w:rPr>
        <w:t>.</w:t>
      </w:r>
      <w:r w:rsidRPr="00E60F16">
        <w:rPr>
          <w:rFonts w:ascii="Times New Roman" w:hAnsi="Times New Roman"/>
          <w:bCs/>
        </w:rPr>
        <w:t xml:space="preserve"> </w:t>
      </w:r>
    </w:p>
    <w:p w:rsidR="00F24785" w:rsidRPr="00E60F16" w:rsidP="001E258C" w14:paraId="5F5E44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p>
    <w:p w:rsidR="005F39B8" w:rsidRPr="00E60F16" w:rsidP="007E5643" w14:paraId="3E7F27E0" w14:textId="77777777">
      <w:pPr>
        <w:widowControl/>
        <w:autoSpaceDE/>
        <w:autoSpaceDN/>
        <w:adjustRightInd/>
        <w:ind w:left="720"/>
        <w:rPr>
          <w:rFonts w:ascii="Times New Roman" w:hAnsi="Times New Roman"/>
        </w:rPr>
      </w:pPr>
      <w:r w:rsidRPr="00E60F16">
        <w:rPr>
          <w:rFonts w:ascii="Times New Roman" w:hAnsi="Times New Roman"/>
        </w:rPr>
        <w:t>OSHA estimate</w:t>
      </w:r>
      <w:r w:rsidRPr="00E60F16" w:rsidR="00BA57AB">
        <w:rPr>
          <w:rFonts w:ascii="Times New Roman" w:hAnsi="Times New Roman"/>
        </w:rPr>
        <w:t>s</w:t>
      </w:r>
      <w:r w:rsidRPr="00E60F16">
        <w:rPr>
          <w:rFonts w:ascii="Times New Roman" w:hAnsi="Times New Roman"/>
        </w:rPr>
        <w:t xml:space="preserve"> that the total burden </w:t>
      </w:r>
      <w:r w:rsidRPr="00E60F16" w:rsidR="004A5C7D">
        <w:rPr>
          <w:rFonts w:ascii="Times New Roman" w:hAnsi="Times New Roman"/>
        </w:rPr>
        <w:t xml:space="preserve">hours </w:t>
      </w:r>
      <w:r w:rsidRPr="00E60F16">
        <w:rPr>
          <w:rFonts w:ascii="Times New Roman" w:hAnsi="Times New Roman"/>
        </w:rPr>
        <w:t xml:space="preserve">for </w:t>
      </w:r>
      <w:r w:rsidRPr="00E60F16" w:rsidR="00771A3F">
        <w:rPr>
          <w:rFonts w:ascii="Times New Roman" w:hAnsi="Times New Roman"/>
        </w:rPr>
        <w:t xml:space="preserve">employers to notify the On-Site Consultation program of hazard correction for </w:t>
      </w:r>
      <w:r w:rsidRPr="00E60F16" w:rsidR="00BA57AB">
        <w:rPr>
          <w:rFonts w:ascii="Times New Roman" w:hAnsi="Times New Roman"/>
        </w:rPr>
        <w:t xml:space="preserve">the remaining workplace consultation </w:t>
      </w:r>
      <w:r w:rsidRPr="00E60F16">
        <w:rPr>
          <w:rFonts w:ascii="Times New Roman" w:hAnsi="Times New Roman"/>
        </w:rPr>
        <w:t xml:space="preserve"> </w:t>
      </w:r>
      <w:r w:rsidRPr="00E60F16" w:rsidR="00771A3F">
        <w:rPr>
          <w:rFonts w:ascii="Times New Roman" w:hAnsi="Times New Roman"/>
        </w:rPr>
        <w:t xml:space="preserve">visits </w:t>
      </w:r>
      <w:r w:rsidRPr="00E60F16">
        <w:rPr>
          <w:rFonts w:ascii="Times New Roman" w:hAnsi="Times New Roman"/>
        </w:rPr>
        <w:t xml:space="preserve">will be </w:t>
      </w:r>
      <w:r w:rsidRPr="00E60F16" w:rsidR="00771A3F">
        <w:rPr>
          <w:rFonts w:ascii="Times New Roman" w:hAnsi="Times New Roman"/>
          <w:b/>
        </w:rPr>
        <w:t>12</w:t>
      </w:r>
      <w:r w:rsidRPr="00E60F16" w:rsidR="00772044">
        <w:rPr>
          <w:rFonts w:ascii="Times New Roman" w:hAnsi="Times New Roman"/>
          <w:b/>
        </w:rPr>
        <w:t>.5</w:t>
      </w:r>
      <w:r w:rsidRPr="00E60F16">
        <w:rPr>
          <w:rFonts w:ascii="Times New Roman" w:hAnsi="Times New Roman"/>
          <w:b/>
        </w:rPr>
        <w:t xml:space="preserve"> hours</w:t>
      </w:r>
      <w:r w:rsidRPr="00E60F16">
        <w:rPr>
          <w:rFonts w:ascii="Times New Roman" w:hAnsi="Times New Roman"/>
        </w:rPr>
        <w:t>.</w:t>
      </w:r>
    </w:p>
    <w:p w:rsidR="005F39B8" w:rsidRPr="00E60F16" w:rsidP="005F39B8" w14:paraId="2F299ED5" w14:textId="77777777">
      <w:pPr>
        <w:widowControl/>
        <w:autoSpaceDE/>
        <w:autoSpaceDN/>
        <w:adjustRightInd/>
        <w:rPr>
          <w:rFonts w:ascii="Times New Roman" w:hAnsi="Times New Roman"/>
          <w:u w:val="single"/>
        </w:rPr>
      </w:pPr>
    </w:p>
    <w:p w:rsidR="005F39B8" w:rsidRPr="00E60F16" w:rsidP="007E5643" w14:paraId="6ABF1EC7" w14:textId="77777777">
      <w:pPr>
        <w:widowControl/>
        <w:numPr>
          <w:ilvl w:val="0"/>
          <w:numId w:val="18"/>
        </w:numPr>
        <w:autoSpaceDE/>
        <w:autoSpaceDN/>
        <w:adjustRightInd/>
        <w:ind w:left="1080" w:hanging="360"/>
        <w:rPr>
          <w:rFonts w:ascii="Times New Roman" w:hAnsi="Times New Roman"/>
          <w:u w:val="single"/>
        </w:rPr>
      </w:pPr>
      <w:r w:rsidRPr="00E60F16">
        <w:rPr>
          <w:rFonts w:ascii="Times New Roman" w:hAnsi="Times New Roman"/>
          <w:u w:val="single"/>
        </w:rPr>
        <w:t>1908.7(b)(1):</w:t>
      </w:r>
    </w:p>
    <w:p w:rsidR="005F39B8" w:rsidRPr="00E60F16" w:rsidP="007E5643" w14:paraId="410CAA7C" w14:textId="77777777">
      <w:pPr>
        <w:widowControl/>
        <w:autoSpaceDE/>
        <w:autoSpaceDN/>
        <w:adjustRightInd/>
        <w:ind w:left="720"/>
        <w:rPr>
          <w:rFonts w:ascii="Times New Roman" w:hAnsi="Times New Roman"/>
        </w:rPr>
      </w:pPr>
      <w:r w:rsidRPr="00E60F16">
        <w:rPr>
          <w:rFonts w:ascii="Times New Roman" w:hAnsi="Times New Roman"/>
        </w:rPr>
        <w:t xml:space="preserve">Inform any OSHA or state compliance officer who arrives at the workplace that an On-Site Consultation visit is in progress.  This requirement applies to any employer using </w:t>
      </w:r>
      <w:r w:rsidRPr="00E60F16" w:rsidR="005D1090">
        <w:rPr>
          <w:rFonts w:ascii="Times New Roman" w:hAnsi="Times New Roman"/>
        </w:rPr>
        <w:t>no-cost</w:t>
      </w:r>
      <w:r w:rsidRPr="00E60F16">
        <w:rPr>
          <w:rFonts w:ascii="Times New Roman" w:hAnsi="Times New Roman"/>
        </w:rPr>
        <w:t xml:space="preserve"> consultation service</w:t>
      </w:r>
      <w:r w:rsidRPr="00E60F16" w:rsidR="005D1090">
        <w:rPr>
          <w:rFonts w:ascii="Times New Roman" w:hAnsi="Times New Roman"/>
        </w:rPr>
        <w:t>s</w:t>
      </w:r>
      <w:r w:rsidRPr="00E60F16">
        <w:rPr>
          <w:rFonts w:ascii="Times New Roman" w:hAnsi="Times New Roman"/>
        </w:rPr>
        <w:t xml:space="preserve"> and is designed to prevent a duplication of effort between On-Site Consultation and OSHA enforcement.</w:t>
      </w:r>
    </w:p>
    <w:p w:rsidR="005F39B8" w:rsidRPr="00E60F16" w:rsidP="007E5643" w14:paraId="1DF529FF" w14:textId="77777777">
      <w:pPr>
        <w:widowControl/>
        <w:autoSpaceDE/>
        <w:autoSpaceDN/>
        <w:adjustRightInd/>
        <w:ind w:left="720"/>
        <w:rPr>
          <w:rFonts w:ascii="Times New Roman" w:hAnsi="Times New Roman"/>
        </w:rPr>
      </w:pPr>
    </w:p>
    <w:p w:rsidR="004A5C7D" w:rsidRPr="00E60F16" w:rsidP="007E5643" w14:paraId="6158D208" w14:textId="77777777">
      <w:pPr>
        <w:widowControl/>
        <w:autoSpaceDE/>
        <w:autoSpaceDN/>
        <w:adjustRightInd/>
        <w:ind w:left="720"/>
        <w:rPr>
          <w:rFonts w:ascii="Times New Roman" w:hAnsi="Times New Roman"/>
        </w:rPr>
      </w:pPr>
      <w:r w:rsidRPr="00E60F16">
        <w:rPr>
          <w:rFonts w:ascii="Times New Roman" w:hAnsi="Times New Roman"/>
        </w:rPr>
        <w:t>OSHA estimates that 5 percent of all high hazard employers eligible for inspections are actually inspected in any given year.  Priority for On-Site Consultation visits are given to small, high-hazard companies.  By extension of the fact that both OSHA and the On-Site Consultation Programs place a higher priority on high hazard companies, and the fact that five</w:t>
      </w:r>
      <w:r w:rsidRPr="00E60F16" w:rsidR="006B2A93">
        <w:rPr>
          <w:rFonts w:ascii="Times New Roman" w:hAnsi="Times New Roman"/>
        </w:rPr>
        <w:t xml:space="preserve"> (5)</w:t>
      </w:r>
      <w:r w:rsidRPr="00E60F16">
        <w:rPr>
          <w:rFonts w:ascii="Times New Roman" w:hAnsi="Times New Roman"/>
        </w:rPr>
        <w:t xml:space="preserve"> percent</w:t>
      </w:r>
      <w:r w:rsidRPr="00E60F16" w:rsidR="006B2A93">
        <w:rPr>
          <w:rFonts w:ascii="Times New Roman" w:hAnsi="Times New Roman"/>
        </w:rPr>
        <w:t xml:space="preserve"> (%)</w:t>
      </w:r>
      <w:r w:rsidRPr="00E60F16">
        <w:rPr>
          <w:rFonts w:ascii="Times New Roman" w:hAnsi="Times New Roman"/>
        </w:rPr>
        <w:t xml:space="preserve"> of companies receive compliance inspections, OSHA estimates that a compliance officer will arrive at a facility receiving an On-Site Consultation visit on </w:t>
      </w:r>
      <w:r w:rsidRPr="00E60F16" w:rsidR="003B3114">
        <w:rPr>
          <w:rFonts w:ascii="Times New Roman" w:hAnsi="Times New Roman"/>
        </w:rPr>
        <w:t xml:space="preserve">5 </w:t>
      </w:r>
      <w:r w:rsidRPr="00E60F16">
        <w:rPr>
          <w:rFonts w:ascii="Times New Roman" w:hAnsi="Times New Roman"/>
        </w:rPr>
        <w:t xml:space="preserve">percent of all On-Site Consultation visits.  </w:t>
      </w:r>
    </w:p>
    <w:p w:rsidR="004A5C7D" w:rsidRPr="00E60F16" w:rsidP="007E5643" w14:paraId="277E782A" w14:textId="77777777">
      <w:pPr>
        <w:widowControl/>
        <w:autoSpaceDE/>
        <w:autoSpaceDN/>
        <w:adjustRightInd/>
        <w:ind w:left="720"/>
        <w:rPr>
          <w:rFonts w:ascii="Times New Roman" w:hAnsi="Times New Roman"/>
        </w:rPr>
      </w:pPr>
    </w:p>
    <w:p w:rsidR="005F39B8" w:rsidRPr="00E60F16" w:rsidP="007E5643" w14:paraId="39D4B561" w14:textId="77777777">
      <w:pPr>
        <w:widowControl/>
        <w:autoSpaceDE/>
        <w:autoSpaceDN/>
        <w:adjustRightInd/>
        <w:ind w:left="720"/>
        <w:rPr>
          <w:rFonts w:ascii="Times New Roman" w:hAnsi="Times New Roman"/>
        </w:rPr>
      </w:pPr>
      <w:r w:rsidRPr="00E60F16">
        <w:rPr>
          <w:rFonts w:ascii="Times New Roman" w:hAnsi="Times New Roman"/>
        </w:rPr>
        <w:t xml:space="preserve">5% of </w:t>
      </w:r>
      <w:r w:rsidRPr="00E60F16" w:rsidR="00F34D29">
        <w:rPr>
          <w:rFonts w:ascii="Times New Roman" w:hAnsi="Times New Roman"/>
        </w:rPr>
        <w:t>potentially</w:t>
      </w:r>
      <w:r w:rsidRPr="00E60F16">
        <w:rPr>
          <w:rFonts w:ascii="Times New Roman" w:hAnsi="Times New Roman"/>
        </w:rPr>
        <w:t xml:space="preserve"> </w:t>
      </w:r>
      <w:r w:rsidRPr="00E60F16" w:rsidR="00772044">
        <w:rPr>
          <w:rFonts w:ascii="Times New Roman" w:hAnsi="Times New Roman"/>
        </w:rPr>
        <w:t>50 workplace</w:t>
      </w:r>
      <w:r w:rsidRPr="00E60F16">
        <w:rPr>
          <w:rFonts w:ascii="Times New Roman" w:hAnsi="Times New Roman"/>
        </w:rPr>
        <w:t xml:space="preserve"> consultation</w:t>
      </w:r>
      <w:r w:rsidRPr="00E60F16" w:rsidR="008D6345">
        <w:rPr>
          <w:rFonts w:ascii="Times New Roman" w:hAnsi="Times New Roman"/>
        </w:rPr>
        <w:t xml:space="preserve"> visits</w:t>
      </w:r>
      <w:r w:rsidRPr="00E60F16" w:rsidR="00F34D29">
        <w:rPr>
          <w:rFonts w:ascii="Times New Roman" w:hAnsi="Times New Roman"/>
        </w:rPr>
        <w:t xml:space="preserve"> remaining</w:t>
      </w:r>
      <w:r w:rsidRPr="00E60F16" w:rsidR="008D6345">
        <w:rPr>
          <w:rFonts w:ascii="Times New Roman" w:hAnsi="Times New Roman"/>
        </w:rPr>
        <w:t xml:space="preserve"> is 2.5 (3)</w:t>
      </w:r>
      <w:r w:rsidRPr="00E60F16" w:rsidR="003B3114">
        <w:rPr>
          <w:rFonts w:ascii="Times New Roman" w:hAnsi="Times New Roman"/>
        </w:rPr>
        <w:t>.  OSHA estimates that it</w:t>
      </w:r>
      <w:r w:rsidRPr="00E60F16">
        <w:rPr>
          <w:rFonts w:ascii="Times New Roman" w:hAnsi="Times New Roman"/>
        </w:rPr>
        <w:t xml:space="preserve"> takes approximately 0.1 hour </w:t>
      </w:r>
      <w:r w:rsidRPr="00E60F16" w:rsidR="00B276FE">
        <w:rPr>
          <w:rFonts w:ascii="Times New Roman" w:hAnsi="Times New Roman"/>
        </w:rPr>
        <w:t xml:space="preserve">(6 minutes) </w:t>
      </w:r>
      <w:r w:rsidRPr="00E60F16">
        <w:rPr>
          <w:rFonts w:ascii="Times New Roman" w:hAnsi="Times New Roman"/>
        </w:rPr>
        <w:t xml:space="preserve">to inform a compliance officer that an On-Site Consultation visit is in progress.  This function is performed by a management worker, or by </w:t>
      </w:r>
      <w:r w:rsidRPr="00E60F16" w:rsidR="00B26859">
        <w:rPr>
          <w:rFonts w:ascii="Times New Roman" w:hAnsi="Times New Roman"/>
        </w:rPr>
        <w:t xml:space="preserve">the </w:t>
      </w:r>
      <w:r w:rsidRPr="00E60F16">
        <w:rPr>
          <w:rFonts w:ascii="Times New Roman" w:hAnsi="Times New Roman"/>
        </w:rPr>
        <w:t xml:space="preserve">owner, and </w:t>
      </w:r>
      <w:r w:rsidRPr="00E60F16" w:rsidR="005D1090">
        <w:rPr>
          <w:rFonts w:ascii="Times New Roman" w:hAnsi="Times New Roman"/>
        </w:rPr>
        <w:t xml:space="preserve">will </w:t>
      </w:r>
      <w:r w:rsidRPr="00E60F16">
        <w:rPr>
          <w:rFonts w:ascii="Times New Roman" w:hAnsi="Times New Roman"/>
        </w:rPr>
        <w:t xml:space="preserve">result in a maximum of </w:t>
      </w:r>
      <w:r w:rsidRPr="00E60F16" w:rsidR="00B26859">
        <w:rPr>
          <w:rFonts w:ascii="Times New Roman" w:hAnsi="Times New Roman"/>
          <w:b/>
        </w:rPr>
        <w:t>0.</w:t>
      </w:r>
      <w:r w:rsidRPr="00E60F16" w:rsidR="005C5C01">
        <w:rPr>
          <w:rFonts w:ascii="Times New Roman" w:hAnsi="Times New Roman"/>
          <w:b/>
        </w:rPr>
        <w:t>3</w:t>
      </w:r>
      <w:r w:rsidRPr="00E60F16" w:rsidR="003B3114">
        <w:rPr>
          <w:rFonts w:ascii="Times New Roman" w:hAnsi="Times New Roman"/>
          <w:b/>
        </w:rPr>
        <w:t xml:space="preserve"> </w:t>
      </w:r>
      <w:r w:rsidRPr="00E60F16">
        <w:rPr>
          <w:rFonts w:ascii="Times New Roman" w:hAnsi="Times New Roman"/>
          <w:b/>
        </w:rPr>
        <w:t>burden hours</w:t>
      </w:r>
      <w:r w:rsidRPr="00E60F16">
        <w:rPr>
          <w:rFonts w:ascii="Times New Roman" w:hAnsi="Times New Roman"/>
        </w:rPr>
        <w:t>.</w:t>
      </w:r>
    </w:p>
    <w:p w:rsidR="00150DB2" w:rsidRPr="00E60F16" w:rsidP="007E5643" w14:paraId="303F2713" w14:textId="77777777">
      <w:pPr>
        <w:widowControl/>
        <w:autoSpaceDE/>
        <w:autoSpaceDN/>
        <w:adjustRightInd/>
        <w:ind w:left="720"/>
        <w:rPr>
          <w:rFonts w:ascii="Times New Roman" w:hAnsi="Times New Roman"/>
        </w:rPr>
      </w:pPr>
    </w:p>
    <w:p w:rsidR="00150DB2" w:rsidRPr="00E60F16" w:rsidP="0069034C" w14:paraId="01CADFC5" w14:textId="77777777">
      <w:pPr>
        <w:widowControl/>
        <w:numPr>
          <w:ilvl w:val="0"/>
          <w:numId w:val="18"/>
        </w:numPr>
        <w:autoSpaceDE/>
        <w:autoSpaceDN/>
        <w:adjustRightInd/>
        <w:ind w:left="1080" w:hanging="360"/>
        <w:rPr>
          <w:rFonts w:ascii="Times New Roman" w:hAnsi="Times New Roman"/>
          <w:u w:val="single"/>
        </w:rPr>
      </w:pPr>
      <w:r w:rsidRPr="00E60F16">
        <w:rPr>
          <w:rFonts w:ascii="Times New Roman" w:hAnsi="Times New Roman"/>
          <w:u w:val="single"/>
        </w:rPr>
        <w:t>Provide Injury and Illness Data for the Prospective Analysis</w:t>
      </w:r>
    </w:p>
    <w:p w:rsidR="00150DB2" w:rsidRPr="00E60F16" w:rsidP="00D239C9" w14:paraId="5EF73034" w14:textId="77777777">
      <w:pPr>
        <w:widowControl/>
        <w:autoSpaceDE/>
        <w:autoSpaceDN/>
        <w:adjustRightInd/>
        <w:ind w:left="720"/>
        <w:rPr>
          <w:rFonts w:ascii="Times New Roman" w:hAnsi="Times New Roman"/>
        </w:rPr>
      </w:pPr>
      <w:r w:rsidRPr="00E60F16">
        <w:rPr>
          <w:rFonts w:ascii="Times New Roman" w:hAnsi="Times New Roman"/>
        </w:rPr>
        <w:t xml:space="preserve">One year after the Pilot Study, consultants will contact employers that participated in the Pilot Study to request injury and illness data.  The data will be used to calculate TRC and DART for the 12-month period following the Pilot Study.  OSHA estimates that it will take the employer about 15 minutes to provide this information to the consultant, this will result in a total of </w:t>
      </w:r>
      <w:r w:rsidRPr="00E60F16">
        <w:rPr>
          <w:rFonts w:ascii="Times New Roman" w:hAnsi="Times New Roman"/>
          <w:b/>
        </w:rPr>
        <w:t>75 hours</w:t>
      </w:r>
      <w:r w:rsidRPr="00E60F16">
        <w:rPr>
          <w:rFonts w:ascii="Times New Roman" w:hAnsi="Times New Roman"/>
        </w:rPr>
        <w:t xml:space="preserve"> for 300 workplaces.</w:t>
      </w:r>
      <w:r w:rsidRPr="00E60F16" w:rsidR="00D72EBB">
        <w:rPr>
          <w:rFonts w:ascii="Times New Roman" w:hAnsi="Times New Roman"/>
        </w:rPr>
        <w:t xml:space="preserve"> </w:t>
      </w:r>
    </w:p>
    <w:p w:rsidR="005F39B8" w:rsidRPr="00E60F16" w:rsidP="00183E80" w14:paraId="4C01181A" w14:textId="77777777">
      <w:pPr>
        <w:widowControl/>
        <w:autoSpaceDE/>
        <w:autoSpaceDN/>
        <w:adjustRightInd/>
        <w:rPr>
          <w:rFonts w:ascii="Times New Roman" w:hAnsi="Times New Roman"/>
        </w:rPr>
      </w:pPr>
    </w:p>
    <w:p w:rsidR="005F39B8" w:rsidRPr="00E60F16" w:rsidP="0036573C" w14:paraId="61068CC9" w14:textId="77777777">
      <w:pPr>
        <w:widowControl/>
        <w:autoSpaceDE/>
        <w:autoSpaceDN/>
        <w:adjustRightInd/>
        <w:ind w:left="720"/>
        <w:rPr>
          <w:rFonts w:ascii="Times New Roman" w:hAnsi="Times New Roman"/>
        </w:rPr>
      </w:pPr>
      <w:r w:rsidRPr="00E60F16">
        <w:rPr>
          <w:rFonts w:ascii="Times New Roman" w:hAnsi="Times New Roman"/>
        </w:rPr>
        <w:t xml:space="preserve">To complete the </w:t>
      </w:r>
      <w:r w:rsidR="00B24FE4">
        <w:rPr>
          <w:rFonts w:ascii="Times New Roman" w:hAnsi="Times New Roman"/>
        </w:rPr>
        <w:t>pilot study, OSHA estimates that the remaining activities will result in 87.8 burden hours and a cost of $7,935.36 for</w:t>
      </w:r>
      <w:r w:rsidRPr="00E60F16" w:rsidR="00DE2BD8">
        <w:rPr>
          <w:rFonts w:ascii="Times New Roman" w:hAnsi="Times New Roman"/>
          <w:b/>
          <w:bCs/>
        </w:rPr>
        <w:t xml:space="preserve"> private sector employers</w:t>
      </w:r>
      <w:r w:rsidRPr="00E60F16" w:rsidR="00E83CDA">
        <w:rPr>
          <w:rFonts w:ascii="Times New Roman" w:hAnsi="Times New Roman"/>
        </w:rPr>
        <w:t>.</w:t>
      </w:r>
      <w:r w:rsidRPr="00E60F16" w:rsidR="00C60B3A">
        <w:rPr>
          <w:rFonts w:ascii="Times New Roman" w:hAnsi="Times New Roman"/>
        </w:rPr>
        <w:t xml:space="preserve">  </w:t>
      </w:r>
      <w:r w:rsidRPr="006C212A">
        <w:rPr>
          <w:rFonts w:ascii="Times New Roman" w:hAnsi="Times New Roman"/>
        </w:rPr>
        <w:t>See Table 2</w:t>
      </w:r>
      <w:r w:rsidRPr="00E60F16" w:rsidR="009E28FD">
        <w:rPr>
          <w:rFonts w:ascii="Times New Roman" w:hAnsi="Times New Roman"/>
        </w:rPr>
        <w:t xml:space="preserve">, </w:t>
      </w:r>
      <w:r w:rsidRPr="006C212A">
        <w:rPr>
          <w:rFonts w:ascii="Times New Roman" w:hAnsi="Times New Roman"/>
          <w:bCs/>
        </w:rPr>
        <w:t>Summary of Estimated Annualized Respondent (Employer) Hour and Cost Burden</w:t>
      </w:r>
      <w:r w:rsidRPr="00E60F16" w:rsidR="009E28FD">
        <w:rPr>
          <w:rFonts w:ascii="Times New Roman" w:hAnsi="Times New Roman"/>
        </w:rPr>
        <w:t>.</w:t>
      </w:r>
      <w:r w:rsidRPr="006C212A">
        <w:rPr>
          <w:rFonts w:ascii="Times New Roman" w:hAnsi="Times New Roman"/>
        </w:rPr>
        <w:t xml:space="preserve"> </w:t>
      </w:r>
      <w:r w:rsidRPr="00E60F16" w:rsidR="00C36069">
        <w:rPr>
          <w:rFonts w:ascii="Times New Roman" w:hAnsi="Times New Roman"/>
        </w:rPr>
        <w:t xml:space="preserve">                                                         </w:t>
      </w:r>
    </w:p>
    <w:p w:rsidR="0036573C" w:rsidRPr="00E60F16" w:rsidP="0036573C" w14:paraId="5353F813" w14:textId="77777777">
      <w:pPr>
        <w:widowControl/>
        <w:autoSpaceDE/>
        <w:autoSpaceDN/>
        <w:adjustRightInd/>
        <w:ind w:left="720"/>
        <w:rPr>
          <w:rFonts w:ascii="Times New Roman" w:hAnsi="Times New Roman"/>
          <w:b/>
        </w:rPr>
      </w:pPr>
    </w:p>
    <w:p w:rsidR="0036573C" w:rsidRPr="00E60F16" w:rsidP="0036573C" w14:paraId="5760D0CF" w14:textId="77777777">
      <w:pPr>
        <w:widowControl/>
        <w:autoSpaceDE/>
        <w:autoSpaceDN/>
        <w:adjustRightInd/>
        <w:ind w:left="720"/>
        <w:rPr>
          <w:rFonts w:ascii="Times New Roman" w:hAnsi="Times New Roman"/>
          <w:b/>
        </w:rPr>
      </w:pPr>
      <w:r w:rsidRPr="006C212A">
        <w:rPr>
          <w:rFonts w:ascii="Times New Roman" w:hAnsi="Times New Roman"/>
          <w:bCs/>
        </w:rPr>
        <w:t xml:space="preserve">OSHA previously estimated the total burden hours </w:t>
      </w:r>
      <w:r w:rsidRPr="00E60F16">
        <w:rPr>
          <w:rFonts w:ascii="Times New Roman" w:hAnsi="Times New Roman"/>
          <w:bCs/>
        </w:rPr>
        <w:t xml:space="preserve">and cost for private sector employers </w:t>
      </w:r>
      <w:r w:rsidRPr="00E60F16">
        <w:rPr>
          <w:rFonts w:ascii="Times New Roman" w:hAnsi="Times New Roman"/>
          <w:b/>
        </w:rPr>
        <w:t xml:space="preserve">participating in the Pilot Study </w:t>
      </w:r>
      <w:r w:rsidR="00B24FE4">
        <w:rPr>
          <w:rFonts w:ascii="Times New Roman" w:hAnsi="Times New Roman"/>
          <w:b/>
        </w:rPr>
        <w:t>to be</w:t>
      </w:r>
      <w:r w:rsidRPr="00E60F16" w:rsidR="00B24FE4">
        <w:rPr>
          <w:rFonts w:ascii="Times New Roman" w:hAnsi="Times New Roman"/>
          <w:b/>
        </w:rPr>
        <w:t xml:space="preserve"> </w:t>
      </w:r>
      <w:r w:rsidRPr="00E60F16">
        <w:rPr>
          <w:rFonts w:ascii="Times New Roman" w:hAnsi="Times New Roman"/>
          <w:b/>
        </w:rPr>
        <w:t xml:space="preserve">164 hours and $14,409.00 for the entire Pilot Study </w:t>
      </w:r>
      <w:r w:rsidRPr="00E60F16">
        <w:rPr>
          <w:rFonts w:ascii="Times New Roman" w:hAnsi="Times New Roman"/>
          <w:bCs/>
        </w:rPr>
        <w:t>(See Appendix C).</w:t>
      </w:r>
      <w:r w:rsidRPr="00E60F16">
        <w:rPr>
          <w:rFonts w:ascii="Times New Roman" w:hAnsi="Times New Roman"/>
          <w:b/>
        </w:rPr>
        <w:t xml:space="preserve">  </w:t>
      </w:r>
    </w:p>
    <w:p w:rsidR="0036573C" w:rsidRPr="00E60F16" w:rsidP="0036573C" w14:paraId="38378238" w14:textId="77777777">
      <w:pPr>
        <w:widowControl/>
        <w:autoSpaceDE/>
        <w:autoSpaceDN/>
        <w:adjustRightInd/>
        <w:ind w:left="720"/>
        <w:rPr>
          <w:rFonts w:ascii="Times New Roman" w:hAnsi="Times New Roman"/>
          <w:b/>
        </w:rPr>
      </w:pPr>
    </w:p>
    <w:p w:rsidR="00562ADF" w:rsidRPr="00E60F16" w:rsidP="00991E1E" w14:paraId="448B8333" w14:textId="77777777">
      <w:pPr>
        <w:keepNext/>
        <w:widowControl/>
        <w:autoSpaceDE/>
        <w:autoSpaceDN/>
        <w:adjustRightInd/>
        <w:rPr>
          <w:rFonts w:ascii="Times New Roman" w:hAnsi="Times New Roman"/>
          <w:b/>
          <w:bCs/>
        </w:rPr>
      </w:pPr>
      <w:bookmarkStart w:id="3" w:name="_Hlk102399751"/>
    </w:p>
    <w:p w:rsidR="008E76C8" w:rsidP="008E76C8" w14:paraId="373501BC" w14:textId="77777777">
      <w:pPr>
        <w:keepNext/>
        <w:widowControl/>
        <w:autoSpaceDE/>
        <w:autoSpaceDN/>
        <w:adjustRightInd/>
        <w:jc w:val="center"/>
        <w:rPr>
          <w:rFonts w:ascii="Times New Roman" w:hAnsi="Times New Roman"/>
          <w:b/>
          <w:bCs/>
        </w:rPr>
      </w:pPr>
    </w:p>
    <w:p w:rsidR="008E76C8" w:rsidP="008E76C8" w14:paraId="07906AB5" w14:textId="77777777">
      <w:pPr>
        <w:keepNext/>
        <w:widowControl/>
        <w:autoSpaceDE/>
        <w:autoSpaceDN/>
        <w:adjustRightInd/>
        <w:jc w:val="center"/>
        <w:rPr>
          <w:rFonts w:ascii="Times New Roman" w:hAnsi="Times New Roman"/>
          <w:b/>
          <w:bCs/>
        </w:rPr>
      </w:pPr>
    </w:p>
    <w:p w:rsidR="005F39B8" w:rsidRPr="00E60F16" w:rsidP="001646CF" w14:paraId="4A5A5A53" w14:textId="77777777">
      <w:pPr>
        <w:keepNext/>
        <w:widowControl/>
        <w:autoSpaceDE/>
        <w:autoSpaceDN/>
        <w:adjustRightInd/>
        <w:jc w:val="center"/>
        <w:rPr>
          <w:rFonts w:ascii="Times New Roman" w:hAnsi="Times New Roman"/>
          <w:b/>
          <w:bCs/>
        </w:rPr>
      </w:pPr>
      <w:r w:rsidRPr="00E60F16">
        <w:rPr>
          <w:rFonts w:ascii="Times New Roman" w:hAnsi="Times New Roman"/>
          <w:b/>
          <w:bCs/>
        </w:rPr>
        <w:t>Table 2</w:t>
      </w:r>
      <w:r w:rsidRPr="00E60F16" w:rsidR="00907943">
        <w:rPr>
          <w:rFonts w:ascii="Times New Roman" w:hAnsi="Times New Roman"/>
          <w:b/>
          <w:bCs/>
        </w:rPr>
        <w:t xml:space="preserve">: </w:t>
      </w:r>
      <w:r w:rsidRPr="00E60F16">
        <w:rPr>
          <w:rFonts w:ascii="Times New Roman" w:hAnsi="Times New Roman"/>
          <w:b/>
          <w:bCs/>
        </w:rPr>
        <w:t>Summary of Estimated Respondent (Employer) Hour and Cost Burden</w:t>
      </w:r>
    </w:p>
    <w:bookmarkEnd w:id="3"/>
    <w:p w:rsidR="005F39B8" w:rsidRPr="00E60F16" w:rsidP="00273E2A" w14:paraId="07480151" w14:textId="77777777">
      <w:pPr>
        <w:widowControl/>
        <w:autoSpaceDE/>
        <w:autoSpaceDN/>
        <w:adjustRightInd/>
        <w:jc w:val="center"/>
        <w:rPr>
          <w:rFonts w:ascii="Times New Roman" w:hAnsi="Times New Roman"/>
        </w:rPr>
      </w:pPr>
    </w:p>
    <w:tbl>
      <w:tblPr>
        <w:tblW w:w="11530" w:type="dxa"/>
        <w:jc w:val="center"/>
        <w:tblLayout w:type="fixed"/>
        <w:tblLook w:val="04A0"/>
      </w:tblPr>
      <w:tblGrid>
        <w:gridCol w:w="1615"/>
        <w:gridCol w:w="1440"/>
        <w:gridCol w:w="1350"/>
        <w:gridCol w:w="1350"/>
        <w:gridCol w:w="1180"/>
        <w:gridCol w:w="1170"/>
        <w:gridCol w:w="1170"/>
        <w:gridCol w:w="995"/>
        <w:gridCol w:w="1260"/>
      </w:tblGrid>
      <w:tr w14:paraId="3D696F74" w14:textId="77777777" w:rsidTr="001646CF">
        <w:tblPrEx>
          <w:tblW w:w="11530" w:type="dxa"/>
          <w:jc w:val="center"/>
          <w:tblLayout w:type="fixed"/>
          <w:tblLook w:val="04A0"/>
        </w:tblPrEx>
        <w:trPr>
          <w:trHeight w:val="1200"/>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8DB3E2"/>
            <w:hideMark/>
          </w:tcPr>
          <w:p w:rsidR="005F39B8" w:rsidRPr="00E60F16" w14:paraId="706727C3"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Activity</w:t>
            </w:r>
          </w:p>
        </w:tc>
        <w:tc>
          <w:tcPr>
            <w:tcW w:w="1440" w:type="dxa"/>
            <w:tcBorders>
              <w:top w:val="single" w:sz="4" w:space="0" w:color="auto"/>
              <w:left w:val="nil"/>
              <w:bottom w:val="single" w:sz="4" w:space="0" w:color="auto"/>
              <w:right w:val="single" w:sz="4" w:space="0" w:color="auto"/>
            </w:tcBorders>
            <w:shd w:val="clear" w:color="auto" w:fill="8DB3E2"/>
            <w:hideMark/>
          </w:tcPr>
          <w:p w:rsidR="005F39B8" w:rsidRPr="00E60F16" w14:paraId="406D4B8A"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Type of Respondents</w:t>
            </w:r>
            <w:r>
              <w:rPr>
                <w:rFonts w:ascii="Times New Roman" w:hAnsi="Times New Roman"/>
                <w:b/>
                <w:sz w:val="20"/>
                <w:szCs w:val="20"/>
                <w:vertAlign w:val="superscript"/>
              </w:rPr>
              <w:footnoteReference w:id="13"/>
            </w:r>
          </w:p>
        </w:tc>
        <w:tc>
          <w:tcPr>
            <w:tcW w:w="1350" w:type="dxa"/>
            <w:tcBorders>
              <w:top w:val="single" w:sz="4" w:space="0" w:color="auto"/>
              <w:left w:val="nil"/>
              <w:bottom w:val="single" w:sz="4" w:space="0" w:color="auto"/>
              <w:right w:val="single" w:sz="4" w:space="0" w:color="auto"/>
            </w:tcBorders>
            <w:shd w:val="clear" w:color="auto" w:fill="8DB3E2"/>
            <w:hideMark/>
          </w:tcPr>
          <w:p w:rsidR="005F39B8" w:rsidRPr="00E60F16" w14:paraId="3BF7D5F5"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No. of Respon</w:t>
            </w:r>
            <w:r w:rsidRPr="00E60F16" w:rsidR="00242B84">
              <w:rPr>
                <w:rFonts w:ascii="Times New Roman" w:hAnsi="Times New Roman"/>
                <w:b/>
                <w:sz w:val="20"/>
                <w:szCs w:val="20"/>
              </w:rPr>
              <w:t>dents</w:t>
            </w:r>
          </w:p>
        </w:tc>
        <w:tc>
          <w:tcPr>
            <w:tcW w:w="1350" w:type="dxa"/>
            <w:tcBorders>
              <w:top w:val="single" w:sz="4" w:space="0" w:color="auto"/>
              <w:left w:val="nil"/>
              <w:bottom w:val="single" w:sz="4" w:space="0" w:color="auto"/>
              <w:right w:val="single" w:sz="4" w:space="0" w:color="auto"/>
            </w:tcBorders>
            <w:shd w:val="clear" w:color="auto" w:fill="8DB3E2"/>
            <w:hideMark/>
          </w:tcPr>
          <w:p w:rsidR="005F39B8" w:rsidRPr="00E60F16" w14:paraId="2DD7F644" w14:textId="77777777">
            <w:pPr>
              <w:widowControl/>
              <w:autoSpaceDE/>
              <w:autoSpaceDN/>
              <w:adjustRightInd/>
              <w:jc w:val="center"/>
              <w:rPr>
                <w:rFonts w:ascii="Times New Roman" w:hAnsi="Times New Roman"/>
                <w:b/>
                <w:sz w:val="20"/>
                <w:szCs w:val="20"/>
              </w:rPr>
            </w:pPr>
            <w:r>
              <w:rPr>
                <w:rFonts w:ascii="Times New Roman" w:hAnsi="Times New Roman"/>
                <w:b/>
                <w:sz w:val="20"/>
                <w:szCs w:val="20"/>
              </w:rPr>
              <w:t xml:space="preserve">No. of </w:t>
            </w:r>
            <w:r w:rsidRPr="00E60F16">
              <w:rPr>
                <w:rFonts w:ascii="Times New Roman" w:hAnsi="Times New Roman"/>
                <w:b/>
                <w:sz w:val="20"/>
                <w:szCs w:val="20"/>
              </w:rPr>
              <w:t>Responses per Res</w:t>
            </w:r>
            <w:r w:rsidRPr="00E60F16" w:rsidR="00A03972">
              <w:rPr>
                <w:rFonts w:ascii="Times New Roman" w:hAnsi="Times New Roman"/>
                <w:b/>
                <w:sz w:val="20"/>
                <w:szCs w:val="20"/>
              </w:rPr>
              <w:t>pon</w:t>
            </w:r>
            <w:r w:rsidRPr="00E60F16">
              <w:rPr>
                <w:rFonts w:ascii="Times New Roman" w:hAnsi="Times New Roman"/>
                <w:b/>
                <w:sz w:val="20"/>
                <w:szCs w:val="20"/>
              </w:rPr>
              <w:t>dent</w:t>
            </w:r>
            <w:r w:rsidR="004A1E60">
              <w:rPr>
                <w:rFonts w:ascii="Times New Roman" w:hAnsi="Times New Roman"/>
                <w:b/>
                <w:sz w:val="20"/>
                <w:szCs w:val="20"/>
              </w:rPr>
              <w:t>s</w:t>
            </w:r>
          </w:p>
        </w:tc>
        <w:tc>
          <w:tcPr>
            <w:tcW w:w="1180" w:type="dxa"/>
            <w:tcBorders>
              <w:top w:val="single" w:sz="4" w:space="0" w:color="auto"/>
              <w:left w:val="nil"/>
              <w:bottom w:val="single" w:sz="4" w:space="0" w:color="auto"/>
              <w:right w:val="single" w:sz="4" w:space="0" w:color="auto"/>
            </w:tcBorders>
            <w:shd w:val="clear" w:color="auto" w:fill="8DB3E2"/>
            <w:hideMark/>
          </w:tcPr>
          <w:p w:rsidR="005F39B8" w:rsidRPr="00E60F16" w14:paraId="510F5582"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Total No. of Responses</w:t>
            </w:r>
          </w:p>
        </w:tc>
        <w:tc>
          <w:tcPr>
            <w:tcW w:w="1170" w:type="dxa"/>
            <w:tcBorders>
              <w:top w:val="single" w:sz="4" w:space="0" w:color="auto"/>
              <w:left w:val="nil"/>
              <w:bottom w:val="single" w:sz="4" w:space="0" w:color="auto"/>
              <w:right w:val="single" w:sz="4" w:space="0" w:color="auto"/>
            </w:tcBorders>
            <w:shd w:val="clear" w:color="auto" w:fill="8DB3E2"/>
            <w:hideMark/>
          </w:tcPr>
          <w:p w:rsidR="005F39B8" w:rsidRPr="00E60F16" w14:paraId="54504F04"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Avg. Burden per Response (</w:t>
            </w:r>
            <w:r w:rsidR="008D0EF6">
              <w:rPr>
                <w:rFonts w:ascii="Times New Roman" w:hAnsi="Times New Roman"/>
                <w:b/>
                <w:sz w:val="20"/>
                <w:szCs w:val="20"/>
              </w:rPr>
              <w:t>H</w:t>
            </w:r>
            <w:r w:rsidRPr="00E60F16">
              <w:rPr>
                <w:rFonts w:ascii="Times New Roman" w:hAnsi="Times New Roman"/>
                <w:b/>
                <w:sz w:val="20"/>
                <w:szCs w:val="20"/>
              </w:rPr>
              <w:t>ours)</w:t>
            </w:r>
          </w:p>
        </w:tc>
        <w:tc>
          <w:tcPr>
            <w:tcW w:w="1170" w:type="dxa"/>
            <w:tcBorders>
              <w:top w:val="single" w:sz="4" w:space="0" w:color="auto"/>
              <w:left w:val="nil"/>
              <w:bottom w:val="single" w:sz="4" w:space="0" w:color="auto"/>
              <w:right w:val="single" w:sz="4" w:space="0" w:color="auto"/>
            </w:tcBorders>
            <w:shd w:val="clear" w:color="auto" w:fill="8DB3E2"/>
            <w:hideMark/>
          </w:tcPr>
          <w:p w:rsidR="005F39B8" w:rsidRPr="00E60F16" w14:paraId="27F430C9"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 xml:space="preserve">Total Burden Hours </w:t>
            </w:r>
          </w:p>
        </w:tc>
        <w:tc>
          <w:tcPr>
            <w:tcW w:w="995" w:type="dxa"/>
            <w:tcBorders>
              <w:top w:val="single" w:sz="4" w:space="0" w:color="auto"/>
              <w:left w:val="nil"/>
              <w:bottom w:val="single" w:sz="4" w:space="0" w:color="auto"/>
              <w:right w:val="single" w:sz="4" w:space="0" w:color="auto"/>
            </w:tcBorders>
            <w:shd w:val="clear" w:color="auto" w:fill="8DB3E2"/>
            <w:hideMark/>
          </w:tcPr>
          <w:p w:rsidR="005F39B8" w:rsidRPr="00E60F16" w14:paraId="5E004AD0"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Avg. Hourly Wage Rate</w:t>
            </w:r>
          </w:p>
        </w:tc>
        <w:tc>
          <w:tcPr>
            <w:tcW w:w="1260" w:type="dxa"/>
            <w:tcBorders>
              <w:top w:val="single" w:sz="4" w:space="0" w:color="auto"/>
              <w:left w:val="nil"/>
              <w:bottom w:val="single" w:sz="4" w:space="0" w:color="auto"/>
              <w:right w:val="single" w:sz="4" w:space="0" w:color="auto"/>
            </w:tcBorders>
            <w:shd w:val="clear" w:color="auto" w:fill="8DB3E2"/>
            <w:hideMark/>
          </w:tcPr>
          <w:p w:rsidR="005F39B8" w:rsidRPr="00E60F16" w14:paraId="4C42E574"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 xml:space="preserve">Total Burden Cost </w:t>
            </w:r>
          </w:p>
        </w:tc>
      </w:tr>
      <w:tr w14:paraId="4EF9B810" w14:textId="77777777" w:rsidTr="001646CF">
        <w:tblPrEx>
          <w:tblW w:w="11530" w:type="dxa"/>
          <w:jc w:val="center"/>
          <w:tblLayout w:type="fixed"/>
          <w:tblLook w:val="04A0"/>
        </w:tblPrEx>
        <w:trPr>
          <w:trHeight w:val="1826"/>
          <w:jc w:val="center"/>
        </w:trPr>
        <w:tc>
          <w:tcPr>
            <w:tcW w:w="1615" w:type="dxa"/>
            <w:tcBorders>
              <w:top w:val="nil"/>
              <w:left w:val="single" w:sz="4" w:space="0" w:color="auto"/>
              <w:bottom w:val="single" w:sz="4" w:space="0" w:color="auto"/>
              <w:right w:val="single" w:sz="4" w:space="0" w:color="auto"/>
            </w:tcBorders>
            <w:shd w:val="clear" w:color="auto" w:fill="auto"/>
            <w:hideMark/>
          </w:tcPr>
          <w:p w:rsidR="005F39B8" w:rsidRPr="00E60F16" w:rsidP="00273E2A" w14:paraId="10E58697"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A. Hazard posting and abatement notification to Consultation Program (1908.6(e)(8) and 1908.6(f)(5))</w:t>
            </w:r>
          </w:p>
        </w:tc>
        <w:tc>
          <w:tcPr>
            <w:tcW w:w="1440" w:type="dxa"/>
            <w:tcBorders>
              <w:top w:val="nil"/>
              <w:left w:val="nil"/>
              <w:bottom w:val="single" w:sz="4" w:space="0" w:color="auto"/>
              <w:right w:val="single" w:sz="4" w:space="0" w:color="auto"/>
            </w:tcBorders>
            <w:shd w:val="clear" w:color="auto" w:fill="auto"/>
            <w:hideMark/>
          </w:tcPr>
          <w:p w:rsidR="005F39B8" w:rsidRPr="00E60F16" w:rsidP="00273E2A" w14:paraId="50691357"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Employer/ Plant Manager</w:t>
            </w:r>
          </w:p>
        </w:tc>
        <w:tc>
          <w:tcPr>
            <w:tcW w:w="1350" w:type="dxa"/>
            <w:tcBorders>
              <w:top w:val="nil"/>
              <w:left w:val="nil"/>
              <w:bottom w:val="single" w:sz="4" w:space="0" w:color="auto"/>
              <w:right w:val="single" w:sz="4" w:space="0" w:color="auto"/>
            </w:tcBorders>
            <w:shd w:val="clear" w:color="auto" w:fill="auto"/>
            <w:hideMark/>
          </w:tcPr>
          <w:p w:rsidR="005F39B8" w:rsidRPr="00E60F16" w:rsidP="00273E2A" w14:paraId="6A17CB31"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50</w:t>
            </w:r>
          </w:p>
        </w:tc>
        <w:tc>
          <w:tcPr>
            <w:tcW w:w="1350" w:type="dxa"/>
            <w:tcBorders>
              <w:top w:val="nil"/>
              <w:left w:val="nil"/>
              <w:bottom w:val="single" w:sz="4" w:space="0" w:color="auto"/>
              <w:right w:val="single" w:sz="4" w:space="0" w:color="auto"/>
            </w:tcBorders>
            <w:shd w:val="clear" w:color="auto" w:fill="auto"/>
            <w:hideMark/>
          </w:tcPr>
          <w:p w:rsidR="005F39B8" w:rsidRPr="00E60F16" w:rsidP="00273E2A" w14:paraId="2DDB07CB"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hideMark/>
          </w:tcPr>
          <w:p w:rsidR="005F39B8" w:rsidRPr="00E60F16" w:rsidP="00273E2A" w14:paraId="46C6CD4A"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50</w:t>
            </w:r>
          </w:p>
        </w:tc>
        <w:tc>
          <w:tcPr>
            <w:tcW w:w="1170" w:type="dxa"/>
            <w:tcBorders>
              <w:top w:val="nil"/>
              <w:left w:val="nil"/>
              <w:bottom w:val="single" w:sz="4" w:space="0" w:color="auto"/>
              <w:right w:val="single" w:sz="4" w:space="0" w:color="auto"/>
            </w:tcBorders>
            <w:shd w:val="clear" w:color="auto" w:fill="auto"/>
            <w:hideMark/>
          </w:tcPr>
          <w:p w:rsidR="005F39B8" w:rsidRPr="00E60F16" w:rsidP="00273E2A" w14:paraId="53BE61DA"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15/60</w:t>
            </w:r>
          </w:p>
        </w:tc>
        <w:tc>
          <w:tcPr>
            <w:tcW w:w="1170" w:type="dxa"/>
            <w:tcBorders>
              <w:top w:val="nil"/>
              <w:left w:val="nil"/>
              <w:bottom w:val="single" w:sz="4" w:space="0" w:color="auto"/>
              <w:right w:val="single" w:sz="4" w:space="0" w:color="auto"/>
            </w:tcBorders>
            <w:shd w:val="clear" w:color="auto" w:fill="auto"/>
            <w:hideMark/>
          </w:tcPr>
          <w:p w:rsidR="005F39B8" w:rsidRPr="00E60F16" w:rsidP="00273E2A" w14:paraId="49BCDD75"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12.5</w:t>
            </w:r>
          </w:p>
        </w:tc>
        <w:tc>
          <w:tcPr>
            <w:tcW w:w="995" w:type="dxa"/>
            <w:tcBorders>
              <w:top w:val="nil"/>
              <w:left w:val="nil"/>
              <w:bottom w:val="single" w:sz="4" w:space="0" w:color="auto"/>
              <w:right w:val="single" w:sz="4" w:space="0" w:color="auto"/>
            </w:tcBorders>
            <w:shd w:val="clear" w:color="auto" w:fill="auto"/>
            <w:hideMark/>
          </w:tcPr>
          <w:p w:rsidR="005F39B8" w:rsidRPr="00E60F16" w:rsidP="00273E2A" w14:paraId="6D88B59B"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w:t>
            </w:r>
            <w:r w:rsidRPr="00E60F16" w:rsidR="00132349">
              <w:rPr>
                <w:rFonts w:ascii="Times New Roman" w:hAnsi="Times New Roman"/>
                <w:sz w:val="20"/>
                <w:szCs w:val="20"/>
              </w:rPr>
              <w:t>90.38</w:t>
            </w:r>
          </w:p>
        </w:tc>
        <w:tc>
          <w:tcPr>
            <w:tcW w:w="1260" w:type="dxa"/>
            <w:tcBorders>
              <w:top w:val="nil"/>
              <w:left w:val="nil"/>
              <w:bottom w:val="single" w:sz="4" w:space="0" w:color="auto"/>
              <w:right w:val="single" w:sz="4" w:space="0" w:color="auto"/>
            </w:tcBorders>
            <w:shd w:val="clear" w:color="auto" w:fill="auto"/>
            <w:hideMark/>
          </w:tcPr>
          <w:p w:rsidR="005F39B8" w:rsidRPr="00E60F16" w:rsidP="00273E2A" w14:paraId="30ABEEED"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w:t>
            </w:r>
            <w:r w:rsidRPr="00E60F16" w:rsidR="00D3238B">
              <w:rPr>
                <w:rFonts w:ascii="Times New Roman" w:hAnsi="Times New Roman"/>
                <w:b/>
                <w:bCs/>
                <w:sz w:val="20"/>
                <w:szCs w:val="20"/>
              </w:rPr>
              <w:t>11</w:t>
            </w:r>
            <w:r w:rsidR="007E32C4">
              <w:rPr>
                <w:rFonts w:ascii="Times New Roman" w:hAnsi="Times New Roman"/>
                <w:b/>
                <w:bCs/>
                <w:sz w:val="20"/>
                <w:szCs w:val="20"/>
              </w:rPr>
              <w:t>30</w:t>
            </w:r>
          </w:p>
        </w:tc>
      </w:tr>
      <w:tr w14:paraId="626C60BA" w14:textId="77777777" w:rsidTr="001646CF">
        <w:tblPrEx>
          <w:tblW w:w="11530" w:type="dxa"/>
          <w:jc w:val="center"/>
          <w:tblLayout w:type="fixed"/>
          <w:tblLook w:val="04A0"/>
        </w:tblPrEx>
        <w:trPr>
          <w:trHeight w:val="1691"/>
          <w:jc w:val="center"/>
        </w:trPr>
        <w:tc>
          <w:tcPr>
            <w:tcW w:w="1615" w:type="dxa"/>
            <w:tcBorders>
              <w:top w:val="nil"/>
              <w:left w:val="single" w:sz="4" w:space="0" w:color="auto"/>
              <w:bottom w:val="single" w:sz="4" w:space="0" w:color="auto"/>
              <w:right w:val="single" w:sz="4" w:space="0" w:color="auto"/>
            </w:tcBorders>
            <w:shd w:val="clear" w:color="auto" w:fill="auto"/>
            <w:hideMark/>
          </w:tcPr>
          <w:p w:rsidR="005F39B8" w:rsidRPr="00E60F16" w:rsidP="00273E2A" w14:paraId="5D171FF8"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B. Inform OSHA Compliance Officer there is a Consultation "Visit in Progress" (1908.7(b)(1))</w:t>
            </w:r>
          </w:p>
        </w:tc>
        <w:tc>
          <w:tcPr>
            <w:tcW w:w="1440" w:type="dxa"/>
            <w:tcBorders>
              <w:top w:val="nil"/>
              <w:left w:val="nil"/>
              <w:bottom w:val="single" w:sz="4" w:space="0" w:color="auto"/>
              <w:right w:val="single" w:sz="4" w:space="0" w:color="auto"/>
            </w:tcBorders>
            <w:shd w:val="clear" w:color="auto" w:fill="auto"/>
            <w:hideMark/>
          </w:tcPr>
          <w:p w:rsidR="005F39B8" w:rsidRPr="00E60F16" w:rsidP="00273E2A" w14:paraId="5B3244FC"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Employer/ Plant Manager</w:t>
            </w:r>
          </w:p>
        </w:tc>
        <w:tc>
          <w:tcPr>
            <w:tcW w:w="1350" w:type="dxa"/>
            <w:tcBorders>
              <w:top w:val="nil"/>
              <w:left w:val="nil"/>
              <w:bottom w:val="single" w:sz="4" w:space="0" w:color="auto"/>
              <w:right w:val="single" w:sz="4" w:space="0" w:color="auto"/>
            </w:tcBorders>
            <w:shd w:val="clear" w:color="auto" w:fill="auto"/>
            <w:hideMark/>
          </w:tcPr>
          <w:p w:rsidR="005F39B8" w:rsidRPr="00E60F16" w:rsidP="00273E2A" w14:paraId="328D53DC"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3</w:t>
            </w:r>
          </w:p>
        </w:tc>
        <w:tc>
          <w:tcPr>
            <w:tcW w:w="1350" w:type="dxa"/>
            <w:tcBorders>
              <w:top w:val="nil"/>
              <w:left w:val="nil"/>
              <w:bottom w:val="single" w:sz="4" w:space="0" w:color="auto"/>
              <w:right w:val="single" w:sz="4" w:space="0" w:color="auto"/>
            </w:tcBorders>
            <w:shd w:val="clear" w:color="auto" w:fill="auto"/>
            <w:hideMark/>
          </w:tcPr>
          <w:p w:rsidR="005F39B8" w:rsidRPr="00E60F16" w:rsidP="00273E2A" w14:paraId="72D6F05E"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hideMark/>
          </w:tcPr>
          <w:p w:rsidR="005F39B8" w:rsidRPr="00E60F16" w:rsidP="00273E2A" w14:paraId="3AD030FF"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3</w:t>
            </w:r>
          </w:p>
        </w:tc>
        <w:tc>
          <w:tcPr>
            <w:tcW w:w="1170" w:type="dxa"/>
            <w:tcBorders>
              <w:top w:val="nil"/>
              <w:left w:val="nil"/>
              <w:bottom w:val="single" w:sz="4" w:space="0" w:color="auto"/>
              <w:right w:val="single" w:sz="4" w:space="0" w:color="auto"/>
            </w:tcBorders>
            <w:shd w:val="clear" w:color="auto" w:fill="auto"/>
            <w:hideMark/>
          </w:tcPr>
          <w:p w:rsidR="005F39B8" w:rsidRPr="00E60F16" w:rsidP="00273E2A" w14:paraId="5FF48160"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6/60</w:t>
            </w:r>
          </w:p>
        </w:tc>
        <w:tc>
          <w:tcPr>
            <w:tcW w:w="1170" w:type="dxa"/>
            <w:tcBorders>
              <w:top w:val="nil"/>
              <w:left w:val="nil"/>
              <w:bottom w:val="single" w:sz="4" w:space="0" w:color="auto"/>
              <w:right w:val="single" w:sz="4" w:space="0" w:color="auto"/>
            </w:tcBorders>
            <w:shd w:val="clear" w:color="auto" w:fill="auto"/>
            <w:hideMark/>
          </w:tcPr>
          <w:p w:rsidR="005F39B8" w:rsidRPr="00E60F16" w:rsidP="00273E2A" w14:paraId="42141871"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0.3</w:t>
            </w:r>
          </w:p>
        </w:tc>
        <w:tc>
          <w:tcPr>
            <w:tcW w:w="995" w:type="dxa"/>
            <w:tcBorders>
              <w:top w:val="nil"/>
              <w:left w:val="nil"/>
              <w:bottom w:val="single" w:sz="4" w:space="0" w:color="auto"/>
              <w:right w:val="single" w:sz="4" w:space="0" w:color="auto"/>
            </w:tcBorders>
            <w:shd w:val="clear" w:color="auto" w:fill="auto"/>
            <w:hideMark/>
          </w:tcPr>
          <w:p w:rsidR="005F39B8" w:rsidRPr="00E60F16" w:rsidP="00273E2A" w14:paraId="17FA755B"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w:t>
            </w:r>
            <w:r w:rsidRPr="00E60F16" w:rsidR="00132349">
              <w:rPr>
                <w:rFonts w:ascii="Times New Roman" w:hAnsi="Times New Roman"/>
                <w:sz w:val="20"/>
                <w:szCs w:val="20"/>
              </w:rPr>
              <w:t>90.38</w:t>
            </w:r>
          </w:p>
        </w:tc>
        <w:tc>
          <w:tcPr>
            <w:tcW w:w="1260" w:type="dxa"/>
            <w:tcBorders>
              <w:top w:val="nil"/>
              <w:left w:val="nil"/>
              <w:bottom w:val="single" w:sz="4" w:space="0" w:color="auto"/>
              <w:right w:val="single" w:sz="4" w:space="0" w:color="auto"/>
            </w:tcBorders>
            <w:shd w:val="clear" w:color="auto" w:fill="auto"/>
            <w:hideMark/>
          </w:tcPr>
          <w:p w:rsidR="005F39B8" w:rsidRPr="00E60F16" w:rsidP="00273E2A" w14:paraId="7E74D06A"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w:t>
            </w:r>
            <w:r w:rsidRPr="00E60F16" w:rsidR="00C52225">
              <w:rPr>
                <w:rFonts w:ascii="Times New Roman" w:hAnsi="Times New Roman"/>
                <w:b/>
                <w:bCs/>
                <w:sz w:val="20"/>
                <w:szCs w:val="20"/>
              </w:rPr>
              <w:t>27</w:t>
            </w:r>
          </w:p>
        </w:tc>
      </w:tr>
      <w:tr w14:paraId="56FD8E7C" w14:textId="77777777" w:rsidTr="001646CF">
        <w:tblPrEx>
          <w:tblW w:w="11530" w:type="dxa"/>
          <w:jc w:val="center"/>
          <w:tblLayout w:type="fixed"/>
          <w:tblLook w:val="04A0"/>
        </w:tblPrEx>
        <w:trPr>
          <w:trHeight w:val="300"/>
          <w:jc w:val="center"/>
        </w:trPr>
        <w:tc>
          <w:tcPr>
            <w:tcW w:w="1615" w:type="dxa"/>
            <w:tcBorders>
              <w:top w:val="nil"/>
              <w:left w:val="single" w:sz="4" w:space="0" w:color="auto"/>
              <w:bottom w:val="single" w:sz="4" w:space="0" w:color="auto"/>
              <w:right w:val="single" w:sz="4" w:space="0" w:color="auto"/>
            </w:tcBorders>
            <w:shd w:val="clear" w:color="auto" w:fill="auto"/>
            <w:hideMark/>
          </w:tcPr>
          <w:p w:rsidR="005F39B8" w:rsidRPr="00E60F16" w:rsidP="005F39B8" w14:paraId="72C7A0E6" w14:textId="77777777">
            <w:pPr>
              <w:widowControl/>
              <w:autoSpaceDE/>
              <w:autoSpaceDN/>
              <w:adjustRightInd/>
              <w:rPr>
                <w:rFonts w:ascii="Times New Roman" w:hAnsi="Times New Roman"/>
                <w:sz w:val="20"/>
                <w:szCs w:val="20"/>
              </w:rPr>
            </w:pPr>
            <w:r w:rsidRPr="00E60F16">
              <w:rPr>
                <w:rFonts w:ascii="Times New Roman" w:hAnsi="Times New Roman"/>
                <w:sz w:val="20"/>
                <w:szCs w:val="20"/>
              </w:rPr>
              <w:t> </w:t>
            </w:r>
            <w:r w:rsidRPr="00E60F16" w:rsidR="007E0EE8">
              <w:rPr>
                <w:rFonts w:ascii="Times New Roman" w:hAnsi="Times New Roman"/>
                <w:sz w:val="20"/>
                <w:szCs w:val="20"/>
              </w:rPr>
              <w:t>C. Injury and Illness Data for Prospective Analysis</w:t>
            </w:r>
          </w:p>
        </w:tc>
        <w:tc>
          <w:tcPr>
            <w:tcW w:w="1440" w:type="dxa"/>
            <w:tcBorders>
              <w:top w:val="nil"/>
              <w:left w:val="nil"/>
              <w:bottom w:val="single" w:sz="4" w:space="0" w:color="auto"/>
              <w:right w:val="single" w:sz="4" w:space="0" w:color="auto"/>
            </w:tcBorders>
            <w:shd w:val="clear" w:color="auto" w:fill="auto"/>
            <w:hideMark/>
          </w:tcPr>
          <w:p w:rsidR="005F39B8" w:rsidRPr="00E60F16" w:rsidP="005F39B8" w14:paraId="6F7495E2" w14:textId="77777777">
            <w:pPr>
              <w:widowControl/>
              <w:autoSpaceDE/>
              <w:autoSpaceDN/>
              <w:adjustRightInd/>
              <w:rPr>
                <w:rFonts w:ascii="Times New Roman" w:hAnsi="Times New Roman"/>
                <w:sz w:val="20"/>
                <w:szCs w:val="20"/>
              </w:rPr>
            </w:pPr>
            <w:r w:rsidRPr="00E60F16">
              <w:rPr>
                <w:rFonts w:ascii="Times New Roman" w:hAnsi="Times New Roman"/>
                <w:sz w:val="20"/>
                <w:szCs w:val="20"/>
              </w:rPr>
              <w:t>Employer/ Plant Manager</w:t>
            </w:r>
          </w:p>
        </w:tc>
        <w:tc>
          <w:tcPr>
            <w:tcW w:w="1350" w:type="dxa"/>
            <w:tcBorders>
              <w:top w:val="nil"/>
              <w:left w:val="nil"/>
              <w:bottom w:val="single" w:sz="4" w:space="0" w:color="auto"/>
              <w:right w:val="single" w:sz="4" w:space="0" w:color="auto"/>
            </w:tcBorders>
            <w:shd w:val="clear" w:color="auto" w:fill="auto"/>
            <w:hideMark/>
          </w:tcPr>
          <w:p w:rsidR="005F39B8" w:rsidRPr="00E60F16" w:rsidP="0069034C" w14:paraId="66A6E288"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300</w:t>
            </w:r>
          </w:p>
        </w:tc>
        <w:tc>
          <w:tcPr>
            <w:tcW w:w="1350" w:type="dxa"/>
            <w:tcBorders>
              <w:top w:val="nil"/>
              <w:left w:val="nil"/>
              <w:bottom w:val="single" w:sz="4" w:space="0" w:color="auto"/>
              <w:right w:val="single" w:sz="4" w:space="0" w:color="auto"/>
            </w:tcBorders>
            <w:shd w:val="clear" w:color="auto" w:fill="auto"/>
            <w:hideMark/>
          </w:tcPr>
          <w:p w:rsidR="005F39B8" w:rsidRPr="00E60F16" w:rsidP="0069034C" w14:paraId="2B4D56BF"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hideMark/>
          </w:tcPr>
          <w:p w:rsidR="005F39B8" w:rsidRPr="00E60F16" w:rsidP="0069034C" w14:paraId="5105A0F9"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300</w:t>
            </w:r>
          </w:p>
        </w:tc>
        <w:tc>
          <w:tcPr>
            <w:tcW w:w="1170" w:type="dxa"/>
            <w:tcBorders>
              <w:top w:val="nil"/>
              <w:left w:val="nil"/>
              <w:bottom w:val="single" w:sz="4" w:space="0" w:color="auto"/>
              <w:right w:val="single" w:sz="4" w:space="0" w:color="auto"/>
            </w:tcBorders>
            <w:shd w:val="clear" w:color="auto" w:fill="auto"/>
            <w:hideMark/>
          </w:tcPr>
          <w:p w:rsidR="005F39B8" w:rsidRPr="00E60F16" w:rsidP="0069034C" w14:paraId="5FFD4426"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15/60</w:t>
            </w:r>
          </w:p>
        </w:tc>
        <w:tc>
          <w:tcPr>
            <w:tcW w:w="1170" w:type="dxa"/>
            <w:tcBorders>
              <w:top w:val="nil"/>
              <w:left w:val="nil"/>
              <w:bottom w:val="single" w:sz="4" w:space="0" w:color="auto"/>
              <w:right w:val="single" w:sz="4" w:space="0" w:color="auto"/>
            </w:tcBorders>
            <w:shd w:val="clear" w:color="auto" w:fill="auto"/>
            <w:hideMark/>
          </w:tcPr>
          <w:p w:rsidR="005F39B8" w:rsidRPr="00E60F16" w:rsidP="0069034C" w14:paraId="122C61E4" w14:textId="77777777">
            <w:pPr>
              <w:widowControl/>
              <w:autoSpaceDE/>
              <w:autoSpaceDN/>
              <w:adjustRightInd/>
              <w:jc w:val="center"/>
              <w:rPr>
                <w:rFonts w:ascii="Times New Roman" w:hAnsi="Times New Roman"/>
                <w:b/>
                <w:sz w:val="20"/>
                <w:szCs w:val="20"/>
              </w:rPr>
            </w:pPr>
            <w:r w:rsidRPr="00E60F16">
              <w:rPr>
                <w:rFonts w:ascii="Times New Roman" w:hAnsi="Times New Roman"/>
                <w:b/>
                <w:sz w:val="20"/>
                <w:szCs w:val="20"/>
              </w:rPr>
              <w:t>75</w:t>
            </w:r>
          </w:p>
        </w:tc>
        <w:tc>
          <w:tcPr>
            <w:tcW w:w="995" w:type="dxa"/>
            <w:tcBorders>
              <w:top w:val="nil"/>
              <w:left w:val="nil"/>
              <w:bottom w:val="single" w:sz="4" w:space="0" w:color="auto"/>
              <w:right w:val="single" w:sz="4" w:space="0" w:color="auto"/>
            </w:tcBorders>
            <w:shd w:val="clear" w:color="auto" w:fill="auto"/>
            <w:hideMark/>
          </w:tcPr>
          <w:p w:rsidR="005F39B8" w:rsidRPr="00E60F16" w:rsidP="0069034C" w14:paraId="4BB41383" w14:textId="77777777">
            <w:pPr>
              <w:widowControl/>
              <w:autoSpaceDE/>
              <w:autoSpaceDN/>
              <w:adjustRightInd/>
              <w:jc w:val="center"/>
              <w:rPr>
                <w:rFonts w:ascii="Times New Roman" w:hAnsi="Times New Roman"/>
                <w:sz w:val="20"/>
                <w:szCs w:val="20"/>
              </w:rPr>
            </w:pPr>
            <w:r w:rsidRPr="00E60F16">
              <w:rPr>
                <w:rFonts w:ascii="Times New Roman" w:hAnsi="Times New Roman"/>
                <w:sz w:val="20"/>
                <w:szCs w:val="20"/>
              </w:rPr>
              <w:t>$</w:t>
            </w:r>
            <w:r w:rsidRPr="00E60F16" w:rsidR="00132349">
              <w:rPr>
                <w:rFonts w:ascii="Times New Roman" w:hAnsi="Times New Roman"/>
                <w:sz w:val="20"/>
                <w:szCs w:val="20"/>
              </w:rPr>
              <w:t>90.38</w:t>
            </w:r>
          </w:p>
        </w:tc>
        <w:tc>
          <w:tcPr>
            <w:tcW w:w="1260" w:type="dxa"/>
            <w:tcBorders>
              <w:top w:val="nil"/>
              <w:left w:val="nil"/>
              <w:bottom w:val="single" w:sz="4" w:space="0" w:color="auto"/>
              <w:right w:val="single" w:sz="4" w:space="0" w:color="auto"/>
            </w:tcBorders>
            <w:shd w:val="clear" w:color="auto" w:fill="auto"/>
            <w:hideMark/>
          </w:tcPr>
          <w:p w:rsidR="005F39B8" w:rsidRPr="00E60F16" w:rsidP="005F39B8" w14:paraId="565D5E75" w14:textId="77777777">
            <w:pPr>
              <w:widowControl/>
              <w:autoSpaceDE/>
              <w:autoSpaceDN/>
              <w:adjustRightInd/>
              <w:rPr>
                <w:rFonts w:ascii="Times New Roman" w:hAnsi="Times New Roman"/>
                <w:sz w:val="20"/>
                <w:szCs w:val="20"/>
              </w:rPr>
            </w:pPr>
            <w:r w:rsidRPr="00E60F16">
              <w:rPr>
                <w:rFonts w:ascii="Times New Roman" w:hAnsi="Times New Roman"/>
                <w:sz w:val="20"/>
                <w:szCs w:val="20"/>
              </w:rPr>
              <w:t> </w:t>
            </w:r>
            <w:r w:rsidRPr="00E60F16" w:rsidR="007E0EE8">
              <w:rPr>
                <w:rFonts w:ascii="Times New Roman" w:hAnsi="Times New Roman"/>
                <w:sz w:val="20"/>
                <w:szCs w:val="20"/>
              </w:rPr>
              <w:t>$</w:t>
            </w:r>
            <w:r w:rsidRPr="00E60F16" w:rsidR="007E0EE8">
              <w:rPr>
                <w:rFonts w:ascii="Times New Roman" w:hAnsi="Times New Roman"/>
                <w:b/>
                <w:sz w:val="20"/>
                <w:szCs w:val="20"/>
              </w:rPr>
              <w:t>6,</w:t>
            </w:r>
            <w:r w:rsidRPr="00E60F16" w:rsidR="00E35EDB">
              <w:rPr>
                <w:rFonts w:ascii="Times New Roman" w:hAnsi="Times New Roman"/>
                <w:b/>
                <w:sz w:val="20"/>
                <w:szCs w:val="20"/>
              </w:rPr>
              <w:t>77</w:t>
            </w:r>
            <w:r w:rsidR="008A345E">
              <w:rPr>
                <w:rFonts w:ascii="Times New Roman" w:hAnsi="Times New Roman"/>
                <w:b/>
                <w:sz w:val="20"/>
                <w:szCs w:val="20"/>
              </w:rPr>
              <w:t>9</w:t>
            </w:r>
          </w:p>
        </w:tc>
      </w:tr>
      <w:tr w14:paraId="1DBE4170" w14:textId="77777777" w:rsidTr="001646CF">
        <w:tblPrEx>
          <w:tblW w:w="11530" w:type="dxa"/>
          <w:jc w:val="center"/>
          <w:tblLayout w:type="fixed"/>
          <w:tblLook w:val="04A0"/>
        </w:tblPrEx>
        <w:trPr>
          <w:trHeight w:val="395"/>
          <w:jc w:val="center"/>
        </w:trPr>
        <w:tc>
          <w:tcPr>
            <w:tcW w:w="1615" w:type="dxa"/>
            <w:tcBorders>
              <w:top w:val="nil"/>
              <w:left w:val="single" w:sz="4" w:space="0" w:color="auto"/>
              <w:bottom w:val="single" w:sz="4" w:space="0" w:color="auto"/>
              <w:right w:val="single" w:sz="4" w:space="0" w:color="auto"/>
            </w:tcBorders>
            <w:shd w:val="clear" w:color="auto" w:fill="auto"/>
            <w:hideMark/>
          </w:tcPr>
          <w:p w:rsidR="005F39B8" w:rsidRPr="00E60F16" w:rsidP="00273E2A" w14:paraId="58501F09"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TOTAL</w:t>
            </w:r>
          </w:p>
        </w:tc>
        <w:tc>
          <w:tcPr>
            <w:tcW w:w="1440" w:type="dxa"/>
            <w:tcBorders>
              <w:top w:val="nil"/>
              <w:left w:val="nil"/>
              <w:bottom w:val="single" w:sz="4" w:space="0" w:color="auto"/>
              <w:right w:val="single" w:sz="4" w:space="0" w:color="auto"/>
            </w:tcBorders>
            <w:shd w:val="clear" w:color="auto" w:fill="D0CECE"/>
            <w:hideMark/>
          </w:tcPr>
          <w:p w:rsidR="005F39B8" w:rsidRPr="00E60F16" w:rsidP="00273E2A" w14:paraId="14C37D01" w14:textId="77777777">
            <w:pPr>
              <w:widowControl/>
              <w:autoSpaceDE/>
              <w:autoSpaceDN/>
              <w:adjustRightInd/>
              <w:jc w:val="center"/>
              <w:rPr>
                <w:rFonts w:ascii="Times New Roman" w:hAnsi="Times New Roman"/>
                <w:b/>
                <w:bCs/>
                <w:sz w:val="20"/>
                <w:szCs w:val="20"/>
              </w:rPr>
            </w:pPr>
          </w:p>
        </w:tc>
        <w:tc>
          <w:tcPr>
            <w:tcW w:w="1350" w:type="dxa"/>
            <w:tcBorders>
              <w:top w:val="nil"/>
              <w:left w:val="nil"/>
              <w:bottom w:val="single" w:sz="4" w:space="0" w:color="auto"/>
              <w:right w:val="single" w:sz="4" w:space="0" w:color="auto"/>
            </w:tcBorders>
            <w:shd w:val="clear" w:color="auto" w:fill="auto"/>
            <w:hideMark/>
          </w:tcPr>
          <w:p w:rsidR="005F39B8" w:rsidRPr="00E60F16" w:rsidP="00273E2A" w14:paraId="2A9F55F3"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3</w:t>
            </w:r>
            <w:r w:rsidRPr="00E60F16" w:rsidR="00785138">
              <w:rPr>
                <w:rFonts w:ascii="Times New Roman" w:hAnsi="Times New Roman"/>
                <w:b/>
                <w:bCs/>
                <w:sz w:val="20"/>
                <w:szCs w:val="20"/>
              </w:rPr>
              <w:t>00</w:t>
            </w:r>
          </w:p>
        </w:tc>
        <w:tc>
          <w:tcPr>
            <w:tcW w:w="1350" w:type="dxa"/>
            <w:tcBorders>
              <w:top w:val="nil"/>
              <w:left w:val="nil"/>
              <w:bottom w:val="single" w:sz="4" w:space="0" w:color="auto"/>
              <w:right w:val="single" w:sz="4" w:space="0" w:color="auto"/>
            </w:tcBorders>
            <w:shd w:val="clear" w:color="auto" w:fill="D0CECE"/>
            <w:hideMark/>
          </w:tcPr>
          <w:p w:rsidR="005F39B8" w:rsidRPr="00E60F16" w:rsidP="00273E2A" w14:paraId="3DB102CD" w14:textId="77777777">
            <w:pPr>
              <w:widowControl/>
              <w:autoSpaceDE/>
              <w:autoSpaceDN/>
              <w:adjustRightInd/>
              <w:jc w:val="center"/>
              <w:rPr>
                <w:rFonts w:ascii="Times New Roman" w:hAnsi="Times New Roman"/>
                <w:b/>
                <w:bCs/>
                <w:sz w:val="20"/>
                <w:szCs w:val="20"/>
              </w:rPr>
            </w:pPr>
          </w:p>
        </w:tc>
        <w:tc>
          <w:tcPr>
            <w:tcW w:w="1180" w:type="dxa"/>
            <w:tcBorders>
              <w:top w:val="nil"/>
              <w:left w:val="nil"/>
              <w:bottom w:val="single" w:sz="4" w:space="0" w:color="auto"/>
              <w:right w:val="single" w:sz="4" w:space="0" w:color="auto"/>
            </w:tcBorders>
            <w:shd w:val="clear" w:color="auto" w:fill="auto"/>
            <w:hideMark/>
          </w:tcPr>
          <w:p w:rsidR="005F39B8" w:rsidRPr="00E60F16" w:rsidP="00273E2A" w14:paraId="4AC53CCD"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35</w:t>
            </w:r>
            <w:r w:rsidRPr="00E60F16" w:rsidR="00C23D81">
              <w:rPr>
                <w:rFonts w:ascii="Times New Roman" w:hAnsi="Times New Roman"/>
                <w:b/>
                <w:bCs/>
                <w:sz w:val="20"/>
                <w:szCs w:val="20"/>
              </w:rPr>
              <w:t>3</w:t>
            </w:r>
          </w:p>
        </w:tc>
        <w:tc>
          <w:tcPr>
            <w:tcW w:w="1170" w:type="dxa"/>
            <w:tcBorders>
              <w:top w:val="nil"/>
              <w:left w:val="nil"/>
              <w:bottom w:val="single" w:sz="4" w:space="0" w:color="auto"/>
              <w:right w:val="single" w:sz="4" w:space="0" w:color="auto"/>
            </w:tcBorders>
            <w:shd w:val="clear" w:color="auto" w:fill="D0CECE"/>
            <w:hideMark/>
          </w:tcPr>
          <w:p w:rsidR="005F39B8" w:rsidRPr="00E60F16" w:rsidP="00273E2A" w14:paraId="0BBA6582" w14:textId="77777777">
            <w:pPr>
              <w:widowControl/>
              <w:autoSpaceDE/>
              <w:autoSpaceDN/>
              <w:adjustRightInd/>
              <w:jc w:val="center"/>
              <w:rPr>
                <w:rFonts w:ascii="Times New Roman" w:hAnsi="Times New Roman"/>
                <w:b/>
                <w:bCs/>
                <w:sz w:val="20"/>
                <w:szCs w:val="20"/>
              </w:rPr>
            </w:pPr>
          </w:p>
        </w:tc>
        <w:tc>
          <w:tcPr>
            <w:tcW w:w="1170" w:type="dxa"/>
            <w:tcBorders>
              <w:top w:val="nil"/>
              <w:left w:val="nil"/>
              <w:bottom w:val="single" w:sz="4" w:space="0" w:color="auto"/>
              <w:right w:val="single" w:sz="4" w:space="0" w:color="auto"/>
            </w:tcBorders>
            <w:shd w:val="clear" w:color="auto" w:fill="auto"/>
            <w:hideMark/>
          </w:tcPr>
          <w:p w:rsidR="005F39B8" w:rsidRPr="00E60F16" w:rsidP="00273E2A" w14:paraId="08D4E853"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87.8</w:t>
            </w:r>
          </w:p>
        </w:tc>
        <w:tc>
          <w:tcPr>
            <w:tcW w:w="995" w:type="dxa"/>
            <w:tcBorders>
              <w:top w:val="nil"/>
              <w:left w:val="nil"/>
              <w:bottom w:val="single" w:sz="4" w:space="0" w:color="auto"/>
              <w:right w:val="single" w:sz="4" w:space="0" w:color="auto"/>
            </w:tcBorders>
            <w:shd w:val="clear" w:color="auto" w:fill="auto"/>
            <w:hideMark/>
          </w:tcPr>
          <w:p w:rsidR="005F39B8" w:rsidRPr="00E60F16" w:rsidP="00273E2A" w14:paraId="6AE15F30"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w:t>
            </w:r>
            <w:r w:rsidRPr="00E60F16" w:rsidR="00132349">
              <w:rPr>
                <w:rFonts w:ascii="Times New Roman" w:hAnsi="Times New Roman"/>
                <w:b/>
                <w:bCs/>
                <w:sz w:val="20"/>
                <w:szCs w:val="20"/>
              </w:rPr>
              <w:t>90.38</w:t>
            </w:r>
          </w:p>
        </w:tc>
        <w:tc>
          <w:tcPr>
            <w:tcW w:w="1260" w:type="dxa"/>
            <w:tcBorders>
              <w:top w:val="nil"/>
              <w:left w:val="nil"/>
              <w:bottom w:val="single" w:sz="4" w:space="0" w:color="auto"/>
              <w:right w:val="single" w:sz="4" w:space="0" w:color="auto"/>
            </w:tcBorders>
            <w:shd w:val="clear" w:color="auto" w:fill="auto"/>
            <w:hideMark/>
          </w:tcPr>
          <w:p w:rsidR="005F39B8" w:rsidRPr="00E60F16" w:rsidP="00273E2A" w14:paraId="630DA6A0" w14:textId="77777777">
            <w:pPr>
              <w:widowControl/>
              <w:autoSpaceDE/>
              <w:autoSpaceDN/>
              <w:adjustRightInd/>
              <w:jc w:val="center"/>
              <w:rPr>
                <w:rFonts w:ascii="Times New Roman" w:hAnsi="Times New Roman"/>
                <w:b/>
                <w:bCs/>
                <w:sz w:val="20"/>
                <w:szCs w:val="20"/>
              </w:rPr>
            </w:pPr>
            <w:r w:rsidRPr="00E60F16">
              <w:rPr>
                <w:rFonts w:ascii="Times New Roman" w:hAnsi="Times New Roman"/>
                <w:b/>
                <w:bCs/>
                <w:sz w:val="20"/>
                <w:szCs w:val="20"/>
              </w:rPr>
              <w:t>$</w:t>
            </w:r>
            <w:r w:rsidRPr="00E60F16" w:rsidR="00BD468A">
              <w:rPr>
                <w:rFonts w:ascii="Times New Roman" w:hAnsi="Times New Roman"/>
                <w:b/>
                <w:bCs/>
                <w:sz w:val="20"/>
                <w:szCs w:val="20"/>
              </w:rPr>
              <w:t>7</w:t>
            </w:r>
            <w:r w:rsidRPr="00E60F16" w:rsidR="00EA175A">
              <w:rPr>
                <w:rFonts w:ascii="Times New Roman" w:hAnsi="Times New Roman"/>
                <w:b/>
                <w:bCs/>
                <w:sz w:val="20"/>
                <w:szCs w:val="20"/>
              </w:rPr>
              <w:t>,</w:t>
            </w:r>
            <w:r w:rsidRPr="00E60F16" w:rsidR="00BD468A">
              <w:rPr>
                <w:rFonts w:ascii="Times New Roman" w:hAnsi="Times New Roman"/>
                <w:b/>
                <w:bCs/>
                <w:sz w:val="20"/>
                <w:szCs w:val="20"/>
              </w:rPr>
              <w:t>935</w:t>
            </w:r>
          </w:p>
        </w:tc>
      </w:tr>
    </w:tbl>
    <w:p w:rsidR="005F39B8" w:rsidRPr="00E60F16" w:rsidP="002B668C" w14:paraId="26E11C16" w14:textId="77777777">
      <w:pPr>
        <w:widowControl/>
        <w:autoSpaceDE/>
        <w:autoSpaceDN/>
        <w:adjustRightInd/>
        <w:rPr>
          <w:rFonts w:ascii="Times New Roman" w:hAnsi="Times New Roman"/>
          <w:bCs/>
        </w:rPr>
      </w:pPr>
    </w:p>
    <w:p w:rsidR="00AC79B3" w:rsidP="007E5643" w14:paraId="24FF4CE3" w14:textId="77777777">
      <w:pPr>
        <w:widowControl/>
        <w:autoSpaceDE/>
        <w:autoSpaceDN/>
        <w:adjustRightInd/>
        <w:ind w:left="720"/>
        <w:rPr>
          <w:rFonts w:ascii="Times New Roman" w:hAnsi="Times New Roman"/>
          <w:bCs/>
        </w:rPr>
      </w:pPr>
      <w:r>
        <w:rPr>
          <w:rFonts w:ascii="Times New Roman" w:hAnsi="Times New Roman"/>
          <w:bCs/>
        </w:rPr>
        <w:t xml:space="preserve">The number of respondents is </w:t>
      </w:r>
      <w:r w:rsidRPr="00AC79B3">
        <w:rPr>
          <w:rFonts w:ascii="Times New Roman" w:hAnsi="Times New Roman"/>
          <w:b/>
        </w:rPr>
        <w:t>300</w:t>
      </w:r>
      <w:r>
        <w:rPr>
          <w:rFonts w:ascii="Times New Roman" w:hAnsi="Times New Roman"/>
          <w:bCs/>
        </w:rPr>
        <w:t xml:space="preserve">. </w:t>
      </w:r>
    </w:p>
    <w:p w:rsidR="00AC79B3" w:rsidP="007E5643" w14:paraId="71357295" w14:textId="77777777">
      <w:pPr>
        <w:widowControl/>
        <w:autoSpaceDE/>
        <w:autoSpaceDN/>
        <w:adjustRightInd/>
        <w:ind w:left="720"/>
        <w:rPr>
          <w:rFonts w:ascii="Times New Roman" w:hAnsi="Times New Roman"/>
          <w:bCs/>
        </w:rPr>
      </w:pPr>
    </w:p>
    <w:p w:rsidR="004A5FE0" w:rsidRPr="00E60F16" w:rsidP="007E5643" w14:paraId="2A79C154" w14:textId="77777777">
      <w:pPr>
        <w:widowControl/>
        <w:autoSpaceDE/>
        <w:autoSpaceDN/>
        <w:adjustRightInd/>
        <w:ind w:left="720"/>
        <w:rPr>
          <w:rFonts w:ascii="Times New Roman" w:hAnsi="Times New Roman"/>
          <w:bCs/>
        </w:rPr>
      </w:pPr>
      <w:r w:rsidRPr="00E60F16">
        <w:rPr>
          <w:rFonts w:ascii="Times New Roman" w:hAnsi="Times New Roman"/>
          <w:bCs/>
        </w:rPr>
        <w:t xml:space="preserve">The cost savings benefit </w:t>
      </w:r>
      <w:r w:rsidR="005B2021">
        <w:rPr>
          <w:rFonts w:ascii="Times New Roman" w:hAnsi="Times New Roman"/>
          <w:bCs/>
        </w:rPr>
        <w:t>employers gain from</w:t>
      </w:r>
      <w:r w:rsidRPr="00E60F16">
        <w:rPr>
          <w:rFonts w:ascii="Times New Roman" w:hAnsi="Times New Roman"/>
          <w:bCs/>
        </w:rPr>
        <w:t xml:space="preserve"> using consultative services to improve workplace safety and health conditions</w:t>
      </w:r>
      <w:r w:rsidRPr="00E60F16" w:rsidR="009E24C0">
        <w:rPr>
          <w:rFonts w:ascii="Times New Roman" w:hAnsi="Times New Roman"/>
          <w:bCs/>
        </w:rPr>
        <w:t xml:space="preserve"> outweigh the estimated cost to employers</w:t>
      </w:r>
      <w:r w:rsidRPr="00E60F16" w:rsidR="004169D2">
        <w:rPr>
          <w:rFonts w:ascii="Times New Roman" w:hAnsi="Times New Roman"/>
          <w:bCs/>
        </w:rPr>
        <w:t xml:space="preserve"> in Table 2</w:t>
      </w:r>
      <w:r w:rsidRPr="00E60F16">
        <w:rPr>
          <w:rFonts w:ascii="Times New Roman" w:hAnsi="Times New Roman"/>
          <w:bCs/>
        </w:rPr>
        <w:t xml:space="preserve">.  See the </w:t>
      </w:r>
      <w:hyperlink r:id="rId15" w:history="1">
        <w:r w:rsidRPr="00E60F16">
          <w:rPr>
            <w:rStyle w:val="Hyperlink"/>
            <w:rFonts w:ascii="Times New Roman" w:hAnsi="Times New Roman"/>
            <w:bCs/>
          </w:rPr>
          <w:t>Benefits of the OSHA On-Site Consultation Program</w:t>
        </w:r>
      </w:hyperlink>
      <w:r w:rsidRPr="00E60F16">
        <w:rPr>
          <w:rFonts w:ascii="Times New Roman" w:hAnsi="Times New Roman"/>
          <w:bCs/>
        </w:rPr>
        <w:t>, An Economic Anal</w:t>
      </w:r>
      <w:r w:rsidRPr="00E60F16" w:rsidR="002B132B">
        <w:rPr>
          <w:rFonts w:ascii="Times New Roman" w:hAnsi="Times New Roman"/>
          <w:bCs/>
        </w:rPr>
        <w:t>ysis Paper, August 1, 2018.</w:t>
      </w:r>
    </w:p>
    <w:p w:rsidR="009B1D37" w:rsidRPr="00E60F16" w:rsidP="009267C2" w14:paraId="1BFA8F75" w14:textId="77777777">
      <w:pPr>
        <w:widowControl/>
        <w:autoSpaceDE/>
        <w:autoSpaceDN/>
        <w:adjustRightInd/>
        <w:rPr>
          <w:rFonts w:ascii="Times New Roman" w:hAnsi="Times New Roman"/>
          <w:b/>
          <w:bCs/>
          <w:u w:val="single"/>
        </w:rPr>
      </w:pPr>
    </w:p>
    <w:p w:rsidR="009B1D37" w:rsidRPr="00E60F16" w:rsidP="009267C2" w14:paraId="765E2A1B" w14:textId="77777777">
      <w:pPr>
        <w:widowControl/>
        <w:autoSpaceDE/>
        <w:autoSpaceDN/>
        <w:adjustRightInd/>
        <w:rPr>
          <w:rFonts w:ascii="Times New Roman" w:hAnsi="Times New Roman"/>
          <w:b/>
          <w:bCs/>
          <w:u w:val="single"/>
        </w:rPr>
      </w:pPr>
    </w:p>
    <w:p w:rsidR="005F39B8" w:rsidRPr="00E60F16" w:rsidP="007E5643" w14:paraId="15824D44" w14:textId="77777777">
      <w:pPr>
        <w:widowControl/>
        <w:autoSpaceDE/>
        <w:autoSpaceDN/>
        <w:adjustRightInd/>
        <w:ind w:left="720"/>
        <w:rPr>
          <w:rFonts w:ascii="Times New Roman" w:hAnsi="Times New Roman"/>
          <w:b/>
          <w:bCs/>
        </w:rPr>
      </w:pPr>
      <w:r w:rsidRPr="00E60F16">
        <w:rPr>
          <w:rFonts w:ascii="Times New Roman" w:hAnsi="Times New Roman"/>
          <w:b/>
          <w:bCs/>
          <w:u w:val="single"/>
        </w:rPr>
        <w:t>Combined Costs</w:t>
      </w:r>
      <w:r w:rsidRPr="00E60F16" w:rsidR="00EA4566">
        <w:rPr>
          <w:rFonts w:ascii="Times New Roman" w:hAnsi="Times New Roman"/>
          <w:b/>
          <w:bCs/>
          <w:u w:val="single"/>
        </w:rPr>
        <w:t xml:space="preserve"> and Burden Hours</w:t>
      </w:r>
      <w:r w:rsidRPr="00E60F16">
        <w:rPr>
          <w:rFonts w:ascii="Times New Roman" w:hAnsi="Times New Roman"/>
          <w:b/>
          <w:bCs/>
          <w:u w:val="single"/>
        </w:rPr>
        <w:t xml:space="preserve"> </w:t>
      </w:r>
      <w:r w:rsidRPr="00E60F16" w:rsidR="00EA4566">
        <w:rPr>
          <w:rFonts w:ascii="Times New Roman" w:hAnsi="Times New Roman"/>
          <w:b/>
          <w:bCs/>
          <w:u w:val="single"/>
        </w:rPr>
        <w:t>for</w:t>
      </w:r>
      <w:r w:rsidRPr="00E60F16">
        <w:rPr>
          <w:rFonts w:ascii="Times New Roman" w:hAnsi="Times New Roman"/>
          <w:b/>
          <w:bCs/>
          <w:u w:val="single"/>
        </w:rPr>
        <w:t xml:space="preserve"> States and Employers (Table 1</w:t>
      </w:r>
      <w:r w:rsidRPr="00E60F16" w:rsidR="00836E28">
        <w:rPr>
          <w:rFonts w:ascii="Times New Roman" w:hAnsi="Times New Roman"/>
          <w:b/>
          <w:bCs/>
          <w:u w:val="single"/>
        </w:rPr>
        <w:t>a, Table 1b,</w:t>
      </w:r>
      <w:r w:rsidRPr="00E60F16">
        <w:rPr>
          <w:rFonts w:ascii="Times New Roman" w:hAnsi="Times New Roman"/>
          <w:b/>
          <w:bCs/>
          <w:u w:val="single"/>
        </w:rPr>
        <w:t xml:space="preserve"> and Table 2)</w:t>
      </w:r>
      <w:r w:rsidRPr="00E60F16">
        <w:rPr>
          <w:rFonts w:ascii="Times New Roman" w:hAnsi="Times New Roman"/>
          <w:bCs/>
        </w:rPr>
        <w:t>:</w:t>
      </w:r>
    </w:p>
    <w:p w:rsidR="005F39B8" w:rsidRPr="00E60F16" w:rsidP="007E5643" w14:paraId="42DADC21" w14:textId="77777777">
      <w:pPr>
        <w:widowControl/>
        <w:autoSpaceDE/>
        <w:autoSpaceDN/>
        <w:adjustRightInd/>
        <w:ind w:left="720"/>
        <w:rPr>
          <w:rFonts w:ascii="Times New Roman" w:hAnsi="Times New Roman"/>
          <w:b/>
          <w:bCs/>
        </w:rPr>
      </w:pPr>
    </w:p>
    <w:p w:rsidR="001A6BA1" w:rsidRPr="00E60F16" w:rsidP="00046664" w14:paraId="613BC131" w14:textId="77777777">
      <w:pPr>
        <w:widowControl/>
        <w:autoSpaceDE/>
        <w:autoSpaceDN/>
        <w:adjustRightInd/>
        <w:ind w:left="720"/>
        <w:rPr>
          <w:rFonts w:ascii="Times New Roman" w:hAnsi="Times New Roman"/>
          <w:bCs/>
        </w:rPr>
      </w:pPr>
      <w:r w:rsidRPr="00E60F16">
        <w:rPr>
          <w:rFonts w:ascii="Times New Roman" w:hAnsi="Times New Roman"/>
          <w:bCs/>
        </w:rPr>
        <w:t xml:space="preserve">OSHA estimates </w:t>
      </w:r>
      <w:r w:rsidRPr="00E60F16" w:rsidR="00172681">
        <w:rPr>
          <w:rFonts w:ascii="Times New Roman" w:hAnsi="Times New Roman"/>
          <w:bCs/>
        </w:rPr>
        <w:t xml:space="preserve">the </w:t>
      </w:r>
      <w:r w:rsidRPr="00E60F16">
        <w:rPr>
          <w:rFonts w:ascii="Times New Roman" w:hAnsi="Times New Roman"/>
          <w:bCs/>
        </w:rPr>
        <w:t xml:space="preserve">respondent hours for the states and </w:t>
      </w:r>
      <w:r w:rsidRPr="00E60F16" w:rsidR="00E97E77">
        <w:rPr>
          <w:rFonts w:ascii="Times New Roman" w:hAnsi="Times New Roman"/>
          <w:bCs/>
        </w:rPr>
        <w:t xml:space="preserve">private sector </w:t>
      </w:r>
      <w:r w:rsidRPr="00E60F16">
        <w:rPr>
          <w:rFonts w:ascii="Times New Roman" w:hAnsi="Times New Roman"/>
          <w:bCs/>
        </w:rPr>
        <w:t xml:space="preserve">employers to complete the </w:t>
      </w:r>
      <w:r w:rsidRPr="00E60F16" w:rsidR="00E97E77">
        <w:rPr>
          <w:rFonts w:ascii="Times New Roman" w:hAnsi="Times New Roman"/>
          <w:bCs/>
        </w:rPr>
        <w:t xml:space="preserve">remaining activities of the </w:t>
      </w:r>
      <w:r w:rsidRPr="00E60F16">
        <w:rPr>
          <w:rFonts w:ascii="Times New Roman" w:hAnsi="Times New Roman"/>
          <w:bCs/>
        </w:rPr>
        <w:t xml:space="preserve">Pilot Study as </w:t>
      </w:r>
      <w:r w:rsidRPr="00E60F16" w:rsidR="00E97E77">
        <w:rPr>
          <w:rFonts w:ascii="Times New Roman" w:hAnsi="Times New Roman"/>
          <w:bCs/>
        </w:rPr>
        <w:t>887.</w:t>
      </w:r>
      <w:r w:rsidRPr="00E60F16" w:rsidR="00807A74">
        <w:rPr>
          <w:rFonts w:ascii="Times New Roman" w:hAnsi="Times New Roman"/>
          <w:bCs/>
        </w:rPr>
        <w:t>3</w:t>
      </w:r>
      <w:r w:rsidRPr="00E60F16" w:rsidR="00E97E77">
        <w:rPr>
          <w:rFonts w:ascii="Times New Roman" w:hAnsi="Times New Roman"/>
          <w:bCs/>
        </w:rPr>
        <w:t xml:space="preserve"> hours.</w:t>
      </w:r>
    </w:p>
    <w:p w:rsidR="001A6BA1" w:rsidRPr="00E60F16" w:rsidP="00046664" w14:paraId="4C6F6185" w14:textId="77777777">
      <w:pPr>
        <w:widowControl/>
        <w:autoSpaceDE/>
        <w:autoSpaceDN/>
        <w:adjustRightInd/>
        <w:ind w:left="720"/>
        <w:rPr>
          <w:rFonts w:ascii="Times New Roman" w:hAnsi="Times New Roman"/>
          <w:bCs/>
        </w:rPr>
      </w:pPr>
    </w:p>
    <w:p w:rsidR="00C63DFD" w:rsidRPr="00E60F16" w:rsidP="00046664" w14:paraId="67FD1AA8" w14:textId="77777777">
      <w:pPr>
        <w:widowControl/>
        <w:autoSpaceDE/>
        <w:autoSpaceDN/>
        <w:adjustRightInd/>
        <w:ind w:left="720"/>
        <w:rPr>
          <w:rFonts w:ascii="Times New Roman" w:hAnsi="Times New Roman"/>
          <w:bCs/>
        </w:rPr>
      </w:pPr>
      <w:r w:rsidRPr="00E60F16">
        <w:rPr>
          <w:rFonts w:ascii="Times New Roman" w:hAnsi="Times New Roman"/>
          <w:bCs/>
        </w:rPr>
        <w:t>OSHA previously estimated the</w:t>
      </w:r>
      <w:r w:rsidRPr="00E60F16" w:rsidR="005F39B8">
        <w:rPr>
          <w:rFonts w:ascii="Times New Roman" w:hAnsi="Times New Roman"/>
          <w:bCs/>
        </w:rPr>
        <w:t xml:space="preserve"> total respondent burden</w:t>
      </w:r>
      <w:r w:rsidRPr="00E60F16" w:rsidR="00221164">
        <w:rPr>
          <w:rFonts w:ascii="Times New Roman" w:hAnsi="Times New Roman"/>
          <w:bCs/>
        </w:rPr>
        <w:t xml:space="preserve"> hours</w:t>
      </w:r>
      <w:r w:rsidRPr="00E60F16" w:rsidR="005F39B8">
        <w:rPr>
          <w:rFonts w:ascii="Times New Roman" w:hAnsi="Times New Roman"/>
          <w:bCs/>
        </w:rPr>
        <w:t xml:space="preserve">, which is comprised of the </w:t>
      </w:r>
      <w:r w:rsidRPr="00E60F16" w:rsidR="00F67BC1">
        <w:rPr>
          <w:rFonts w:ascii="Times New Roman" w:hAnsi="Times New Roman"/>
          <w:bCs/>
        </w:rPr>
        <w:t>s</w:t>
      </w:r>
      <w:r w:rsidRPr="00E60F16" w:rsidR="005F39B8">
        <w:rPr>
          <w:rFonts w:ascii="Times New Roman" w:hAnsi="Times New Roman"/>
          <w:bCs/>
        </w:rPr>
        <w:t>tates plus private sector employers,</w:t>
      </w:r>
      <w:r w:rsidRPr="00E60F16">
        <w:rPr>
          <w:rFonts w:ascii="Times New Roman" w:hAnsi="Times New Roman"/>
          <w:bCs/>
        </w:rPr>
        <w:t xml:space="preserve"> to complete the entire Pilot Study</w:t>
      </w:r>
      <w:r w:rsidRPr="00E60F16" w:rsidR="005F39B8">
        <w:rPr>
          <w:rFonts w:ascii="Times New Roman" w:hAnsi="Times New Roman"/>
          <w:bCs/>
        </w:rPr>
        <w:t xml:space="preserve"> </w:t>
      </w:r>
      <w:r w:rsidRPr="00E60F16">
        <w:rPr>
          <w:rFonts w:ascii="Times New Roman" w:hAnsi="Times New Roman"/>
          <w:bCs/>
        </w:rPr>
        <w:t>a</w:t>
      </w:r>
      <w:r w:rsidRPr="00E60F16" w:rsidR="005F39B8">
        <w:rPr>
          <w:rFonts w:ascii="Times New Roman" w:hAnsi="Times New Roman"/>
          <w:bCs/>
        </w:rPr>
        <w:t xml:space="preserve">s </w:t>
      </w:r>
      <w:r w:rsidRPr="00E60F16" w:rsidR="00D63557">
        <w:rPr>
          <w:rFonts w:ascii="Times New Roman" w:hAnsi="Times New Roman"/>
          <w:bCs/>
        </w:rPr>
        <w:t>4,97</w:t>
      </w:r>
      <w:r w:rsidRPr="00E60F16" w:rsidR="00840620">
        <w:rPr>
          <w:rFonts w:ascii="Times New Roman" w:hAnsi="Times New Roman"/>
          <w:bCs/>
        </w:rPr>
        <w:t>4</w:t>
      </w:r>
      <w:r w:rsidRPr="00E60F16" w:rsidR="005F39B8">
        <w:rPr>
          <w:rFonts w:ascii="Times New Roman" w:hAnsi="Times New Roman"/>
          <w:bCs/>
        </w:rPr>
        <w:t xml:space="preserve"> hours</w:t>
      </w:r>
      <w:r w:rsidRPr="00E60F16" w:rsidR="0051071A">
        <w:rPr>
          <w:rFonts w:ascii="Times New Roman" w:hAnsi="Times New Roman"/>
          <w:bCs/>
        </w:rPr>
        <w:t xml:space="preserve"> (See Appendix D)</w:t>
      </w:r>
      <w:r w:rsidRPr="00E60F16" w:rsidR="005F39B8">
        <w:rPr>
          <w:rFonts w:ascii="Times New Roman" w:hAnsi="Times New Roman"/>
          <w:bCs/>
        </w:rPr>
        <w:t xml:space="preserve">. </w:t>
      </w:r>
    </w:p>
    <w:p w:rsidR="000D3363" w:rsidRPr="00E60F16" w:rsidP="000D3363" w14:paraId="73F49C15" w14:textId="77777777">
      <w:pPr>
        <w:keepNext/>
        <w:widowControl/>
        <w:autoSpaceDE/>
        <w:autoSpaceDN/>
        <w:adjustRightInd/>
        <w:jc w:val="center"/>
        <w:rPr>
          <w:rFonts w:ascii="Times New Roman" w:hAnsi="Times New Roman"/>
          <w:b/>
          <w:bCs/>
        </w:rPr>
      </w:pPr>
    </w:p>
    <w:p w:rsidR="008052BF" w:rsidRPr="00E60F16" w:rsidP="00046664" w14:paraId="0A14D7E7" w14:textId="77777777">
      <w:pPr>
        <w:keepNext/>
        <w:widowControl/>
        <w:autoSpaceDE/>
        <w:autoSpaceDN/>
        <w:adjustRightInd/>
        <w:jc w:val="center"/>
        <w:rPr>
          <w:rFonts w:ascii="Times New Roman" w:hAnsi="Times New Roman"/>
          <w:b/>
          <w:bCs/>
        </w:rPr>
      </w:pPr>
      <w:r w:rsidRPr="00E60F16">
        <w:rPr>
          <w:rFonts w:ascii="Times New Roman" w:hAnsi="Times New Roman"/>
          <w:b/>
          <w:bCs/>
        </w:rPr>
        <w:t xml:space="preserve">Table 3: Combined Costs </w:t>
      </w:r>
      <w:r w:rsidRPr="00E60F16" w:rsidR="00EA4566">
        <w:rPr>
          <w:rFonts w:ascii="Times New Roman" w:hAnsi="Times New Roman"/>
          <w:b/>
          <w:bCs/>
        </w:rPr>
        <w:t>and Burden Hours for</w:t>
      </w:r>
      <w:r w:rsidRPr="00E60F16">
        <w:rPr>
          <w:rFonts w:ascii="Times New Roman" w:hAnsi="Times New Roman"/>
          <w:b/>
          <w:bCs/>
        </w:rPr>
        <w:t xml:space="preserve"> States and Employers</w:t>
      </w:r>
    </w:p>
    <w:p w:rsidR="008052BF" w:rsidRPr="00E60F16" w:rsidP="000D3363" w14:paraId="5CAB7F93" w14:textId="77777777">
      <w:pPr>
        <w:keepNext/>
        <w:widowControl/>
        <w:autoSpaceDE/>
        <w:autoSpaceDN/>
        <w:adjustRightInd/>
        <w:jc w:val="center"/>
        <w:rPr>
          <w:rFonts w:ascii="Times New Roman" w:hAnsi="Times New Roman"/>
          <w:b/>
          <w:bCs/>
        </w:rPr>
      </w:pPr>
    </w:p>
    <w:tbl>
      <w:tblPr>
        <w:tblStyle w:val="TableGrid"/>
        <w:tblW w:w="0" w:type="auto"/>
        <w:tblInd w:w="-455" w:type="dxa"/>
        <w:tblLook w:val="04A0"/>
      </w:tblPr>
      <w:tblGrid>
        <w:gridCol w:w="2325"/>
        <w:gridCol w:w="1870"/>
        <w:gridCol w:w="1870"/>
        <w:gridCol w:w="1870"/>
        <w:gridCol w:w="1870"/>
      </w:tblGrid>
      <w:tr w14:paraId="61DEB585" w14:textId="77777777" w:rsidTr="00E74030">
        <w:tblPrEx>
          <w:tblW w:w="0" w:type="auto"/>
          <w:tblInd w:w="-455" w:type="dxa"/>
          <w:tblLook w:val="04A0"/>
        </w:tblPrEx>
        <w:trPr>
          <w:tblHeader/>
        </w:trPr>
        <w:tc>
          <w:tcPr>
            <w:tcW w:w="2325" w:type="dxa"/>
            <w:shd w:val="clear" w:color="auto" w:fill="9CC2E5" w:themeFill="accent1" w:themeFillTint="99"/>
          </w:tcPr>
          <w:p w:rsidR="00636EE1" w:rsidRPr="00E60F16" w:rsidP="00636EE1" w14:paraId="3A4A0F42" w14:textId="77777777">
            <w:pPr>
              <w:keepNext/>
              <w:widowControl/>
              <w:autoSpaceDE/>
              <w:autoSpaceDN/>
              <w:adjustRightInd/>
              <w:jc w:val="center"/>
              <w:rPr>
                <w:rFonts w:ascii="Times New Roman" w:hAnsi="Times New Roman"/>
                <w:b/>
                <w:bCs/>
              </w:rPr>
            </w:pPr>
            <w:r w:rsidRPr="00E60F16">
              <w:rPr>
                <w:rFonts w:ascii="Times New Roman" w:hAnsi="Times New Roman"/>
                <w:b/>
                <w:bCs/>
              </w:rPr>
              <w:t>Table</w:t>
            </w:r>
          </w:p>
        </w:tc>
        <w:tc>
          <w:tcPr>
            <w:tcW w:w="1870" w:type="dxa"/>
            <w:shd w:val="clear" w:color="auto" w:fill="9CC2E5" w:themeFill="accent1" w:themeFillTint="99"/>
          </w:tcPr>
          <w:p w:rsidR="00636EE1" w:rsidRPr="00E60F16" w:rsidP="00636EE1" w14:paraId="46381D2F" w14:textId="77777777">
            <w:pPr>
              <w:keepNext/>
              <w:widowControl/>
              <w:autoSpaceDE/>
              <w:autoSpaceDN/>
              <w:adjustRightInd/>
              <w:jc w:val="center"/>
              <w:rPr>
                <w:rFonts w:ascii="Times New Roman" w:hAnsi="Times New Roman"/>
                <w:b/>
                <w:bCs/>
              </w:rPr>
            </w:pPr>
            <w:r w:rsidRPr="00E60F16">
              <w:rPr>
                <w:rFonts w:ascii="Times New Roman" w:hAnsi="Times New Roman"/>
                <w:b/>
                <w:bCs/>
              </w:rPr>
              <w:t>Number of Respondents</w:t>
            </w:r>
          </w:p>
        </w:tc>
        <w:tc>
          <w:tcPr>
            <w:tcW w:w="1870" w:type="dxa"/>
            <w:shd w:val="clear" w:color="auto" w:fill="9CC2E5" w:themeFill="accent1" w:themeFillTint="99"/>
          </w:tcPr>
          <w:p w:rsidR="00636EE1" w:rsidRPr="00E60F16" w:rsidP="00636EE1" w14:paraId="71C4757A" w14:textId="77777777">
            <w:pPr>
              <w:keepNext/>
              <w:widowControl/>
              <w:autoSpaceDE/>
              <w:autoSpaceDN/>
              <w:adjustRightInd/>
              <w:jc w:val="center"/>
              <w:rPr>
                <w:rFonts w:ascii="Times New Roman" w:hAnsi="Times New Roman"/>
                <w:b/>
                <w:bCs/>
              </w:rPr>
            </w:pPr>
            <w:r w:rsidRPr="00E60F16">
              <w:rPr>
                <w:rFonts w:ascii="Times New Roman" w:hAnsi="Times New Roman"/>
                <w:b/>
                <w:bCs/>
              </w:rPr>
              <w:t>Total No. of Responses</w:t>
            </w:r>
          </w:p>
        </w:tc>
        <w:tc>
          <w:tcPr>
            <w:tcW w:w="1870" w:type="dxa"/>
            <w:shd w:val="clear" w:color="auto" w:fill="9CC2E5" w:themeFill="accent1" w:themeFillTint="99"/>
          </w:tcPr>
          <w:p w:rsidR="00636EE1" w:rsidRPr="00E60F16" w:rsidP="00636EE1" w14:paraId="18DBCE9F" w14:textId="77777777">
            <w:pPr>
              <w:keepNext/>
              <w:widowControl/>
              <w:autoSpaceDE/>
              <w:autoSpaceDN/>
              <w:adjustRightInd/>
              <w:jc w:val="center"/>
              <w:rPr>
                <w:rFonts w:ascii="Times New Roman" w:hAnsi="Times New Roman"/>
                <w:b/>
                <w:bCs/>
              </w:rPr>
            </w:pPr>
            <w:r w:rsidRPr="00E60F16">
              <w:rPr>
                <w:rFonts w:ascii="Times New Roman" w:hAnsi="Times New Roman"/>
                <w:b/>
                <w:bCs/>
              </w:rPr>
              <w:t xml:space="preserve">Total Burden Hours </w:t>
            </w:r>
          </w:p>
        </w:tc>
        <w:tc>
          <w:tcPr>
            <w:tcW w:w="1870" w:type="dxa"/>
            <w:shd w:val="clear" w:color="auto" w:fill="9CC2E5" w:themeFill="accent1" w:themeFillTint="99"/>
          </w:tcPr>
          <w:p w:rsidR="00636EE1" w:rsidRPr="00E60F16" w:rsidP="00636EE1" w14:paraId="439262A2" w14:textId="77777777">
            <w:pPr>
              <w:keepNext/>
              <w:widowControl/>
              <w:autoSpaceDE/>
              <w:autoSpaceDN/>
              <w:adjustRightInd/>
              <w:jc w:val="center"/>
              <w:rPr>
                <w:rFonts w:ascii="Times New Roman" w:hAnsi="Times New Roman"/>
                <w:b/>
                <w:bCs/>
              </w:rPr>
            </w:pPr>
            <w:r w:rsidRPr="00E60F16">
              <w:rPr>
                <w:rFonts w:ascii="Times New Roman" w:hAnsi="Times New Roman"/>
                <w:b/>
                <w:bCs/>
              </w:rPr>
              <w:t xml:space="preserve">Total Burden Cost </w:t>
            </w:r>
            <w:r w:rsidRPr="00E60F16" w:rsidR="00FF1D8F">
              <w:rPr>
                <w:rFonts w:ascii="Times New Roman" w:hAnsi="Times New Roman"/>
                <w:b/>
                <w:bCs/>
              </w:rPr>
              <w:t xml:space="preserve">       </w:t>
            </w:r>
            <w:r w:rsidRPr="00E60F16">
              <w:rPr>
                <w:rFonts w:ascii="Times New Roman" w:hAnsi="Times New Roman"/>
                <w:b/>
                <w:bCs/>
              </w:rPr>
              <w:t>(</w:t>
            </w:r>
            <w:r w:rsidRPr="00E60F16" w:rsidR="00FF1D8F">
              <w:rPr>
                <w:rFonts w:ascii="Times New Roman" w:hAnsi="Times New Roman"/>
                <w:b/>
                <w:bCs/>
              </w:rPr>
              <w:t>Under A13</w:t>
            </w:r>
            <w:r w:rsidRPr="00E60F16">
              <w:rPr>
                <w:rFonts w:ascii="Times New Roman" w:hAnsi="Times New Roman"/>
                <w:b/>
                <w:bCs/>
              </w:rPr>
              <w:t>)</w:t>
            </w:r>
          </w:p>
        </w:tc>
      </w:tr>
      <w:tr w14:paraId="1318813C" w14:textId="77777777" w:rsidTr="00046664">
        <w:tblPrEx>
          <w:tblW w:w="0" w:type="auto"/>
          <w:tblInd w:w="-455" w:type="dxa"/>
          <w:tblLook w:val="04A0"/>
        </w:tblPrEx>
        <w:tc>
          <w:tcPr>
            <w:tcW w:w="2325" w:type="dxa"/>
          </w:tcPr>
          <w:p w:rsidR="00636EE1" w:rsidRPr="00E60F16" w:rsidP="00636EE1" w14:paraId="37E692E6" w14:textId="77777777">
            <w:pPr>
              <w:widowControl/>
              <w:autoSpaceDE/>
              <w:autoSpaceDN/>
              <w:adjustRightInd/>
              <w:rPr>
                <w:rFonts w:ascii="Times New Roman" w:hAnsi="Times New Roman"/>
                <w:i/>
              </w:rPr>
            </w:pPr>
            <w:r w:rsidRPr="00E60F16">
              <w:rPr>
                <w:rFonts w:ascii="Times New Roman" w:hAnsi="Times New Roman"/>
              </w:rPr>
              <w:t>Table 1a: Estimated Respondent (State Consultation Programs) Hour and Cost Burden for Pilot Study</w:t>
            </w:r>
          </w:p>
          <w:p w:rsidR="00636EE1" w:rsidRPr="00E60F16" w:rsidP="00636EE1" w14:paraId="239E4465" w14:textId="77777777">
            <w:pPr>
              <w:keepNext/>
              <w:widowControl/>
              <w:autoSpaceDE/>
              <w:autoSpaceDN/>
              <w:adjustRightInd/>
              <w:jc w:val="center"/>
              <w:rPr>
                <w:rFonts w:ascii="Times New Roman" w:hAnsi="Times New Roman"/>
                <w:b/>
                <w:bCs/>
              </w:rPr>
            </w:pPr>
          </w:p>
        </w:tc>
        <w:tc>
          <w:tcPr>
            <w:tcW w:w="1870" w:type="dxa"/>
          </w:tcPr>
          <w:p w:rsidR="00636EE1" w:rsidRPr="00E60F16" w:rsidP="00636EE1" w14:paraId="09B28B12" w14:textId="77777777">
            <w:pPr>
              <w:keepNext/>
              <w:widowControl/>
              <w:autoSpaceDE/>
              <w:autoSpaceDN/>
              <w:adjustRightInd/>
              <w:jc w:val="center"/>
              <w:rPr>
                <w:rFonts w:ascii="Times New Roman" w:hAnsi="Times New Roman"/>
              </w:rPr>
            </w:pPr>
            <w:r w:rsidRPr="00E60F16">
              <w:rPr>
                <w:rFonts w:ascii="Times New Roman" w:hAnsi="Times New Roman"/>
              </w:rPr>
              <w:t>2</w:t>
            </w:r>
            <w:r w:rsidRPr="00E60F16" w:rsidR="00DE28B7">
              <w:rPr>
                <w:rFonts w:ascii="Times New Roman" w:hAnsi="Times New Roman"/>
              </w:rPr>
              <w:t>3</w:t>
            </w:r>
          </w:p>
        </w:tc>
        <w:tc>
          <w:tcPr>
            <w:tcW w:w="1870" w:type="dxa"/>
          </w:tcPr>
          <w:p w:rsidR="00636EE1" w:rsidRPr="00E60F16" w:rsidP="00636EE1" w14:paraId="218DE3BE" w14:textId="77777777">
            <w:pPr>
              <w:keepNext/>
              <w:widowControl/>
              <w:autoSpaceDE/>
              <w:autoSpaceDN/>
              <w:adjustRightInd/>
              <w:jc w:val="center"/>
              <w:rPr>
                <w:rFonts w:ascii="Times New Roman" w:hAnsi="Times New Roman"/>
                <w:bCs/>
              </w:rPr>
            </w:pPr>
            <w:r w:rsidRPr="00E60F16">
              <w:rPr>
                <w:rFonts w:ascii="Times New Roman" w:hAnsi="Times New Roman"/>
              </w:rPr>
              <w:t>157</w:t>
            </w:r>
          </w:p>
        </w:tc>
        <w:tc>
          <w:tcPr>
            <w:tcW w:w="1870" w:type="dxa"/>
          </w:tcPr>
          <w:p w:rsidR="00636EE1" w:rsidRPr="00E60F16" w:rsidP="00636EE1" w14:paraId="5B66BE52" w14:textId="77777777">
            <w:pPr>
              <w:keepNext/>
              <w:widowControl/>
              <w:autoSpaceDE/>
              <w:autoSpaceDN/>
              <w:adjustRightInd/>
              <w:jc w:val="center"/>
              <w:rPr>
                <w:rFonts w:ascii="Times New Roman" w:hAnsi="Times New Roman"/>
                <w:b/>
                <w:bCs/>
              </w:rPr>
            </w:pPr>
            <w:r w:rsidRPr="00E60F16">
              <w:rPr>
                <w:rFonts w:ascii="Times New Roman" w:hAnsi="Times New Roman"/>
                <w:bCs/>
              </w:rPr>
              <w:t>649</w:t>
            </w:r>
            <w:r w:rsidRPr="00E60F16" w:rsidR="002B1055">
              <w:rPr>
                <w:rFonts w:ascii="Times New Roman" w:hAnsi="Times New Roman"/>
                <w:bCs/>
              </w:rPr>
              <w:t>.5</w:t>
            </w:r>
          </w:p>
        </w:tc>
        <w:tc>
          <w:tcPr>
            <w:tcW w:w="1870" w:type="dxa"/>
          </w:tcPr>
          <w:p w:rsidR="00636EE1" w:rsidRPr="00E60F16" w:rsidP="00636EE1" w14:paraId="0FA048E0" w14:textId="77777777">
            <w:pPr>
              <w:keepNext/>
              <w:widowControl/>
              <w:autoSpaceDE/>
              <w:autoSpaceDN/>
              <w:adjustRightInd/>
              <w:jc w:val="center"/>
              <w:rPr>
                <w:rFonts w:ascii="Times New Roman" w:hAnsi="Times New Roman"/>
                <w:b/>
                <w:bCs/>
              </w:rPr>
            </w:pPr>
            <w:r w:rsidRPr="00E60F16">
              <w:rPr>
                <w:rFonts w:ascii="Times New Roman" w:hAnsi="Times New Roman"/>
              </w:rPr>
              <w:t>$</w:t>
            </w:r>
            <w:r w:rsidRPr="00E60F16" w:rsidR="00C51F95">
              <w:rPr>
                <w:rFonts w:ascii="Times New Roman" w:hAnsi="Times New Roman"/>
              </w:rPr>
              <w:t>43,173</w:t>
            </w:r>
          </w:p>
        </w:tc>
      </w:tr>
      <w:tr w14:paraId="2CBD5289" w14:textId="77777777" w:rsidTr="00046664">
        <w:tblPrEx>
          <w:tblW w:w="0" w:type="auto"/>
          <w:tblInd w:w="-455" w:type="dxa"/>
          <w:tblLook w:val="04A0"/>
        </w:tblPrEx>
        <w:tc>
          <w:tcPr>
            <w:tcW w:w="2325" w:type="dxa"/>
          </w:tcPr>
          <w:p w:rsidR="00636EE1" w:rsidRPr="00E60F16" w:rsidP="00636EE1" w14:paraId="2E2295B1" w14:textId="77777777">
            <w:pPr>
              <w:widowControl/>
              <w:autoSpaceDE/>
              <w:autoSpaceDN/>
              <w:adjustRightInd/>
              <w:rPr>
                <w:rFonts w:ascii="Times New Roman" w:hAnsi="Times New Roman"/>
                <w:bCs/>
                <w:i/>
              </w:rPr>
            </w:pPr>
            <w:r w:rsidRPr="00E60F16">
              <w:rPr>
                <w:rFonts w:ascii="Times New Roman" w:hAnsi="Times New Roman"/>
                <w:bCs/>
              </w:rPr>
              <w:t>Table 1b: Estimated Respondent (State Consultation Programs) Hour and Cost Burden for the Prospective Analysis</w:t>
            </w:r>
          </w:p>
          <w:p w:rsidR="00636EE1" w:rsidRPr="00E60F16" w:rsidP="00636EE1" w14:paraId="7FD5784B" w14:textId="77777777">
            <w:pPr>
              <w:keepNext/>
              <w:widowControl/>
              <w:autoSpaceDE/>
              <w:autoSpaceDN/>
              <w:adjustRightInd/>
              <w:jc w:val="center"/>
              <w:rPr>
                <w:rFonts w:ascii="Times New Roman" w:hAnsi="Times New Roman"/>
                <w:b/>
                <w:bCs/>
              </w:rPr>
            </w:pPr>
          </w:p>
        </w:tc>
        <w:tc>
          <w:tcPr>
            <w:tcW w:w="1870" w:type="dxa"/>
          </w:tcPr>
          <w:p w:rsidR="00636EE1" w:rsidRPr="00E60F16" w:rsidP="00636EE1" w14:paraId="3B74E303" w14:textId="77777777">
            <w:pPr>
              <w:keepNext/>
              <w:widowControl/>
              <w:autoSpaceDE/>
              <w:autoSpaceDN/>
              <w:adjustRightInd/>
              <w:jc w:val="center"/>
              <w:rPr>
                <w:rFonts w:ascii="Times New Roman" w:hAnsi="Times New Roman"/>
              </w:rPr>
            </w:pPr>
            <w:r w:rsidRPr="00E60F16">
              <w:rPr>
                <w:rFonts w:ascii="Times New Roman" w:hAnsi="Times New Roman"/>
              </w:rPr>
              <w:t>200</w:t>
            </w:r>
          </w:p>
        </w:tc>
        <w:tc>
          <w:tcPr>
            <w:tcW w:w="1870" w:type="dxa"/>
          </w:tcPr>
          <w:p w:rsidR="00636EE1" w:rsidRPr="00E60F16" w:rsidP="00636EE1" w14:paraId="0E35B70B" w14:textId="77777777">
            <w:pPr>
              <w:keepNext/>
              <w:widowControl/>
              <w:autoSpaceDE/>
              <w:autoSpaceDN/>
              <w:adjustRightInd/>
              <w:jc w:val="center"/>
              <w:rPr>
                <w:rFonts w:ascii="Times New Roman" w:hAnsi="Times New Roman"/>
                <w:bCs/>
              </w:rPr>
            </w:pPr>
            <w:r w:rsidRPr="00E60F16">
              <w:rPr>
                <w:rFonts w:ascii="Times New Roman" w:hAnsi="Times New Roman"/>
              </w:rPr>
              <w:t>300</w:t>
            </w:r>
          </w:p>
        </w:tc>
        <w:tc>
          <w:tcPr>
            <w:tcW w:w="1870" w:type="dxa"/>
          </w:tcPr>
          <w:p w:rsidR="00636EE1" w:rsidRPr="00E60F16" w:rsidP="00046664" w14:paraId="3DBBE961" w14:textId="77777777">
            <w:pPr>
              <w:keepNext/>
              <w:widowControl/>
              <w:autoSpaceDE/>
              <w:autoSpaceDN/>
              <w:adjustRightInd/>
              <w:jc w:val="center"/>
              <w:rPr>
                <w:rFonts w:ascii="Times New Roman" w:hAnsi="Times New Roman"/>
                <w:b/>
                <w:bCs/>
              </w:rPr>
            </w:pPr>
            <w:r w:rsidRPr="00E60F16">
              <w:rPr>
                <w:rFonts w:ascii="Times New Roman" w:hAnsi="Times New Roman"/>
                <w:bCs/>
              </w:rPr>
              <w:t>150</w:t>
            </w:r>
          </w:p>
        </w:tc>
        <w:tc>
          <w:tcPr>
            <w:tcW w:w="1870" w:type="dxa"/>
          </w:tcPr>
          <w:p w:rsidR="00636EE1" w:rsidRPr="00E60F16" w:rsidP="00046664" w14:paraId="6CF4F38B" w14:textId="77777777">
            <w:pPr>
              <w:widowControl/>
              <w:autoSpaceDE/>
              <w:autoSpaceDN/>
              <w:adjustRightInd/>
              <w:jc w:val="center"/>
              <w:rPr>
                <w:rFonts w:ascii="Times New Roman" w:hAnsi="Times New Roman"/>
              </w:rPr>
            </w:pPr>
            <w:r w:rsidRPr="00E60F16">
              <w:rPr>
                <w:rFonts w:ascii="Times New Roman" w:hAnsi="Times New Roman"/>
              </w:rPr>
              <w:t>$</w:t>
            </w:r>
            <w:r w:rsidRPr="00E60F16" w:rsidR="00C51F95">
              <w:rPr>
                <w:rFonts w:ascii="Times New Roman" w:hAnsi="Times New Roman"/>
              </w:rPr>
              <w:t>9,969</w:t>
            </w:r>
          </w:p>
          <w:p w:rsidR="00636EE1" w:rsidRPr="00E60F16" w:rsidP="00046664" w14:paraId="0C301C60" w14:textId="77777777">
            <w:pPr>
              <w:keepNext/>
              <w:widowControl/>
              <w:autoSpaceDE/>
              <w:autoSpaceDN/>
              <w:adjustRightInd/>
              <w:jc w:val="center"/>
              <w:rPr>
                <w:rFonts w:ascii="Times New Roman" w:hAnsi="Times New Roman"/>
                <w:b/>
                <w:bCs/>
              </w:rPr>
            </w:pPr>
          </w:p>
        </w:tc>
      </w:tr>
      <w:tr w14:paraId="631773C0" w14:textId="77777777" w:rsidTr="00046664">
        <w:tblPrEx>
          <w:tblW w:w="0" w:type="auto"/>
          <w:tblInd w:w="-455" w:type="dxa"/>
          <w:tblLook w:val="04A0"/>
        </w:tblPrEx>
        <w:tc>
          <w:tcPr>
            <w:tcW w:w="2325" w:type="dxa"/>
          </w:tcPr>
          <w:p w:rsidR="00636EE1" w:rsidRPr="00E60F16" w:rsidP="00636EE1" w14:paraId="76142C6E" w14:textId="77777777">
            <w:pPr>
              <w:widowControl/>
              <w:autoSpaceDE/>
              <w:autoSpaceDN/>
              <w:adjustRightInd/>
              <w:rPr>
                <w:rFonts w:ascii="Times New Roman" w:hAnsi="Times New Roman"/>
              </w:rPr>
            </w:pPr>
            <w:r w:rsidRPr="00E60F16">
              <w:rPr>
                <w:rFonts w:ascii="Times New Roman" w:hAnsi="Times New Roman"/>
              </w:rPr>
              <w:t>Table 2: Summary of Estimated Respondent (Employer) Hour and Cost Burden</w:t>
            </w:r>
          </w:p>
          <w:p w:rsidR="00636EE1" w:rsidRPr="00E60F16" w:rsidP="00636EE1" w14:paraId="7EF96FEB" w14:textId="77777777">
            <w:pPr>
              <w:keepNext/>
              <w:widowControl/>
              <w:autoSpaceDE/>
              <w:autoSpaceDN/>
              <w:adjustRightInd/>
              <w:jc w:val="center"/>
              <w:rPr>
                <w:rFonts w:ascii="Times New Roman" w:hAnsi="Times New Roman"/>
                <w:b/>
                <w:bCs/>
              </w:rPr>
            </w:pPr>
          </w:p>
        </w:tc>
        <w:tc>
          <w:tcPr>
            <w:tcW w:w="1870" w:type="dxa"/>
          </w:tcPr>
          <w:p w:rsidR="00636EE1" w:rsidRPr="00E60F16" w:rsidP="00636EE1" w14:paraId="4247833B" w14:textId="77777777">
            <w:pPr>
              <w:keepNext/>
              <w:widowControl/>
              <w:autoSpaceDE/>
              <w:autoSpaceDN/>
              <w:adjustRightInd/>
              <w:jc w:val="center"/>
              <w:rPr>
                <w:rFonts w:ascii="Times New Roman" w:hAnsi="Times New Roman"/>
              </w:rPr>
            </w:pPr>
            <w:r w:rsidRPr="00E60F16">
              <w:rPr>
                <w:rFonts w:ascii="Times New Roman" w:hAnsi="Times New Roman"/>
              </w:rPr>
              <w:t>3</w:t>
            </w:r>
            <w:r w:rsidRPr="00E60F16" w:rsidR="0074544E">
              <w:rPr>
                <w:rFonts w:ascii="Times New Roman" w:hAnsi="Times New Roman"/>
              </w:rPr>
              <w:t>0</w:t>
            </w:r>
            <w:r w:rsidRPr="00E60F16">
              <w:rPr>
                <w:rFonts w:ascii="Times New Roman" w:hAnsi="Times New Roman"/>
              </w:rPr>
              <w:t>0</w:t>
            </w:r>
          </w:p>
        </w:tc>
        <w:tc>
          <w:tcPr>
            <w:tcW w:w="1870" w:type="dxa"/>
          </w:tcPr>
          <w:p w:rsidR="00636EE1" w:rsidRPr="00E60F16" w:rsidP="00636EE1" w14:paraId="4C8247D3" w14:textId="77777777">
            <w:pPr>
              <w:keepNext/>
              <w:widowControl/>
              <w:autoSpaceDE/>
              <w:autoSpaceDN/>
              <w:adjustRightInd/>
              <w:jc w:val="center"/>
              <w:rPr>
                <w:rFonts w:ascii="Times New Roman" w:hAnsi="Times New Roman"/>
                <w:bCs/>
              </w:rPr>
            </w:pPr>
            <w:r w:rsidRPr="00E60F16">
              <w:rPr>
                <w:rFonts w:ascii="Times New Roman" w:hAnsi="Times New Roman"/>
                <w:bCs/>
              </w:rPr>
              <w:t>353</w:t>
            </w:r>
          </w:p>
        </w:tc>
        <w:tc>
          <w:tcPr>
            <w:tcW w:w="1870" w:type="dxa"/>
          </w:tcPr>
          <w:p w:rsidR="00636EE1" w:rsidRPr="00E60F16" w:rsidP="00636EE1" w14:paraId="3D0A37E1" w14:textId="77777777">
            <w:pPr>
              <w:keepNext/>
              <w:widowControl/>
              <w:autoSpaceDE/>
              <w:autoSpaceDN/>
              <w:adjustRightInd/>
              <w:jc w:val="center"/>
              <w:rPr>
                <w:rFonts w:ascii="Times New Roman" w:hAnsi="Times New Roman"/>
                <w:b/>
                <w:bCs/>
              </w:rPr>
            </w:pPr>
            <w:r w:rsidRPr="00E60F16">
              <w:rPr>
                <w:rFonts w:ascii="Times New Roman" w:hAnsi="Times New Roman"/>
                <w:bCs/>
              </w:rPr>
              <w:t>8</w:t>
            </w:r>
            <w:r w:rsidRPr="00E60F16" w:rsidR="00F844A7">
              <w:rPr>
                <w:rFonts w:ascii="Times New Roman" w:hAnsi="Times New Roman"/>
                <w:bCs/>
              </w:rPr>
              <w:t>7.8</w:t>
            </w:r>
            <w:r w:rsidRPr="00E60F16" w:rsidR="005D1916">
              <w:rPr>
                <w:rFonts w:ascii="Times New Roman" w:hAnsi="Times New Roman"/>
                <w:bCs/>
              </w:rPr>
              <w:t xml:space="preserve"> </w:t>
            </w:r>
          </w:p>
        </w:tc>
        <w:tc>
          <w:tcPr>
            <w:tcW w:w="1870" w:type="dxa"/>
          </w:tcPr>
          <w:p w:rsidR="00636EE1" w:rsidRPr="00E60F16" w:rsidP="00636EE1" w14:paraId="4C0E7E7E" w14:textId="77777777">
            <w:pPr>
              <w:keepNext/>
              <w:widowControl/>
              <w:autoSpaceDE/>
              <w:autoSpaceDN/>
              <w:adjustRightInd/>
              <w:jc w:val="center"/>
              <w:rPr>
                <w:rFonts w:ascii="Times New Roman" w:hAnsi="Times New Roman"/>
                <w:b/>
                <w:bCs/>
              </w:rPr>
            </w:pPr>
            <w:r w:rsidRPr="00E60F16">
              <w:rPr>
                <w:rFonts w:ascii="Times New Roman" w:hAnsi="Times New Roman"/>
              </w:rPr>
              <w:t>$</w:t>
            </w:r>
            <w:r w:rsidRPr="00E60F16" w:rsidR="00F844A7">
              <w:rPr>
                <w:rFonts w:ascii="Times New Roman" w:hAnsi="Times New Roman"/>
              </w:rPr>
              <w:t>7,935</w:t>
            </w:r>
          </w:p>
        </w:tc>
      </w:tr>
      <w:tr w14:paraId="730623D1" w14:textId="77777777" w:rsidTr="00046664">
        <w:tblPrEx>
          <w:tblW w:w="0" w:type="auto"/>
          <w:tblInd w:w="-455" w:type="dxa"/>
          <w:tblLook w:val="04A0"/>
        </w:tblPrEx>
        <w:tc>
          <w:tcPr>
            <w:tcW w:w="2325" w:type="dxa"/>
          </w:tcPr>
          <w:p w:rsidR="00636EE1" w:rsidRPr="00E60F16" w:rsidP="00636EE1" w14:paraId="15C06DA3" w14:textId="77777777">
            <w:pPr>
              <w:keepNext/>
              <w:widowControl/>
              <w:autoSpaceDE/>
              <w:autoSpaceDN/>
              <w:adjustRightInd/>
              <w:jc w:val="center"/>
              <w:rPr>
                <w:rFonts w:ascii="Times New Roman" w:hAnsi="Times New Roman"/>
                <w:b/>
                <w:bCs/>
              </w:rPr>
            </w:pPr>
            <w:r w:rsidRPr="00E60F16">
              <w:rPr>
                <w:rFonts w:ascii="Times New Roman" w:hAnsi="Times New Roman"/>
                <w:b/>
                <w:bCs/>
              </w:rPr>
              <w:t>Totals</w:t>
            </w:r>
          </w:p>
        </w:tc>
        <w:tc>
          <w:tcPr>
            <w:tcW w:w="1870" w:type="dxa"/>
          </w:tcPr>
          <w:p w:rsidR="00636EE1" w:rsidRPr="00E60F16" w:rsidP="00636EE1" w14:paraId="123AB460" w14:textId="77777777">
            <w:pPr>
              <w:keepNext/>
              <w:widowControl/>
              <w:autoSpaceDE/>
              <w:autoSpaceDN/>
              <w:adjustRightInd/>
              <w:jc w:val="center"/>
              <w:rPr>
                <w:rFonts w:ascii="Times New Roman" w:hAnsi="Times New Roman"/>
                <w:b/>
                <w:bCs/>
              </w:rPr>
            </w:pPr>
            <w:r w:rsidRPr="00E60F16">
              <w:rPr>
                <w:rFonts w:ascii="Times New Roman" w:hAnsi="Times New Roman"/>
                <w:b/>
                <w:bCs/>
              </w:rPr>
              <w:t>5</w:t>
            </w:r>
            <w:r w:rsidR="00321B39">
              <w:rPr>
                <w:rFonts w:ascii="Times New Roman" w:hAnsi="Times New Roman"/>
                <w:b/>
                <w:bCs/>
              </w:rPr>
              <w:t>0</w:t>
            </w:r>
            <w:r w:rsidRPr="00E60F16" w:rsidR="005A3D2E">
              <w:rPr>
                <w:rFonts w:ascii="Times New Roman" w:hAnsi="Times New Roman"/>
                <w:b/>
                <w:bCs/>
              </w:rPr>
              <w:t>3</w:t>
            </w:r>
            <w:r>
              <w:rPr>
                <w:rStyle w:val="FootnoteReference"/>
                <w:rFonts w:ascii="Times New Roman" w:hAnsi="Times New Roman"/>
                <w:b/>
                <w:bCs/>
              </w:rPr>
              <w:footnoteReference w:id="14"/>
            </w:r>
          </w:p>
        </w:tc>
        <w:tc>
          <w:tcPr>
            <w:tcW w:w="1870" w:type="dxa"/>
          </w:tcPr>
          <w:p w:rsidR="00636EE1" w:rsidRPr="00E60F16" w:rsidP="00636EE1" w14:paraId="71267627" w14:textId="77777777">
            <w:pPr>
              <w:keepNext/>
              <w:widowControl/>
              <w:autoSpaceDE/>
              <w:autoSpaceDN/>
              <w:adjustRightInd/>
              <w:jc w:val="center"/>
              <w:rPr>
                <w:rFonts w:ascii="Times New Roman" w:hAnsi="Times New Roman"/>
                <w:b/>
              </w:rPr>
            </w:pPr>
            <w:r w:rsidRPr="00E60F16">
              <w:rPr>
                <w:rFonts w:ascii="Times New Roman" w:hAnsi="Times New Roman"/>
                <w:b/>
                <w:bCs/>
              </w:rPr>
              <w:t>810</w:t>
            </w:r>
          </w:p>
        </w:tc>
        <w:tc>
          <w:tcPr>
            <w:tcW w:w="1870" w:type="dxa"/>
          </w:tcPr>
          <w:p w:rsidR="00636EE1" w:rsidRPr="00E60F16" w:rsidP="00636EE1" w14:paraId="6B8FA79B" w14:textId="77777777">
            <w:pPr>
              <w:keepNext/>
              <w:widowControl/>
              <w:autoSpaceDE/>
              <w:autoSpaceDN/>
              <w:adjustRightInd/>
              <w:jc w:val="center"/>
              <w:rPr>
                <w:rFonts w:ascii="Times New Roman" w:hAnsi="Times New Roman"/>
                <w:b/>
                <w:bCs/>
              </w:rPr>
            </w:pPr>
            <w:r w:rsidRPr="00E60F16">
              <w:rPr>
                <w:rFonts w:ascii="Times New Roman" w:hAnsi="Times New Roman"/>
                <w:b/>
              </w:rPr>
              <w:t>88</w:t>
            </w:r>
            <w:r w:rsidR="00525A88">
              <w:rPr>
                <w:rFonts w:ascii="Times New Roman" w:hAnsi="Times New Roman"/>
                <w:b/>
              </w:rPr>
              <w:t>8</w:t>
            </w:r>
          </w:p>
        </w:tc>
        <w:tc>
          <w:tcPr>
            <w:tcW w:w="1870" w:type="dxa"/>
          </w:tcPr>
          <w:p w:rsidR="00636EE1" w:rsidRPr="00E60F16" w:rsidP="00636EE1" w14:paraId="011DE5D1" w14:textId="77777777">
            <w:pPr>
              <w:keepNext/>
              <w:widowControl/>
              <w:autoSpaceDE/>
              <w:autoSpaceDN/>
              <w:adjustRightInd/>
              <w:jc w:val="center"/>
              <w:rPr>
                <w:rFonts w:ascii="Times New Roman" w:hAnsi="Times New Roman"/>
                <w:b/>
                <w:bCs/>
              </w:rPr>
            </w:pPr>
            <w:r w:rsidRPr="00E60F16">
              <w:rPr>
                <w:rFonts w:ascii="Times New Roman" w:hAnsi="Times New Roman"/>
                <w:b/>
                <w:bCs/>
              </w:rPr>
              <w:t>$</w:t>
            </w:r>
            <w:r w:rsidRPr="00E60F16" w:rsidR="00026C61">
              <w:rPr>
                <w:rFonts w:ascii="Times New Roman" w:hAnsi="Times New Roman"/>
                <w:b/>
                <w:bCs/>
              </w:rPr>
              <w:t>61,07</w:t>
            </w:r>
            <w:r w:rsidR="00360E92">
              <w:rPr>
                <w:rFonts w:ascii="Times New Roman" w:hAnsi="Times New Roman"/>
                <w:b/>
                <w:bCs/>
              </w:rPr>
              <w:t>8</w:t>
            </w:r>
          </w:p>
        </w:tc>
      </w:tr>
    </w:tbl>
    <w:p w:rsidR="008052BF" w:rsidRPr="00E60F16" w:rsidP="000D3363" w14:paraId="4D98FF2A" w14:textId="77777777">
      <w:pPr>
        <w:keepNext/>
        <w:widowControl/>
        <w:autoSpaceDE/>
        <w:autoSpaceDN/>
        <w:adjustRightInd/>
        <w:jc w:val="center"/>
        <w:rPr>
          <w:rFonts w:ascii="Times New Roman" w:hAnsi="Times New Roman"/>
          <w:b/>
          <w:bCs/>
        </w:rPr>
      </w:pPr>
    </w:p>
    <w:p w:rsidR="005F39B8" w:rsidRPr="00E60F16" w:rsidP="00E60FB0" w14:paraId="0181C567" w14:textId="77777777">
      <w:pPr>
        <w:widowControl/>
        <w:autoSpaceDE/>
        <w:autoSpaceDN/>
        <w:adjustRightInd/>
        <w:rPr>
          <w:rFonts w:ascii="Times New Roman" w:hAnsi="Times New Roman"/>
          <w:highlight w:val="yellow"/>
        </w:rPr>
      </w:pPr>
    </w:p>
    <w:p w:rsidR="00CD215D" w:rsidRPr="00E60F16" w:rsidP="007E5643" w14:paraId="6A7EBD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rPr>
      </w:pPr>
      <w:r w:rsidRPr="00E60F16">
        <w:rPr>
          <w:rFonts w:ascii="Times New Roman" w:hAnsi="Times New Roman"/>
          <w:b/>
        </w:rPr>
        <w:t xml:space="preserve">13.  Provide an estimate of </w:t>
      </w:r>
      <w:r w:rsidRPr="00E60F16" w:rsidR="00C667F3">
        <w:rPr>
          <w:rFonts w:ascii="Times New Roman" w:hAnsi="Times New Roman"/>
          <w:b/>
        </w:rPr>
        <w:t>the tot</w:t>
      </w:r>
      <w:r w:rsidRPr="00E60F16">
        <w:rPr>
          <w:rFonts w:ascii="Times New Roman" w:hAnsi="Times New Roman"/>
          <w:b/>
        </w:rPr>
        <w:t xml:space="preserve">al annual cost burden to respondents or recordkeepers resulting from the collection of information.  (Do not include the cost of any hour </w:t>
      </w:r>
      <w:r w:rsidRPr="00E60F16" w:rsidR="00C667F3">
        <w:rPr>
          <w:rFonts w:ascii="Times New Roman" w:hAnsi="Times New Roman"/>
          <w:b/>
        </w:rPr>
        <w:t>burden shown in Items 12 and 14</w:t>
      </w:r>
      <w:r w:rsidRPr="00E60F16">
        <w:rPr>
          <w:rFonts w:ascii="Times New Roman" w:hAnsi="Times New Roman"/>
          <w:b/>
        </w:rPr>
        <w:t>)</w:t>
      </w:r>
      <w:r w:rsidRPr="00E60F16" w:rsidR="00C667F3">
        <w:rPr>
          <w:rFonts w:ascii="Times New Roman" w:hAnsi="Times New Roman"/>
          <w:b/>
        </w:rPr>
        <w:t>.</w:t>
      </w:r>
    </w:p>
    <w:p w:rsidR="007454B3" w:rsidRPr="00E60F16" w:rsidP="007E5643" w14:paraId="1B3539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p>
    <w:p w:rsidR="00584F8D" w:rsidRPr="00E60F16" w:rsidP="000C767F" w14:paraId="63E97040" w14:textId="77777777">
      <w:pPr>
        <w:pStyle w:val="ListParagraph"/>
        <w:widowControl/>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60F16">
        <w:rPr>
          <w:rFonts w:ascii="Times New Roman" w:hAnsi="Times New Roman"/>
          <w:b/>
        </w:rPr>
        <w:t>T</w:t>
      </w:r>
      <w:r w:rsidRPr="00E60F16" w:rsidR="00CD215D">
        <w:rPr>
          <w:rFonts w:ascii="Times New Roman" w:hAnsi="Times New Roman"/>
          <w:b/>
        </w:rPr>
        <w:t>he cost estimate should be split into two components:</w:t>
      </w:r>
      <w:r w:rsidRPr="00E60F16" w:rsidR="00AB4DC3">
        <w:rPr>
          <w:rFonts w:ascii="Times New Roman" w:hAnsi="Times New Roman"/>
          <w:b/>
        </w:rPr>
        <w:t xml:space="preserve"> (a) a total capital</w:t>
      </w:r>
    </w:p>
    <w:p w:rsidR="006F6E13" w:rsidRPr="00E60F16" w:rsidP="00584F8D" w14:paraId="0D843D0A"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60F16">
        <w:rPr>
          <w:rFonts w:ascii="Times New Roman" w:hAnsi="Times New Roman"/>
          <w:b/>
        </w:rPr>
        <w:t>A</w:t>
      </w:r>
      <w:r w:rsidRPr="00E60F16" w:rsidR="00AB4DC3">
        <w:rPr>
          <w:rFonts w:ascii="Times New Roman" w:hAnsi="Times New Roman"/>
          <w:b/>
        </w:rPr>
        <w:t>nd</w:t>
      </w:r>
      <w:r w:rsidRPr="00E60F16">
        <w:rPr>
          <w:rFonts w:ascii="Times New Roman" w:hAnsi="Times New Roman"/>
          <w:b/>
        </w:rPr>
        <w:t xml:space="preserve"> </w:t>
      </w:r>
      <w:r w:rsidRPr="00E60F16" w:rsidR="00AB4DC3">
        <w:rPr>
          <w:rFonts w:ascii="Times New Roman" w:hAnsi="Times New Roman"/>
          <w:b/>
        </w:rPr>
        <w:t xml:space="preserve">start </w:t>
      </w:r>
      <w:r w:rsidRPr="00E60F16" w:rsidR="00CD215D">
        <w:rPr>
          <w:rFonts w:ascii="Times New Roman" w:hAnsi="Times New Roman"/>
          <w:b/>
        </w:rPr>
        <w:t xml:space="preserve">up cost component </w:t>
      </w:r>
      <w:r w:rsidRPr="00E60F16" w:rsidR="00C667F3">
        <w:rPr>
          <w:rFonts w:ascii="Times New Roman" w:hAnsi="Times New Roman"/>
          <w:b/>
        </w:rPr>
        <w:t>(</w:t>
      </w:r>
      <w:r w:rsidRPr="00E60F16" w:rsidR="00CD215D">
        <w:rPr>
          <w:rFonts w:ascii="Times New Roman" w:hAnsi="Times New Roman"/>
          <w:b/>
        </w:rPr>
        <w:t>annualized over its expected useful life)</w:t>
      </w:r>
      <w:r w:rsidRPr="00E60F16" w:rsidR="00C667F3">
        <w:rPr>
          <w:rFonts w:ascii="Times New Roman" w:hAnsi="Times New Roman"/>
          <w:b/>
        </w:rPr>
        <w:t>;</w:t>
      </w:r>
      <w:r w:rsidRPr="00E60F16" w:rsidR="00CD215D">
        <w:rPr>
          <w:rFonts w:ascii="Times New Roman" w:hAnsi="Times New Roman"/>
          <w:b/>
        </w:rPr>
        <w:t xml:space="preserve"> and (b) a</w:t>
      </w:r>
    </w:p>
    <w:p w:rsidR="00584F8D" w:rsidRPr="00E60F16" w:rsidP="00584F8D" w14:paraId="252670CA"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60F16">
        <w:rPr>
          <w:rFonts w:ascii="Times New Roman" w:hAnsi="Times New Roman"/>
          <w:b/>
        </w:rPr>
        <w:t xml:space="preserve">total operation and </w:t>
      </w:r>
      <w:r w:rsidRPr="00E60F16" w:rsidR="006F6E13">
        <w:rPr>
          <w:rFonts w:ascii="Times New Roman" w:hAnsi="Times New Roman"/>
          <w:b/>
        </w:rPr>
        <w:t>m</w:t>
      </w:r>
      <w:r w:rsidRPr="00E60F16">
        <w:rPr>
          <w:rFonts w:ascii="Times New Roman" w:hAnsi="Times New Roman"/>
          <w:b/>
        </w:rPr>
        <w:t>aintenance and purchase of se</w:t>
      </w:r>
      <w:r w:rsidRPr="00E60F16" w:rsidR="006F6E13">
        <w:rPr>
          <w:rFonts w:ascii="Times New Roman" w:hAnsi="Times New Roman"/>
          <w:b/>
        </w:rPr>
        <w:t xml:space="preserve">rvice component.  </w:t>
      </w:r>
    </w:p>
    <w:p w:rsidR="00584F8D" w:rsidRPr="00E60F16" w:rsidP="00584F8D" w14:paraId="4EC1CC2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60F16">
        <w:rPr>
          <w:rFonts w:ascii="Times New Roman" w:hAnsi="Times New Roman"/>
          <w:b/>
        </w:rPr>
        <w:tab/>
      </w:r>
      <w:r w:rsidRPr="00E60F16">
        <w:rPr>
          <w:rFonts w:ascii="Times New Roman" w:hAnsi="Times New Roman"/>
          <w:b/>
        </w:rPr>
        <w:tab/>
      </w:r>
      <w:r w:rsidRPr="00E60F16" w:rsidR="006F6E13">
        <w:rPr>
          <w:rFonts w:ascii="Times New Roman" w:hAnsi="Times New Roman"/>
          <w:b/>
        </w:rPr>
        <w:t>The estimates</w:t>
      </w:r>
      <w:r w:rsidRPr="00E60F16">
        <w:rPr>
          <w:rFonts w:ascii="Times New Roman" w:hAnsi="Times New Roman"/>
          <w:b/>
        </w:rPr>
        <w:t xml:space="preserve"> </w:t>
      </w:r>
      <w:r w:rsidRPr="00E60F16" w:rsidR="00CD215D">
        <w:rPr>
          <w:rFonts w:ascii="Times New Roman" w:hAnsi="Times New Roman"/>
          <w:b/>
        </w:rPr>
        <w:t xml:space="preserve">should take into account costs associated with generating, </w:t>
      </w:r>
    </w:p>
    <w:p w:rsidR="00584F8D" w:rsidRPr="00E60F16" w:rsidP="00584F8D" w14:paraId="7BC1B4A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60F16">
        <w:rPr>
          <w:rFonts w:ascii="Times New Roman" w:hAnsi="Times New Roman"/>
          <w:b/>
        </w:rPr>
        <w:tab/>
      </w:r>
      <w:r w:rsidRPr="00E60F16">
        <w:rPr>
          <w:rFonts w:ascii="Times New Roman" w:hAnsi="Times New Roman"/>
          <w:b/>
        </w:rPr>
        <w:tab/>
      </w:r>
      <w:r w:rsidRPr="00E60F16" w:rsidR="00CD215D">
        <w:rPr>
          <w:rFonts w:ascii="Times New Roman" w:hAnsi="Times New Roman"/>
          <w:b/>
        </w:rPr>
        <w:t xml:space="preserve">maintaining, and disclosing or providing the information.  Include descriptions of </w:t>
      </w:r>
    </w:p>
    <w:p w:rsidR="00CD215D" w:rsidRPr="00E60F16" w:rsidP="00584F8D" w14:paraId="513D601C"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E60F16">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E60F16" w:rsidP="00584F8D" w14:paraId="3A9CF767"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E60F16" w:rsidP="00AB4DC3" w14:paraId="32CBED1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60F1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E60F16" w:rsidP="00CD215D" w14:paraId="5453F1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E60F16" w:rsidP="00CD215D" w14:paraId="3368CE7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60F1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C767F" w:rsidRPr="00E60F16" w:rsidP="000C767F" w14:paraId="56C6123C" w14:textId="77777777">
      <w:pPr>
        <w:pStyle w:val="ListParagraph"/>
        <w:rPr>
          <w:rFonts w:ascii="Times New Roman" w:hAnsi="Times New Roman"/>
          <w:b/>
        </w:rPr>
      </w:pPr>
    </w:p>
    <w:p w:rsidR="000C767F" w:rsidRPr="00E60F16" w:rsidP="000C767F" w14:paraId="07B661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In general, under the Cooperative Agreement, OSHA reimburses states ninety (90) percent of the budget for implementing Consultation programs.  OSHA and state On-Site Consultation programs will not incur the estimated cost for participating in any study or analysis described herein as a separate additional cost.  Capital </w:t>
      </w:r>
      <w:r w:rsidR="007867EA">
        <w:rPr>
          <w:rFonts w:ascii="Times New Roman" w:hAnsi="Times New Roman"/>
        </w:rPr>
        <w:t>costs</w:t>
      </w:r>
      <w:r w:rsidRPr="00E60F16">
        <w:rPr>
          <w:rFonts w:ascii="Times New Roman" w:hAnsi="Times New Roman"/>
        </w:rPr>
        <w:t xml:space="preserve"> and other costs associated with running the Consultation program will not be incurred as </w:t>
      </w:r>
      <w:r w:rsidR="007867EA">
        <w:rPr>
          <w:rFonts w:ascii="Times New Roman" w:hAnsi="Times New Roman"/>
        </w:rPr>
        <w:t>separate additional costs</w:t>
      </w:r>
      <w:r w:rsidRPr="00E60F16">
        <w:rPr>
          <w:rFonts w:ascii="Times New Roman" w:hAnsi="Times New Roman"/>
        </w:rPr>
        <w:t xml:space="preserve"> for which OSHA will reimburse Consultation programs.</w:t>
      </w:r>
    </w:p>
    <w:p w:rsidR="000C767F" w:rsidRPr="00E60F16" w:rsidP="000C767F" w14:paraId="7AC99C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rPr>
        <w:tab/>
      </w:r>
    </w:p>
    <w:p w:rsidR="000C767F" w:rsidRPr="00E60F16" w:rsidP="000C767F" w14:paraId="237322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rPr>
        <w:tab/>
      </w:r>
      <w:r w:rsidRPr="00E60F16">
        <w:rPr>
          <w:rFonts w:ascii="Times New Roman" w:hAnsi="Times New Roman"/>
        </w:rPr>
        <w:tab/>
        <w:t xml:space="preserve">The Consultation Annual Program Plan (CAPP) is a requirement of the Cooperative Agreement between OSHA and each state On-Site Consultation program.  The CAPP must include the projected number of the different types of consultation services that the Consultation program intends to conduct during the fiscal year (FY; e.g., consultation visits, compliance assistance activities, training).  The activities conducted by state Consultation programs to collect occupational safety and health information </w:t>
      </w:r>
      <w:r w:rsidRPr="00E60F16" w:rsidR="00D415DD">
        <w:rPr>
          <w:rFonts w:ascii="Times New Roman" w:hAnsi="Times New Roman"/>
        </w:rPr>
        <w:t>for the Pilot Study</w:t>
      </w:r>
      <w:r w:rsidRPr="00E60F16">
        <w:rPr>
          <w:rFonts w:ascii="Times New Roman" w:hAnsi="Times New Roman"/>
        </w:rPr>
        <w:t xml:space="preserve"> will count towards meeting the projected number of consultative services in the CAPP. </w:t>
      </w:r>
    </w:p>
    <w:p w:rsidR="00FF1554" w:rsidRPr="00E60F16" w:rsidP="000C767F" w14:paraId="13112B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p>
    <w:p w:rsidR="00FF1554" w:rsidRPr="00E60F16" w:rsidP="000C767F" w14:paraId="14C1C2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rPr>
      </w:pPr>
      <w:r w:rsidRPr="00E60F16">
        <w:rPr>
          <w:rFonts w:ascii="Times New Roman" w:hAnsi="Times New Roman"/>
        </w:rPr>
        <w:tab/>
        <w:t xml:space="preserve">   There are no additional costs to employers </w:t>
      </w:r>
      <w:r w:rsidRPr="00E60F16" w:rsidR="003E074F">
        <w:rPr>
          <w:rFonts w:ascii="Times New Roman" w:hAnsi="Times New Roman"/>
        </w:rPr>
        <w:t xml:space="preserve">who voluntarily use consultation services </w:t>
      </w:r>
      <w:r w:rsidRPr="00E60F16">
        <w:rPr>
          <w:rFonts w:ascii="Times New Roman" w:hAnsi="Times New Roman"/>
        </w:rPr>
        <w:t>other than their time.</w:t>
      </w:r>
    </w:p>
    <w:p w:rsidR="00C274EC" w:rsidRPr="00E60F16" w:rsidP="000D5195" w14:paraId="684BCA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3D81" w:rsidRPr="00E60F16" w:rsidP="00690F56" w14:paraId="3E9141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ab/>
      </w:r>
      <w:r w:rsidRPr="00E60F16">
        <w:rPr>
          <w:rFonts w:ascii="Times New Roman" w:hAnsi="Times New Roman"/>
        </w:rPr>
        <w:tab/>
      </w:r>
    </w:p>
    <w:p w:rsidR="00761800" w:rsidRPr="00E60F16" w:rsidP="00761800" w14:paraId="25FECE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w:t>
      </w:r>
      <w:r w:rsidRPr="00E60F16">
        <w:rPr>
          <w:rFonts w:ascii="Times New Roman" w:hAnsi="Times New Roman"/>
          <w:b/>
          <w:bCs/>
        </w:rPr>
        <w:t>printing, and support staff), any other expense that would not have been incurred</w:t>
      </w:r>
      <w:r w:rsidRPr="00E60F16">
        <w:rPr>
          <w:rFonts w:ascii="Times New Roman" w:hAnsi="Times New Roman"/>
        </w:rPr>
        <w:t xml:space="preserve"> </w:t>
      </w:r>
      <w:r w:rsidRPr="00E60F16">
        <w:rPr>
          <w:rFonts w:ascii="Times New Roman" w:hAnsi="Times New Roman"/>
          <w:b/>
          <w:bCs/>
        </w:rPr>
        <w:t>without this collection of information.  Agencies also may aggregate cost estimates from Items 12, 13, and 14 into a single table.</w:t>
      </w:r>
    </w:p>
    <w:p w:rsidR="00761800" w:rsidRPr="00E60F16" w:rsidP="00761800" w14:paraId="3B505A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61800" w:rsidRPr="00E60F16" w:rsidP="00761800" w14:paraId="14A7E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pre-test, pilot consultation visits, SHP assessments, follow-up study, Prospective Analysis and data analyses are one-time efforts initially planned to occur over a 3-year period that involve annualized costs to the Federal Government.  </w:t>
      </w:r>
    </w:p>
    <w:p w:rsidR="00761800" w:rsidRPr="00E60F16" w:rsidP="00761800" w14:paraId="098094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761800" w:rsidRPr="00E60F16" w:rsidP="00761800" w14:paraId="24BB7F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E60F16">
        <w:rPr>
          <w:rFonts w:ascii="Times New Roman" w:hAnsi="Times New Roman"/>
        </w:rPr>
        <w:t>OSHA obtained OMB approval to begin the Pilot Study in July 2022</w:t>
      </w:r>
      <w:r w:rsidRPr="00E60F16">
        <w:rPr>
          <w:rFonts w:ascii="Times New Roman" w:hAnsi="Times New Roman"/>
          <w:bCs/>
        </w:rPr>
        <w:t>.  Since then, the pre-test has been completed; 326 pilot workplace SHP assessments have been conducted during on-site consultation visits by Consultation programs nationwide, out of the total number of 350 planned assessments.  The consultation visits with the SHP assessments have taken longer than initially estimated.  Consequently, the Prospective Analysis and data analyses has not commenced.</w:t>
      </w:r>
    </w:p>
    <w:p w:rsidR="00761800" w:rsidRPr="00E60F16" w:rsidP="00761800" w14:paraId="48152D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61800" w:rsidRPr="00E60F16" w:rsidP="00761800" w14:paraId="6F7AAA77" w14:textId="77777777">
      <w:pPr>
        <w:ind w:left="720"/>
        <w:rPr>
          <w:rFonts w:ascii="Times New Roman" w:hAnsi="Times New Roman"/>
        </w:rPr>
      </w:pPr>
      <w:r w:rsidRPr="00E60F16">
        <w:rPr>
          <w:rFonts w:ascii="Times New Roman" w:hAnsi="Times New Roman"/>
          <w:b/>
          <w:bCs/>
        </w:rPr>
        <w:t>OSHA estimated annualized cost as follows in the June 2022 request for approval to OMB</w:t>
      </w:r>
      <w:r w:rsidRPr="00E60F16">
        <w:rPr>
          <w:rFonts w:ascii="Times New Roman" w:hAnsi="Times New Roman"/>
        </w:rPr>
        <w:t xml:space="preserve">:  In FY 2022, from October to March, OSHA expended a total of $69,708.00 for data collection preparation expenses.  This included $53,923 at an average hourly rate of $115.39 (i.e., an estimated 467 hours) for two (2) Consultation Program Managers and a psychometrician; and $15,785 at an average hourly rate of $73.96 (i.e., an estimated 213 hours) for a graduate research assistant.  OSHA estimated maintaining the same level of technical support throughout the Pilot Study, therefore, an additional $69,708.00 was estimated for April to September 2022, resulting in a total estimate of $139,416 for FY 2022.   Going forward OSHA anticipated the same level of support annually from FY 2022-2025.  Therefore, the annualized cost to the government was estimated at $139,416 for total data collection costs to the government of $416,248 over 3 years (i.e., June 2022 to June 2025).  </w:t>
      </w:r>
    </w:p>
    <w:p w:rsidR="00761800" w:rsidRPr="00E60F16" w:rsidP="00761800" w14:paraId="4FEA9B54" w14:textId="77777777">
      <w:pPr>
        <w:ind w:left="720"/>
        <w:rPr>
          <w:rFonts w:ascii="Times New Roman" w:hAnsi="Times New Roman"/>
        </w:rPr>
      </w:pPr>
    </w:p>
    <w:p w:rsidR="00761800" w:rsidRPr="00761800" w:rsidP="00761800" w14:paraId="7655C858" w14:textId="77777777">
      <w:pPr>
        <w:ind w:left="720"/>
        <w:rPr>
          <w:rFonts w:ascii="Times New Roman" w:hAnsi="Times New Roman"/>
          <w:u w:val="single"/>
        </w:rPr>
      </w:pPr>
      <w:r w:rsidRPr="00A45D91">
        <w:rPr>
          <w:rFonts w:ascii="Times New Roman" w:hAnsi="Times New Roman"/>
        </w:rPr>
        <w:t xml:space="preserve">However, the planned scope of work was not completed as previously scheduled and the actual additional cost incurred by OSHA as of September 2024 was $54,417, making a total cost of $124,125 (i.e., $69,708 + $54,417) from FY 2022 to 2024.  </w:t>
      </w:r>
      <w:r w:rsidRPr="00761800">
        <w:rPr>
          <w:rFonts w:ascii="Times New Roman" w:hAnsi="Times New Roman"/>
          <w:u w:val="single"/>
        </w:rPr>
        <w:t xml:space="preserve">Therefore, OSHA estimates an annualized cost of $41,375, assuming the same level of work and technical support, to complete the Pilot Study. </w:t>
      </w:r>
    </w:p>
    <w:p w:rsidR="00761800" w:rsidRPr="00E60F16" w:rsidP="00761800" w14:paraId="53F3C836" w14:textId="77777777">
      <w:pPr>
        <w:ind w:left="720"/>
        <w:rPr>
          <w:rFonts w:ascii="Times New Roman" w:hAnsi="Times New Roman"/>
        </w:rPr>
      </w:pPr>
    </w:p>
    <w:tbl>
      <w:tblPr>
        <w:tblStyle w:val="TableGrid"/>
        <w:tblW w:w="0" w:type="auto"/>
        <w:tblInd w:w="720" w:type="dxa"/>
        <w:tblLook w:val="04A0"/>
      </w:tblPr>
      <w:tblGrid>
        <w:gridCol w:w="4330"/>
        <w:gridCol w:w="2775"/>
      </w:tblGrid>
      <w:tr w14:paraId="5524ED0D" w14:textId="77777777" w:rsidTr="0027775E">
        <w:tblPrEx>
          <w:tblW w:w="0" w:type="auto"/>
          <w:tblInd w:w="720" w:type="dxa"/>
          <w:tblLook w:val="04A0"/>
        </w:tblPrEx>
        <w:tc>
          <w:tcPr>
            <w:tcW w:w="4330" w:type="dxa"/>
            <w:shd w:val="clear" w:color="auto" w:fill="8DB3E2"/>
          </w:tcPr>
          <w:p w:rsidR="00761800" w:rsidRPr="00E60F16" w:rsidP="0027775E" w14:paraId="4A549D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Description</w:t>
            </w:r>
          </w:p>
        </w:tc>
        <w:tc>
          <w:tcPr>
            <w:tcW w:w="2775" w:type="dxa"/>
            <w:shd w:val="clear" w:color="auto" w:fill="8DB3E2"/>
          </w:tcPr>
          <w:p w:rsidR="00761800" w:rsidRPr="00E60F16" w:rsidP="0027775E" w14:paraId="2B2568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60F16">
              <w:rPr>
                <w:rFonts w:ascii="Times New Roman" w:hAnsi="Times New Roman"/>
                <w:b/>
                <w:bCs/>
              </w:rPr>
              <w:t>Estimated Annual Cost</w:t>
            </w:r>
          </w:p>
        </w:tc>
      </w:tr>
      <w:tr w14:paraId="05AB8976" w14:textId="77777777" w:rsidTr="0027775E">
        <w:tblPrEx>
          <w:tblW w:w="0" w:type="auto"/>
          <w:tblInd w:w="720" w:type="dxa"/>
          <w:tblLook w:val="04A0"/>
        </w:tblPrEx>
        <w:tc>
          <w:tcPr>
            <w:tcW w:w="4330" w:type="dxa"/>
          </w:tcPr>
          <w:p w:rsidR="00761800" w:rsidRPr="00E60F16" w:rsidP="0027775E" w14:paraId="04A6ED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October 2024 to September 2025</w:t>
            </w:r>
          </w:p>
        </w:tc>
        <w:tc>
          <w:tcPr>
            <w:tcW w:w="2775" w:type="dxa"/>
          </w:tcPr>
          <w:p w:rsidR="00761800" w:rsidRPr="00E60F16" w:rsidP="0027775E" w14:paraId="12EF69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w:t>
            </w:r>
            <w:r>
              <w:rPr>
                <w:rFonts w:ascii="Times New Roman" w:hAnsi="Times New Roman"/>
              </w:rPr>
              <w:t>41,375</w:t>
            </w:r>
          </w:p>
        </w:tc>
      </w:tr>
      <w:tr w14:paraId="0645AC7F" w14:textId="77777777" w:rsidTr="0027775E">
        <w:tblPrEx>
          <w:tblW w:w="0" w:type="auto"/>
          <w:tblInd w:w="720" w:type="dxa"/>
          <w:tblLook w:val="04A0"/>
        </w:tblPrEx>
        <w:tc>
          <w:tcPr>
            <w:tcW w:w="4330" w:type="dxa"/>
          </w:tcPr>
          <w:p w:rsidR="00761800" w:rsidRPr="00E60F16" w:rsidP="0027775E" w14:paraId="20C51C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October 2025 to September 2026</w:t>
            </w:r>
          </w:p>
        </w:tc>
        <w:tc>
          <w:tcPr>
            <w:tcW w:w="2775" w:type="dxa"/>
          </w:tcPr>
          <w:p w:rsidR="00761800" w:rsidRPr="00E60F16" w:rsidP="0027775E" w14:paraId="44EAFF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w:t>
            </w:r>
            <w:r>
              <w:rPr>
                <w:rFonts w:ascii="Times New Roman" w:hAnsi="Times New Roman"/>
              </w:rPr>
              <w:t>41,375</w:t>
            </w:r>
          </w:p>
        </w:tc>
      </w:tr>
      <w:tr w14:paraId="69DCE4C2" w14:textId="77777777" w:rsidTr="0027775E">
        <w:tblPrEx>
          <w:tblW w:w="0" w:type="auto"/>
          <w:tblInd w:w="720" w:type="dxa"/>
          <w:tblLook w:val="04A0"/>
        </w:tblPrEx>
        <w:tc>
          <w:tcPr>
            <w:tcW w:w="4330" w:type="dxa"/>
          </w:tcPr>
          <w:p w:rsidR="00761800" w:rsidRPr="00E60F16" w:rsidP="0027775E" w14:paraId="39F743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October 2026 to September 2027</w:t>
            </w:r>
          </w:p>
        </w:tc>
        <w:tc>
          <w:tcPr>
            <w:tcW w:w="2775" w:type="dxa"/>
          </w:tcPr>
          <w:p w:rsidR="00761800" w:rsidRPr="00E60F16" w:rsidP="0027775E" w14:paraId="5DE65F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w:t>
            </w:r>
            <w:r>
              <w:rPr>
                <w:rFonts w:ascii="Times New Roman" w:hAnsi="Times New Roman"/>
              </w:rPr>
              <w:t>41,375</w:t>
            </w:r>
          </w:p>
        </w:tc>
      </w:tr>
      <w:tr w14:paraId="354B4B7A" w14:textId="77777777" w:rsidTr="0027775E">
        <w:tblPrEx>
          <w:tblW w:w="0" w:type="auto"/>
          <w:tblInd w:w="720" w:type="dxa"/>
          <w:tblLook w:val="04A0"/>
        </w:tblPrEx>
        <w:tc>
          <w:tcPr>
            <w:tcW w:w="4330" w:type="dxa"/>
          </w:tcPr>
          <w:p w:rsidR="00761800" w:rsidRPr="00E60F16" w:rsidP="0027775E" w14:paraId="5A40C9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October 2027 to September 2028</w:t>
            </w:r>
          </w:p>
        </w:tc>
        <w:tc>
          <w:tcPr>
            <w:tcW w:w="2775" w:type="dxa"/>
          </w:tcPr>
          <w:p w:rsidR="00761800" w:rsidRPr="00E60F16" w:rsidP="0027775E" w14:paraId="028EA4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w:t>
            </w:r>
            <w:r>
              <w:rPr>
                <w:rFonts w:ascii="Times New Roman" w:hAnsi="Times New Roman"/>
              </w:rPr>
              <w:t>41,375</w:t>
            </w:r>
          </w:p>
        </w:tc>
      </w:tr>
      <w:tr w14:paraId="772B6850" w14:textId="77777777" w:rsidTr="0027775E">
        <w:tblPrEx>
          <w:tblW w:w="0" w:type="auto"/>
          <w:tblInd w:w="720" w:type="dxa"/>
          <w:tblLook w:val="04A0"/>
        </w:tblPrEx>
        <w:tc>
          <w:tcPr>
            <w:tcW w:w="4330" w:type="dxa"/>
          </w:tcPr>
          <w:p w:rsidR="00761800" w:rsidRPr="00E60F16" w:rsidP="0027775E" w14:paraId="249B5F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October 2028 to December 2028 (First Quarter FY 2029)</w:t>
            </w:r>
          </w:p>
        </w:tc>
        <w:tc>
          <w:tcPr>
            <w:tcW w:w="2775" w:type="dxa"/>
          </w:tcPr>
          <w:p w:rsidR="00761800" w:rsidRPr="00E60F16" w:rsidP="0027775E" w14:paraId="779DAE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w:t>
            </w:r>
            <w:r>
              <w:rPr>
                <w:rFonts w:ascii="Times New Roman" w:hAnsi="Times New Roman"/>
              </w:rPr>
              <w:t>10,344</w:t>
            </w:r>
          </w:p>
        </w:tc>
      </w:tr>
    </w:tbl>
    <w:p w:rsidR="00761800" w:rsidRPr="00E60F16" w:rsidP="00761800" w14:paraId="574DB06F" w14:textId="77777777">
      <w:pPr>
        <w:ind w:left="720"/>
        <w:rPr>
          <w:rFonts w:ascii="Times New Roman" w:hAnsi="Times New Roman"/>
        </w:rPr>
      </w:pPr>
    </w:p>
    <w:p w:rsidR="000F0359" w:rsidP="000E01FA" w14:paraId="0D2C84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761800" w:rsidRPr="00E60F16" w:rsidP="000E01FA" w14:paraId="4BE25E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EB421E" w:rsidRPr="00E60F16" w:rsidP="00690F56" w14:paraId="7FDB66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85565" w:rsidRPr="00E60F16" w:rsidP="007E5643" w14:paraId="1EFF78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b/>
          <w:bCs/>
        </w:rPr>
        <w:t>15.</w:t>
      </w:r>
      <w:r w:rsidRPr="00E60F16">
        <w:rPr>
          <w:rFonts w:ascii="Times New Roman" w:hAnsi="Times New Roman"/>
          <w:b/>
          <w:bCs/>
        </w:rPr>
        <w:tab/>
        <w:t>Explain the reasons for any</w:t>
      </w:r>
      <w:r w:rsidRPr="00E60F16" w:rsidR="00882AB5">
        <w:rPr>
          <w:rFonts w:ascii="Times New Roman" w:hAnsi="Times New Roman"/>
          <w:b/>
          <w:bCs/>
        </w:rPr>
        <w:t xml:space="preserve"> program changes or adjustments</w:t>
      </w:r>
      <w:r w:rsidRPr="00E60F16" w:rsidR="00882AB5">
        <w:rPr>
          <w:rFonts w:ascii="Times New Roman" w:hAnsi="Times New Roman"/>
        </w:rPr>
        <w:t>.</w:t>
      </w:r>
      <w:r w:rsidRPr="00E60F16" w:rsidR="009C39DF">
        <w:rPr>
          <w:rFonts w:ascii="Times New Roman" w:hAnsi="Times New Roman"/>
        </w:rPr>
        <w:t xml:space="preserve">  </w:t>
      </w:r>
    </w:p>
    <w:p w:rsidR="00993D7E" w:rsidRPr="00E60F16" w:rsidP="00D52610" w14:paraId="49BAFB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92F8D" w:rsidRPr="00FA3315" w:rsidP="00892F8D" w14:paraId="253D462A" w14:textId="77777777">
      <w:pPr>
        <w:tabs>
          <w:tab w:val="left" w:pos="-720"/>
          <w:tab w:val="left" w:pos="0"/>
          <w:tab w:val="right" w:pos="8678"/>
        </w:tabs>
        <w:ind w:left="720"/>
        <w:rPr>
          <w:rFonts w:ascii="Times New Roman" w:hAnsi="Times New Roman"/>
        </w:rPr>
      </w:pPr>
      <w:r>
        <w:rPr>
          <w:rFonts w:ascii="Times New Roman" w:hAnsi="Times New Roman"/>
        </w:rPr>
        <w:t>The agency is requesting a balance of 88</w:t>
      </w:r>
      <w:r w:rsidR="00525A88">
        <w:rPr>
          <w:rFonts w:ascii="Times New Roman" w:hAnsi="Times New Roman"/>
        </w:rPr>
        <w:t>8</w:t>
      </w:r>
      <w:r>
        <w:rPr>
          <w:rFonts w:ascii="Times New Roman" w:hAnsi="Times New Roman"/>
        </w:rPr>
        <w:t xml:space="preserve"> burden hours to complete the remaining </w:t>
      </w:r>
      <w:r w:rsidR="00162B16">
        <w:rPr>
          <w:rFonts w:ascii="Times New Roman" w:hAnsi="Times New Roman"/>
        </w:rPr>
        <w:t xml:space="preserve">tasks for the pilot study </w:t>
      </w:r>
      <w:r w:rsidR="00671E75">
        <w:rPr>
          <w:rFonts w:ascii="Times New Roman" w:hAnsi="Times New Roman"/>
        </w:rPr>
        <w:t>f</w:t>
      </w:r>
      <w:r w:rsidR="00162B16">
        <w:rPr>
          <w:rFonts w:ascii="Times New Roman" w:hAnsi="Times New Roman"/>
        </w:rPr>
        <w:t>rom 4</w:t>
      </w:r>
      <w:r w:rsidR="00677413">
        <w:rPr>
          <w:rFonts w:ascii="Times New Roman" w:hAnsi="Times New Roman"/>
        </w:rPr>
        <w:t>,</w:t>
      </w:r>
      <w:r w:rsidR="00162B16">
        <w:rPr>
          <w:rFonts w:ascii="Times New Roman" w:hAnsi="Times New Roman"/>
        </w:rPr>
        <w:t xml:space="preserve">974 </w:t>
      </w:r>
      <w:r w:rsidR="00E1066A">
        <w:rPr>
          <w:rFonts w:ascii="Times New Roman" w:hAnsi="Times New Roman"/>
        </w:rPr>
        <w:t xml:space="preserve">burden </w:t>
      </w:r>
      <w:r w:rsidR="004C2178">
        <w:rPr>
          <w:rFonts w:ascii="Times New Roman" w:hAnsi="Times New Roman"/>
        </w:rPr>
        <w:t xml:space="preserve">hours </w:t>
      </w:r>
      <w:r w:rsidR="00162B16">
        <w:rPr>
          <w:rFonts w:ascii="Times New Roman" w:hAnsi="Times New Roman"/>
        </w:rPr>
        <w:t>estimated to complete the entire pilot study.</w:t>
      </w:r>
    </w:p>
    <w:p w:rsidR="00690F56" w:rsidRPr="00E60F16" w:rsidP="00892F8D" w14:paraId="3AB96E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690F56" w:rsidRPr="00E60F16" w:rsidP="007E5643" w14:paraId="76C0F7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rPr>
      </w:pPr>
      <w:r w:rsidRPr="00E60F16">
        <w:rPr>
          <w:rFonts w:ascii="Times New Roman" w:hAnsi="Times New Roman"/>
          <w:b/>
          <w:bCs/>
        </w:rPr>
        <w:t>1</w:t>
      </w:r>
      <w:r w:rsidRPr="00E60F16" w:rsidR="00882AB5">
        <w:rPr>
          <w:rFonts w:ascii="Times New Roman" w:hAnsi="Times New Roman"/>
          <w:b/>
          <w:bCs/>
        </w:rPr>
        <w:t xml:space="preserve">6. </w:t>
      </w:r>
      <w:r w:rsidRPr="00E60F16">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E60F16">
        <w:rPr>
          <w:rFonts w:ascii="Times New Roman" w:hAnsi="Times New Roman"/>
        </w:rPr>
        <w:t>.</w:t>
      </w:r>
    </w:p>
    <w:p w:rsidR="00690F56" w:rsidRPr="00E60F16" w:rsidP="00690F56" w14:paraId="63E92A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60A7" w:rsidRPr="00E60F16" w:rsidP="003E60A7" w14:paraId="0310DF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rPr>
      </w:pPr>
      <w:r w:rsidRPr="00E60F16">
        <w:rPr>
          <w:rFonts w:ascii="Times New Roman" w:hAnsi="Times New Roman"/>
          <w:b/>
        </w:rPr>
        <w:t>Project Schedule</w:t>
      </w:r>
    </w:p>
    <w:p w:rsidR="003F09F6" w:rsidRPr="00E60F16" w:rsidP="00F60128" w14:paraId="3947BCB2" w14:textId="2A1ECA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60F16">
        <w:tab/>
        <w:t>On June 21, 2022, OSHA received OMB approval for the “Pilot Study and Prospective Analysis of the Draft Revised Form 33 (DRF33) Safety and Health Program Assessment Worksheet,” (i.e., OMB #1218-0280, Expiration Date: 6/30/25).  OSHA is requesting a 3</w:t>
      </w:r>
      <w:r w:rsidR="00761800">
        <w:t xml:space="preserve"> </w:t>
      </w:r>
      <w:r w:rsidRPr="00E60F16">
        <w:t xml:space="preserve">year extension to </w:t>
      </w:r>
      <w:r w:rsidR="005937FE">
        <w:t>6</w:t>
      </w:r>
      <w:r w:rsidRPr="00E60F16">
        <w:t>/3</w:t>
      </w:r>
      <w:r w:rsidR="005937FE">
        <w:t>0</w:t>
      </w:r>
      <w:r w:rsidRPr="00E60F16">
        <w:t xml:space="preserve">/28 to complete the studies. </w:t>
      </w:r>
    </w:p>
    <w:p w:rsidR="003F09F6" w:rsidRPr="00E60F16" w:rsidP="00B9707B" w14:paraId="101ECD4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07CDA" w:rsidRPr="00E60F16" w:rsidP="00B9707B" w14:paraId="08B55098"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E60F16">
        <w:rPr>
          <w:bCs/>
        </w:rPr>
        <w:tab/>
        <w:t>Following OMB</w:t>
      </w:r>
      <w:r w:rsidRPr="00E60F16" w:rsidR="00A20AD6">
        <w:rPr>
          <w:bCs/>
        </w:rPr>
        <w:t>’s initial</w:t>
      </w:r>
      <w:r w:rsidRPr="00E60F16">
        <w:rPr>
          <w:bCs/>
        </w:rPr>
        <w:t xml:space="preserve"> approval, OSHA commenced the Pilot Study of the DRF33 in July 2022.  Since then, the pre-test has been completed; 326 Pilot Study workplace SHP assessments using the DRF33 have been conducted during on-site consultation visits by Consultation programs nationwide, out of the total number of 350 planned.  However, the pilot consultation visits to workplaces with consultants from On-Site Consultation programs </w:t>
      </w:r>
      <w:r w:rsidRPr="00E60F16" w:rsidR="00A20AD6">
        <w:rPr>
          <w:bCs/>
        </w:rPr>
        <w:t xml:space="preserve">nationwide </w:t>
      </w:r>
      <w:r w:rsidRPr="00E60F16">
        <w:rPr>
          <w:bCs/>
        </w:rPr>
        <w:t xml:space="preserve">conducting comprehensive SHP assessments have taken longer than initially estimated.  Consequently, the Prospective Analysis has not </w:t>
      </w:r>
      <w:r w:rsidRPr="00E60F16" w:rsidR="0025464E">
        <w:rPr>
          <w:bCs/>
        </w:rPr>
        <w:t>commenced,</w:t>
      </w:r>
      <w:r w:rsidRPr="00E60F16">
        <w:rPr>
          <w:bCs/>
        </w:rPr>
        <w:t xml:space="preserve"> and the data analyses ha</w:t>
      </w:r>
      <w:r w:rsidRPr="00E60F16" w:rsidR="00A20AD6">
        <w:rPr>
          <w:bCs/>
        </w:rPr>
        <w:t>ve</w:t>
      </w:r>
      <w:r w:rsidRPr="00E60F16">
        <w:rPr>
          <w:bCs/>
        </w:rPr>
        <w:t xml:space="preserve"> not been accomplished.  </w:t>
      </w:r>
    </w:p>
    <w:p w:rsidR="00607CDA" w:rsidRPr="00E60F16" w:rsidP="00186327" w14:paraId="2EE1951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A012DB" w:rsidRPr="00E60F16" w:rsidP="000C738A" w14:paraId="1F222E5D"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E60F16">
        <w:rPr>
          <w:bCs/>
        </w:rPr>
        <w:tab/>
      </w:r>
      <w:r w:rsidRPr="00E60F16" w:rsidR="000C738A">
        <w:rPr>
          <w:bCs/>
        </w:rPr>
        <w:t>Given the pace of completion of Pilot Study consultation visits</w:t>
      </w:r>
      <w:r w:rsidR="0025464E">
        <w:rPr>
          <w:bCs/>
        </w:rPr>
        <w:t>,</w:t>
      </w:r>
      <w:r w:rsidRPr="00E60F16" w:rsidR="000C738A">
        <w:rPr>
          <w:bCs/>
        </w:rPr>
        <w:t xml:space="preserve"> additional time is needed to complete the remaining 24 SHP assessments.  These later visits would also require prospective injury and illness data collection 12 months from the visit date.  Therefore, OSHA anticipates that the Prospective Analysis will continue beyond September 2025 (to accommodate these visits.  Consequently, if it is necessary to conduct any Pilot Study follow-up SHP assessments to verify the effectiveness of any updates made to the DRF33 and ARG </w:t>
      </w:r>
      <w:r w:rsidR="0025464E">
        <w:rPr>
          <w:bCs/>
        </w:rPr>
        <w:t>resulting from</w:t>
      </w:r>
      <w:r w:rsidRPr="00E60F16" w:rsidR="000C738A">
        <w:rPr>
          <w:bCs/>
        </w:rPr>
        <w:t xml:space="preserve"> data analyses and other findings, such assessments would likely also occur beyond September 2025.  </w:t>
      </w:r>
      <w:r w:rsidRPr="00E60F16" w:rsidR="00164B9E">
        <w:rPr>
          <w:bCs/>
        </w:rPr>
        <w:t xml:space="preserve">Therefore, OSHA estimates </w:t>
      </w:r>
      <w:r w:rsidRPr="00E60F16" w:rsidR="003A27A3">
        <w:rPr>
          <w:bCs/>
        </w:rPr>
        <w:t>the following timeline:</w:t>
      </w:r>
    </w:p>
    <w:p w:rsidR="003A27A3" w:rsidRPr="00E60F16" w:rsidP="003A27A3" w14:paraId="7D595B6E"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Complete the remaining 24 SHP assessments by </w:t>
      </w:r>
      <w:r w:rsidRPr="00E60F16" w:rsidR="002C290E">
        <w:rPr>
          <w:bCs/>
        </w:rPr>
        <w:t>December</w:t>
      </w:r>
      <w:r w:rsidRPr="00E60F16">
        <w:rPr>
          <w:bCs/>
        </w:rPr>
        <w:t xml:space="preserve"> 202</w:t>
      </w:r>
      <w:r w:rsidRPr="00E60F16" w:rsidR="002C290E">
        <w:rPr>
          <w:bCs/>
        </w:rPr>
        <w:t>4</w:t>
      </w:r>
      <w:r w:rsidRPr="00E60F16">
        <w:rPr>
          <w:bCs/>
        </w:rPr>
        <w:t>.</w:t>
      </w:r>
    </w:p>
    <w:p w:rsidR="003A27A3" w:rsidRPr="00E60F16" w:rsidP="003A27A3" w14:paraId="68158D42"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Complete the Prospective Analysis by </w:t>
      </w:r>
      <w:r w:rsidRPr="00E60F16" w:rsidR="002C290E">
        <w:rPr>
          <w:bCs/>
        </w:rPr>
        <w:t>December</w:t>
      </w:r>
      <w:r w:rsidRPr="00E60F16">
        <w:rPr>
          <w:bCs/>
        </w:rPr>
        <w:t xml:space="preserve"> 202</w:t>
      </w:r>
      <w:r w:rsidRPr="00E60F16" w:rsidR="00BD67A3">
        <w:rPr>
          <w:bCs/>
        </w:rPr>
        <w:t>5</w:t>
      </w:r>
      <w:r w:rsidRPr="00E60F16">
        <w:rPr>
          <w:bCs/>
        </w:rPr>
        <w:t>.</w:t>
      </w:r>
    </w:p>
    <w:p w:rsidR="003A27A3" w:rsidRPr="00E60F16" w:rsidP="003A27A3" w14:paraId="1DD91863"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Complete the data analyses by </w:t>
      </w:r>
      <w:r w:rsidRPr="00E60F16" w:rsidR="002C290E">
        <w:rPr>
          <w:bCs/>
        </w:rPr>
        <w:t>March</w:t>
      </w:r>
      <w:r w:rsidRPr="00E60F16" w:rsidR="004B41B2">
        <w:rPr>
          <w:bCs/>
        </w:rPr>
        <w:t xml:space="preserve"> 202</w:t>
      </w:r>
      <w:r w:rsidRPr="00E60F16" w:rsidR="002C290E">
        <w:rPr>
          <w:bCs/>
        </w:rPr>
        <w:t>6</w:t>
      </w:r>
      <w:r w:rsidRPr="00E60F16" w:rsidR="004B41B2">
        <w:rPr>
          <w:bCs/>
        </w:rPr>
        <w:t>.</w:t>
      </w:r>
    </w:p>
    <w:p w:rsidR="004B41B2" w:rsidRPr="00E60F16" w:rsidP="003A27A3" w14:paraId="2C8947A9"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Complete any follow-up SHP assessments by </w:t>
      </w:r>
      <w:r w:rsidRPr="00E60F16" w:rsidR="002C290E">
        <w:rPr>
          <w:bCs/>
        </w:rPr>
        <w:t>June</w:t>
      </w:r>
      <w:r w:rsidRPr="00E60F16">
        <w:rPr>
          <w:bCs/>
        </w:rPr>
        <w:t xml:space="preserve"> 2026.</w:t>
      </w:r>
    </w:p>
    <w:p w:rsidR="00BA24EB" w:rsidRPr="00E60F16" w:rsidP="003A27A3" w14:paraId="298EF2FE"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Receive </w:t>
      </w:r>
      <w:r w:rsidRPr="00E60F16" w:rsidR="00F26B4B">
        <w:rPr>
          <w:bCs/>
        </w:rPr>
        <w:t xml:space="preserve">and incorporate </w:t>
      </w:r>
      <w:r w:rsidRPr="00E60F16" w:rsidR="00407425">
        <w:rPr>
          <w:bCs/>
        </w:rPr>
        <w:t xml:space="preserve">OSHCON </w:t>
      </w:r>
      <w:r w:rsidRPr="00E60F16" w:rsidR="00F26B4B">
        <w:rPr>
          <w:bCs/>
        </w:rPr>
        <w:t>feedback for the</w:t>
      </w:r>
      <w:r w:rsidRPr="00E60F16">
        <w:rPr>
          <w:bCs/>
        </w:rPr>
        <w:t xml:space="preserve"> revised Form 33</w:t>
      </w:r>
      <w:r w:rsidRPr="00E60F16" w:rsidR="00DB2AC8">
        <w:rPr>
          <w:bCs/>
        </w:rPr>
        <w:t xml:space="preserve"> and ARG</w:t>
      </w:r>
      <w:r w:rsidRPr="00E60F16">
        <w:rPr>
          <w:bCs/>
        </w:rPr>
        <w:t xml:space="preserve"> </w:t>
      </w:r>
      <w:r w:rsidRPr="00E60F16" w:rsidR="009F5731">
        <w:rPr>
          <w:bCs/>
        </w:rPr>
        <w:t>by September</w:t>
      </w:r>
      <w:r w:rsidRPr="00E60F16" w:rsidR="00407425">
        <w:rPr>
          <w:bCs/>
        </w:rPr>
        <w:t xml:space="preserve"> 202</w:t>
      </w:r>
      <w:r w:rsidRPr="00E60F16" w:rsidR="005C4D38">
        <w:rPr>
          <w:bCs/>
        </w:rPr>
        <w:t>6</w:t>
      </w:r>
      <w:r w:rsidRPr="00E60F16" w:rsidR="00407425">
        <w:rPr>
          <w:bCs/>
        </w:rPr>
        <w:t>.</w:t>
      </w:r>
    </w:p>
    <w:p w:rsidR="00407425" w:rsidRPr="00E60F16" w:rsidP="003A27A3" w14:paraId="6C0CB085"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Incorporate any additional OSHA feedback to the revised Form 33 and ARG to finalize it and receive OSHA approval by </w:t>
      </w:r>
      <w:r w:rsidRPr="00E60F16" w:rsidR="001242E4">
        <w:rPr>
          <w:bCs/>
        </w:rPr>
        <w:t>December</w:t>
      </w:r>
      <w:r w:rsidRPr="00E60F16">
        <w:rPr>
          <w:bCs/>
        </w:rPr>
        <w:t xml:space="preserve"> 202</w:t>
      </w:r>
      <w:r w:rsidRPr="00E60F16" w:rsidR="001242E4">
        <w:rPr>
          <w:bCs/>
        </w:rPr>
        <w:t>6</w:t>
      </w:r>
      <w:r w:rsidRPr="00E60F16">
        <w:rPr>
          <w:bCs/>
        </w:rPr>
        <w:t>.</w:t>
      </w:r>
    </w:p>
    <w:p w:rsidR="001242E4" w:rsidRPr="00E60F16" w:rsidP="001242E4" w14:paraId="3DDCCBA3"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Finalize Pilot Study findings and report by March 2027.</w:t>
      </w:r>
    </w:p>
    <w:p w:rsidR="00DB2AC8" w:rsidRPr="00E60F16" w:rsidP="003A27A3" w14:paraId="5A7D06A7" w14:textId="77777777">
      <w:pPr>
        <w:pStyle w:val="Level1"/>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60F16">
        <w:rPr>
          <w:bCs/>
        </w:rPr>
        <w:t xml:space="preserve">Receive </w:t>
      </w:r>
      <w:r w:rsidRPr="00E60F16" w:rsidR="00F26B4B">
        <w:rPr>
          <w:bCs/>
        </w:rPr>
        <w:t xml:space="preserve">the United States Department of Labor’s </w:t>
      </w:r>
      <w:r w:rsidRPr="00E60F16">
        <w:rPr>
          <w:bCs/>
        </w:rPr>
        <w:t xml:space="preserve">approval for implementation by </w:t>
      </w:r>
      <w:r w:rsidRPr="00E60F16" w:rsidR="001242E4">
        <w:rPr>
          <w:bCs/>
        </w:rPr>
        <w:t>June</w:t>
      </w:r>
      <w:r w:rsidRPr="00E60F16">
        <w:rPr>
          <w:bCs/>
        </w:rPr>
        <w:t xml:space="preserve"> 202</w:t>
      </w:r>
      <w:r w:rsidRPr="00E60F16" w:rsidR="001242E4">
        <w:rPr>
          <w:bCs/>
        </w:rPr>
        <w:t>7</w:t>
      </w:r>
      <w:r w:rsidRPr="00E60F16">
        <w:rPr>
          <w:bCs/>
        </w:rPr>
        <w:t>.</w:t>
      </w:r>
    </w:p>
    <w:p w:rsidR="00F26B4B" w:rsidRPr="00E60F16" w:rsidP="0086658F" w14:paraId="097517BA"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bCs/>
        </w:rPr>
      </w:pPr>
    </w:p>
    <w:p w:rsidR="001052C2" w:rsidRPr="00E60F16" w:rsidP="0086658F" w14:paraId="6C1BF2FD" w14:textId="77777777">
      <w:pPr>
        <w:pStyle w:val="Level1"/>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E60F16">
        <w:rPr>
          <w:bCs/>
        </w:rPr>
        <w:tab/>
        <w:t xml:space="preserve">An approval period </w:t>
      </w:r>
      <w:r w:rsidR="00F275EE">
        <w:rPr>
          <w:bCs/>
        </w:rPr>
        <w:t xml:space="preserve">spanning </w:t>
      </w:r>
      <w:r w:rsidR="0042257A">
        <w:rPr>
          <w:bCs/>
        </w:rPr>
        <w:t xml:space="preserve">June </w:t>
      </w:r>
      <w:r w:rsidR="00F275EE">
        <w:rPr>
          <w:bCs/>
        </w:rPr>
        <w:t xml:space="preserve">2028 will allow </w:t>
      </w:r>
      <w:r w:rsidRPr="00E60F16">
        <w:rPr>
          <w:bCs/>
        </w:rPr>
        <w:t>flexibility to readjust the timeline if necessary.</w:t>
      </w:r>
    </w:p>
    <w:p w:rsidR="00607CDA" w:rsidRPr="00E60F16" w:rsidP="00186327" w14:paraId="0745CB8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A20AD6" w:rsidRPr="00E60F16" w:rsidP="00186327" w14:paraId="1B9C9D1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0F16">
        <w:t xml:space="preserve">Despite this proposed schedule, OSHA intends to work vigorously to complete the Pilot Study as soon as possible, but prefers to maintain a </w:t>
      </w:r>
      <w:r w:rsidRPr="00E60F16" w:rsidR="008D5634">
        <w:t>c</w:t>
      </w:r>
      <w:r w:rsidRPr="00E60F16" w:rsidR="00F83DBF">
        <w:t>autious</w:t>
      </w:r>
      <w:r w:rsidRPr="00E60F16" w:rsidR="008D5634">
        <w:t xml:space="preserve"> timeline </w:t>
      </w:r>
      <w:r w:rsidRPr="00E60F16">
        <w:t>to preclude repeated requests for extensions to OMB.</w:t>
      </w:r>
    </w:p>
    <w:p w:rsidR="003E60A7" w:rsidRPr="00E60F16" w:rsidP="0086658F" w14:paraId="6242EF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3E60A7" w:rsidRPr="00E60F16" w:rsidP="00C7129F" w14:paraId="3CE000D9" w14:textId="77777777">
      <w:pPr>
        <w:keepNext/>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rPr>
      </w:pPr>
      <w:r w:rsidRPr="00E60F16">
        <w:rPr>
          <w:rFonts w:ascii="Times New Roman" w:hAnsi="Times New Roman"/>
          <w:b/>
        </w:rPr>
        <w:t xml:space="preserve">Publication in Peer-Reviewed Journal </w:t>
      </w:r>
    </w:p>
    <w:p w:rsidR="00404486" w:rsidRPr="00E60F16" w:rsidP="003E60A7" w14:paraId="788D65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Upon finalizing the Pilot Study, a report of procedures, results, and findings may be submitted to a notable </w:t>
      </w:r>
      <w:r w:rsidR="00F275EE">
        <w:rPr>
          <w:rFonts w:ascii="Times New Roman" w:hAnsi="Times New Roman"/>
        </w:rPr>
        <w:t>peer-reviewed</w:t>
      </w:r>
      <w:r w:rsidRPr="00E60F16">
        <w:rPr>
          <w:rFonts w:ascii="Times New Roman" w:hAnsi="Times New Roman"/>
        </w:rPr>
        <w:t xml:space="preserve"> journal in the field of occupational safety and health and/or a </w:t>
      </w:r>
      <w:r w:rsidRPr="00E60F16" w:rsidR="009A2C61">
        <w:rPr>
          <w:rFonts w:ascii="Times New Roman" w:hAnsi="Times New Roman"/>
        </w:rPr>
        <w:t>related field</w:t>
      </w:r>
      <w:r w:rsidRPr="00E60F16">
        <w:rPr>
          <w:rFonts w:ascii="Times New Roman" w:hAnsi="Times New Roman"/>
        </w:rPr>
        <w:t xml:space="preserve"> for publication to promote the high quality of no-cost consultative services available to small</w:t>
      </w:r>
      <w:r w:rsidRPr="00E60F16" w:rsidR="00301EAD">
        <w:rPr>
          <w:rFonts w:ascii="Times New Roman" w:hAnsi="Times New Roman"/>
        </w:rPr>
        <w:t>- and medium-sized</w:t>
      </w:r>
      <w:r w:rsidRPr="00E60F16">
        <w:rPr>
          <w:rFonts w:ascii="Times New Roman" w:hAnsi="Times New Roman"/>
        </w:rPr>
        <w:t xml:space="preserve"> businesses nationwide through On-Site Consultation programs, and advance efforts by OSHA to motivate workplaces to be proactive in implementing SHPs.  </w:t>
      </w:r>
    </w:p>
    <w:p w:rsidR="00404486" w:rsidRPr="00E60F16" w:rsidP="003E60A7" w14:paraId="638C91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085565" w:rsidRPr="00E60F16" w:rsidP="003E60A7" w14:paraId="22BAFD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In accordance with 29 CFR 1908, the identities of employers that participate in the Pilot Study will remain </w:t>
      </w:r>
      <w:r w:rsidRPr="00E60F16" w:rsidR="008B2150">
        <w:rPr>
          <w:rFonts w:ascii="Times New Roman" w:hAnsi="Times New Roman"/>
        </w:rPr>
        <w:t xml:space="preserve">private </w:t>
      </w:r>
      <w:r w:rsidRPr="00E60F16">
        <w:rPr>
          <w:rFonts w:ascii="Times New Roman" w:hAnsi="Times New Roman"/>
        </w:rPr>
        <w:t xml:space="preserve">and will not become public information under any circumstances (see #10 above), therefore, the narrative, tables and other charts depicting data will use terms such as mid-size or small-size businesses and not the actual names of employers that used consultative services.  Publication in a peer-reviewed journal may </w:t>
      </w:r>
      <w:r w:rsidRPr="00E60F16" w:rsidR="00404486">
        <w:rPr>
          <w:rFonts w:ascii="Times New Roman" w:hAnsi="Times New Roman"/>
        </w:rPr>
        <w:t>take place by</w:t>
      </w:r>
      <w:r w:rsidRPr="00E60F16" w:rsidR="0056787F">
        <w:rPr>
          <w:rFonts w:ascii="Times New Roman" w:hAnsi="Times New Roman"/>
        </w:rPr>
        <w:t xml:space="preserve"> </w:t>
      </w:r>
      <w:r w:rsidR="00B7605C">
        <w:rPr>
          <w:rFonts w:ascii="Times New Roman" w:hAnsi="Times New Roman"/>
        </w:rPr>
        <w:t xml:space="preserve">the third quarter of </w:t>
      </w:r>
      <w:r w:rsidRPr="00E60F16" w:rsidR="00404486">
        <w:rPr>
          <w:rFonts w:ascii="Times New Roman" w:hAnsi="Times New Roman"/>
        </w:rPr>
        <w:t>FY 202</w:t>
      </w:r>
      <w:r w:rsidRPr="00E60F16" w:rsidR="00615F67">
        <w:rPr>
          <w:rFonts w:ascii="Times New Roman" w:hAnsi="Times New Roman"/>
        </w:rPr>
        <w:t>8</w:t>
      </w:r>
      <w:r w:rsidRPr="00E60F16">
        <w:rPr>
          <w:rFonts w:ascii="Times New Roman" w:hAnsi="Times New Roman"/>
        </w:rPr>
        <w:t xml:space="preserve">.  </w:t>
      </w:r>
    </w:p>
    <w:p w:rsidR="003E60A7" w:rsidRPr="00E60F16" w:rsidP="00BA5459" w14:paraId="7A97B8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A0F56" w:rsidRPr="00E60F16" w:rsidP="00C7129F" w14:paraId="298DD1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u w:val="single"/>
        </w:rPr>
      </w:pPr>
      <w:r w:rsidRPr="00E60F16">
        <w:rPr>
          <w:rFonts w:ascii="Times New Roman" w:hAnsi="Times New Roman"/>
          <w:b/>
        </w:rPr>
        <w:t xml:space="preserve">Pilot </w:t>
      </w:r>
      <w:r w:rsidRPr="00E60F16" w:rsidR="00870AE8">
        <w:rPr>
          <w:rFonts w:ascii="Times New Roman" w:hAnsi="Times New Roman"/>
          <w:b/>
        </w:rPr>
        <w:t xml:space="preserve">Consultation Visits </w:t>
      </w:r>
      <w:r w:rsidRPr="00E60F16" w:rsidR="004C2F81">
        <w:rPr>
          <w:rFonts w:ascii="Times New Roman" w:hAnsi="Times New Roman"/>
          <w:b/>
        </w:rPr>
        <w:t>and Prospective Analyses</w:t>
      </w:r>
    </w:p>
    <w:p w:rsidR="00A76572" w:rsidRPr="00E60F16" w:rsidP="00A76572" w14:paraId="40B694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Consultants use the </w:t>
      </w:r>
      <w:r w:rsidR="006A12A3">
        <w:rPr>
          <w:rFonts w:ascii="Times New Roman" w:hAnsi="Times New Roman"/>
        </w:rPr>
        <w:t>web-based DRF33 to collect information on comprehensive SHP assessments of workplaces that they conduct when employers request such services. DRF33 is transcribed into a web-based data entry tool (e.g., Qualtrics) into which consultants enter their evaluations (e.g</w:t>
      </w:r>
      <w:r w:rsidRPr="00E60F16">
        <w:rPr>
          <w:rFonts w:ascii="Times New Roman" w:hAnsi="Times New Roman"/>
        </w:rPr>
        <w:t xml:space="preserve">., summary of findings based upon workplace SHP assessments, ratings for each of the 52 attributes, and recommendations to the employer).  </w:t>
      </w:r>
    </w:p>
    <w:p w:rsidR="00A76572" w:rsidRPr="00E60F16" w:rsidP="00A76572" w14:paraId="37698D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A76572" w14:paraId="675D37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The DRF33 </w:t>
      </w:r>
      <w:r w:rsidRPr="00E60F16" w:rsidR="00AE0A7A">
        <w:rPr>
          <w:rFonts w:ascii="Times New Roman" w:hAnsi="Times New Roman"/>
        </w:rPr>
        <w:t>is</w:t>
      </w:r>
      <w:r w:rsidRPr="00E60F16">
        <w:rPr>
          <w:rFonts w:ascii="Times New Roman" w:hAnsi="Times New Roman"/>
        </w:rPr>
        <w:t xml:space="preserve"> administered and scored by core element (i.e., a score is the summation of all ratings for all attributes within an element, or all elements combined).  There are seven (7) core elements of the DRF33</w:t>
      </w:r>
      <w:r w:rsidRPr="00E60F16" w:rsidR="00583ACD">
        <w:rPr>
          <w:rFonts w:ascii="Times New Roman" w:hAnsi="Times New Roman"/>
        </w:rPr>
        <w:t>:</w:t>
      </w:r>
      <w:r w:rsidRPr="00E60F16">
        <w:rPr>
          <w:rFonts w:ascii="Times New Roman" w:hAnsi="Times New Roman"/>
        </w:rPr>
        <w:t xml:space="preserve"> Management Leadership; Worker Participation; Hazard Identification and Assessment; Hazard Prevention and Control; Education and Training; Program Evaluation and Improvement; </w:t>
      </w:r>
      <w:r w:rsidRPr="00E60F16" w:rsidR="00583ACD">
        <w:rPr>
          <w:rFonts w:ascii="Times New Roman" w:hAnsi="Times New Roman"/>
        </w:rPr>
        <w:t xml:space="preserve">and </w:t>
      </w:r>
      <w:r w:rsidRPr="00E60F16">
        <w:rPr>
          <w:rFonts w:ascii="Times New Roman" w:hAnsi="Times New Roman"/>
        </w:rPr>
        <w:t xml:space="preserve">Communication and Coordination for Host Employers, Contractors and Staffing Agencies (i.e., the multi-employer element).  </w:t>
      </w:r>
    </w:p>
    <w:p w:rsidR="00A76572" w:rsidRPr="00E60F16" w:rsidP="00A76572" w14:paraId="7E3491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A76572" w14:paraId="41B8AD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Attribute ratings (which range from 0 to 3) on each core element will be summed and each summed score will be transformed into a new score metric ranging from 0 to 100 as follows:</w:t>
      </w:r>
    </w:p>
    <w:p w:rsidR="00D871C7" w:rsidRPr="00E60F16" w:rsidP="00A76572" w14:paraId="64D445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A76572" w14:paraId="3E8502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C65D9" w:rsidRPr="00826B69" w:rsidP="005C65D9" w14:paraId="0FBD352D" w14:textId="77777777">
      <w:pPr>
        <w:rPr>
          <w:rFonts w:ascii="Calibri" w:hAnsi="Calibri" w:cstheme="minorHAnsi"/>
          <w:iCs/>
          <w:color w:val="000000"/>
        </w:rPr>
      </w:pPr>
      <m:oMathPara>
        <m:oMath>
          <m:r>
            <m:rPr>
              <m:sty m:val="p"/>
            </m:rPr>
            <w:rPr>
              <w:rFonts w:ascii="Cambria Math" w:hAnsi="Cambria Math" w:cstheme="minorHAnsi"/>
              <w:color w:val="000000"/>
            </w:rPr>
            <m:t>New Core Element Score=</m:t>
          </m:r>
          <m:f>
            <m:fPr>
              <m:ctrlPr>
                <w:rPr>
                  <w:rFonts w:ascii="Cambria Math" w:hAnsi="Cambria Math" w:eastAsiaTheme="minorHAnsi" w:cstheme="minorHAnsi"/>
                  <w:iCs/>
                  <w:color w:val="000000"/>
                  <w:sz w:val="22"/>
                  <w:szCs w:val="22"/>
                </w:rPr>
              </m:ctrlPr>
            </m:fPr>
            <m:num>
              <m:r>
                <m:rPr>
                  <m:sty m:val="p"/>
                </m:rPr>
                <w:rPr>
                  <w:rFonts w:ascii="Cambria Math" w:hAnsi="Cambria Math" w:cstheme="minorHAnsi"/>
                  <w:color w:val="000000"/>
                </w:rPr>
                <m:t>100*Sum Score</m:t>
              </m:r>
            </m:num>
            <m:den>
              <m:r>
                <m:rPr>
                  <m:sty m:val="p"/>
                </m:rPr>
                <w:rPr>
                  <w:rFonts w:ascii="Cambria Math" w:hAnsi="Cambria Math" w:cstheme="minorHAnsi"/>
                  <w:color w:val="000000"/>
                </w:rPr>
                <m:t>(3*ICE)</m:t>
              </m:r>
              <m:r>
                <m:rPr>
                  <m:sty m:val="p"/>
                </m:rPr>
                <w:rPr>
                  <w:rStyle w:val="FootnoteReference"/>
                  <w:rFonts w:ascii="Cambria Math" w:hAnsi="Cambria Math" w:cstheme="minorHAnsi"/>
                  <w:iCs/>
                  <w:color w:val="000000"/>
                </w:rPr>
                <w:footnoteReference w:id="15"/>
              </m:r>
            </m:den>
          </m:f>
        </m:oMath>
      </m:oMathPara>
    </w:p>
    <w:p w:rsidR="005C65D9" w:rsidRPr="00E60F16" w:rsidP="00A76572" w14:paraId="68ADC8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A76572" w14:paraId="6E0214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where ICE denotes the number of DRF33 items associated with a particular core element.  Thus, the new core element score (i.e., subscale) would range from 0 to 100 regardless of the number of items </w:t>
      </w:r>
      <w:r w:rsidR="005C65D9">
        <w:rPr>
          <w:rFonts w:ascii="Times New Roman" w:hAnsi="Times New Roman"/>
        </w:rPr>
        <w:t>that</w:t>
      </w:r>
      <w:r w:rsidRPr="00E60F16" w:rsidR="005C65D9">
        <w:rPr>
          <w:rFonts w:ascii="Times New Roman" w:hAnsi="Times New Roman"/>
        </w:rPr>
        <w:t xml:space="preserve"> </w:t>
      </w:r>
      <w:r w:rsidRPr="00E60F16">
        <w:rPr>
          <w:rFonts w:ascii="Times New Roman" w:hAnsi="Times New Roman"/>
        </w:rPr>
        <w:t>represent that core element.  This type of rescaling facilitates the comparison of core element profiles across workplaces.  In addition to calculating scores for the core elements, two total DRF33 scores will also be produced.  First, an unweighted total score will be derived from the average of the core element scores</w:t>
      </w:r>
      <w:r w:rsidRPr="00E60F16" w:rsidR="00D871C7">
        <w:rPr>
          <w:rFonts w:ascii="Times New Roman" w:hAnsi="Times New Roman"/>
        </w:rPr>
        <w:t xml:space="preserve"> excluding the multi-employer element due to its systematic missing values</w:t>
      </w:r>
      <w:r w:rsidRPr="00E60F16">
        <w:rPr>
          <w:rFonts w:ascii="Times New Roman" w:hAnsi="Times New Roman"/>
        </w:rPr>
        <w:t>.  Because each of these subscales have a possible range of 0-100, regardless of the number of attributes associated with any core element, the average of these subscale scores is an unweighted mean across the core elements and has an identical range.  A second total score will also be produced</w:t>
      </w:r>
      <w:r w:rsidR="005C65D9">
        <w:rPr>
          <w:rFonts w:ascii="Times New Roman" w:hAnsi="Times New Roman"/>
        </w:rPr>
        <w:t>. The</w:t>
      </w:r>
      <w:r w:rsidRPr="00E60F16">
        <w:rPr>
          <w:rFonts w:ascii="Times New Roman" w:hAnsi="Times New Roman"/>
        </w:rPr>
        <w:t xml:space="preserve"> average rating across each of </w:t>
      </w:r>
      <w:r w:rsidRPr="00E60F16" w:rsidR="00D871C7">
        <w:rPr>
          <w:rFonts w:ascii="Times New Roman" w:hAnsi="Times New Roman"/>
        </w:rPr>
        <w:t>the 48 attributes associated with the core elements other than the multi-employer element</w:t>
      </w:r>
      <w:r w:rsidRPr="00E60F16">
        <w:rPr>
          <w:rFonts w:ascii="Times New Roman" w:hAnsi="Times New Roman"/>
        </w:rPr>
        <w:t xml:space="preserve"> will be rescaled to range from 0-100.  This will be accomplished using the following equation:</w:t>
      </w:r>
    </w:p>
    <w:p w:rsidR="008952E0" w:rsidRPr="00E60F16" w:rsidP="00A76572" w14:paraId="60CCC1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D871C7" w:rsidRPr="00E60F16" w:rsidP="001B308E" w14:paraId="2A1FFD8A" w14:textId="77777777">
      <w:pPr>
        <w:widowControl/>
        <w:autoSpaceDE/>
        <w:autoSpaceDN/>
        <w:adjustRightInd/>
        <w:spacing w:after="160" w:line="259" w:lineRule="auto"/>
        <w:ind w:left="810" w:hanging="90"/>
        <w:rPr>
          <w:rFonts w:ascii="Times New Roman" w:hAnsi="Times New Roman" w:eastAsiaTheme="minorEastAsia"/>
          <w:color w:val="000000"/>
          <w:sz w:val="22"/>
          <w:szCs w:val="22"/>
        </w:rPr>
      </w:pPr>
      <m:oMathPara>
        <m:oMathParaPr>
          <m:jc m:val="left"/>
        </m:oMathParaPr>
        <m:oMath>
          <m:r>
            <m:rPr>
              <m:sty m:val="p"/>
            </m:rPr>
            <w:rPr>
              <w:rFonts w:ascii="Cambria Math" w:hAnsi="Cambria Math" w:eastAsiaTheme="minorHAnsi"/>
              <w:color w:val="000000"/>
              <w:sz w:val="22"/>
              <w:szCs w:val="22"/>
            </w:rPr>
            <m:t>Rescaled Weighted Average= 100*</m:t>
          </m:r>
          <m:d>
            <m:dPr>
              <m:ctrlPr>
                <w:rPr>
                  <w:rFonts w:ascii="Cambria Math" w:hAnsi="Cambria Math" w:eastAsiaTheme="minorHAnsi"/>
                  <w:color w:val="000000"/>
                  <w:sz w:val="22"/>
                  <w:szCs w:val="22"/>
                </w:rPr>
              </m:ctrlPr>
            </m:dPr>
            <m:e>
              <m:f>
                <m:fPr>
                  <m:ctrlPr>
                    <w:rPr>
                      <w:rFonts w:ascii="Cambria Math" w:hAnsi="Cambria Math" w:eastAsiaTheme="minorHAnsi"/>
                      <w:color w:val="000000"/>
                      <w:sz w:val="22"/>
                      <w:szCs w:val="22"/>
                    </w:rPr>
                  </m:ctrlPr>
                </m:fPr>
                <m:num>
                  <m:nary>
                    <m:naryPr>
                      <m:chr m:val="∑"/>
                      <m:limLoc m:val="undOvr"/>
                      <m:ctrlPr>
                        <w:rPr>
                          <w:rFonts w:ascii="Cambria Math" w:hAnsi="Cambria Math" w:eastAsiaTheme="minorHAnsi"/>
                          <w:color w:val="000000"/>
                          <w:sz w:val="22"/>
                          <w:szCs w:val="22"/>
                        </w:rPr>
                      </m:ctrlPr>
                    </m:naryPr>
                    <m:sub>
                      <m:r>
                        <w:rPr>
                          <w:rFonts w:ascii="Cambria Math" w:hAnsi="Cambria Math" w:eastAsiaTheme="minorHAnsi"/>
                          <w:color w:val="000000"/>
                          <w:sz w:val="22"/>
                          <w:szCs w:val="22"/>
                        </w:rPr>
                        <m:t>k</m:t>
                      </m:r>
                      <m:r>
                        <m:rPr>
                          <m:sty m:val="p"/>
                        </m:rPr>
                        <w:rPr>
                          <w:rFonts w:ascii="Cambria Math" w:hAnsi="Cambria Math" w:eastAsiaTheme="minorHAnsi"/>
                          <w:color w:val="000000"/>
                          <w:sz w:val="22"/>
                          <w:szCs w:val="22"/>
                        </w:rPr>
                        <m:t>=1</m:t>
                      </m:r>
                    </m:sub>
                    <m:sup>
                      <m:r>
                        <m:rPr>
                          <m:sty m:val="p"/>
                        </m:rPr>
                        <w:rPr>
                          <w:rFonts w:ascii="Cambria Math" w:hAnsi="Cambria Math" w:eastAsiaTheme="minorHAnsi"/>
                          <w:color w:val="000000"/>
                          <w:sz w:val="22"/>
                          <w:szCs w:val="22"/>
                        </w:rPr>
                        <m:t>48</m:t>
                      </m:r>
                    </m:sup>
                    <m:e>
                      <m:r>
                        <m:rPr>
                          <m:sty m:val="p"/>
                        </m:rPr>
                        <w:rPr>
                          <w:rFonts w:ascii="Cambria Math" w:hAnsi="Cambria Math" w:eastAsiaTheme="minorHAnsi"/>
                          <w:color w:val="000000"/>
                          <w:sz w:val="22"/>
                          <w:szCs w:val="22"/>
                        </w:rPr>
                        <m:t xml:space="preserve"> </m:t>
                      </m:r>
                      <m:sSub>
                        <m:sSubPr>
                          <m:ctrlPr>
                            <w:rPr>
                              <w:rFonts w:ascii="Cambria Math" w:hAnsi="Cambria Math" w:eastAsiaTheme="minorHAnsi"/>
                              <w:color w:val="000000"/>
                              <w:sz w:val="22"/>
                              <w:szCs w:val="22"/>
                            </w:rPr>
                          </m:ctrlPr>
                        </m:sSubPr>
                        <m:e>
                          <m:r>
                            <w:rPr>
                              <w:rFonts w:ascii="Cambria Math" w:hAnsi="Cambria Math" w:eastAsiaTheme="minorHAnsi"/>
                              <w:color w:val="000000"/>
                              <w:sz w:val="22"/>
                              <w:szCs w:val="22"/>
                            </w:rPr>
                            <m:t>r</m:t>
                          </m:r>
                        </m:e>
                        <m:sub>
                          <m:r>
                            <w:rPr>
                              <w:rFonts w:ascii="Cambria Math" w:hAnsi="Cambria Math" w:eastAsiaTheme="minorHAnsi"/>
                              <w:color w:val="000000"/>
                              <w:sz w:val="22"/>
                              <w:szCs w:val="22"/>
                            </w:rPr>
                            <m:t>k</m:t>
                          </m:r>
                        </m:sub>
                      </m:sSub>
                    </m:e>
                  </m:nary>
                </m:num>
                <m:den>
                  <m:r>
                    <m:rPr>
                      <m:sty m:val="p"/>
                    </m:rPr>
                    <w:rPr>
                      <w:rFonts w:ascii="Cambria Math" w:hAnsi="Cambria Math" w:eastAsiaTheme="minorHAnsi"/>
                      <w:color w:val="000000"/>
                      <w:sz w:val="22"/>
                      <w:szCs w:val="22"/>
                    </w:rPr>
                    <m:t>144</m:t>
                  </m:r>
                </m:den>
              </m:f>
            </m:e>
          </m:d>
        </m:oMath>
      </m:oMathPara>
    </w:p>
    <w:p w:rsidR="008952E0" w:rsidRPr="00E60F16" w:rsidP="001B308E" w14:paraId="284E5FD1" w14:textId="77777777">
      <w:pPr>
        <w:widowControl/>
        <w:autoSpaceDE/>
        <w:autoSpaceDN/>
        <w:adjustRightInd/>
        <w:spacing w:after="160" w:line="259" w:lineRule="auto"/>
        <w:ind w:left="810" w:hanging="90"/>
        <w:rPr>
          <w:rFonts w:ascii="Times New Roman" w:hAnsi="Times New Roman" w:eastAsiaTheme="minorHAnsi"/>
          <w:color w:val="000000"/>
          <w:sz w:val="22"/>
          <w:szCs w:val="22"/>
        </w:rPr>
      </w:pPr>
    </w:p>
    <w:p w:rsidR="00A76572" w:rsidRPr="00E60F16" w:rsidP="008952E0" w14:paraId="61BE8FBE" w14:textId="77777777">
      <w:pPr>
        <w:widowControl/>
        <w:tabs>
          <w:tab w:val="left" w:pos="-360"/>
          <w:tab w:val="left" w:pos="360"/>
          <w:tab w:val="left" w:pos="54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810"/>
        <w:rPr>
          <w:rFonts w:ascii="Times New Roman" w:hAnsi="Times New Roman"/>
        </w:rPr>
      </w:pPr>
      <w:r w:rsidRPr="00E60F16">
        <w:rPr>
          <w:rFonts w:ascii="Times New Roman" w:hAnsi="Times New Roman" w:eastAsiaTheme="minorEastAsia"/>
        </w:rPr>
        <w:t xml:space="preserve">  </w:t>
      </w:r>
      <w:r w:rsidRPr="00E60F16">
        <w:rPr>
          <w:rFonts w:ascii="Times New Roman" w:hAnsi="Times New Roman" w:eastAsiaTheme="minorEastAsia"/>
        </w:rPr>
        <w:tab/>
      </w:r>
      <w:r w:rsidRPr="00E60F16">
        <w:rPr>
          <w:rFonts w:ascii="Times New Roman" w:hAnsi="Times New Roman" w:eastAsiaTheme="minorEastAsia"/>
        </w:rPr>
        <w:tab/>
      </w:r>
      <w:r w:rsidRPr="00E60F16">
        <w:rPr>
          <w:rFonts w:ascii="Times New Roman" w:hAnsi="Times New Roman" w:eastAsiaTheme="minorEastAsia"/>
        </w:rPr>
        <w:tab/>
      </w:r>
      <w:r w:rsidRPr="00E60F16">
        <w:rPr>
          <w:rFonts w:ascii="Times New Roman" w:hAnsi="Times New Roman"/>
        </w:rPr>
        <w:t xml:space="preserve">Where </w:t>
      </w:r>
      <m:oMath>
        <m:sSub>
          <m:sSubPr>
            <m:ctrlPr>
              <w:rPr>
                <w:rFonts w:ascii="Cambria Math" w:hAnsi="Cambria Math"/>
              </w:rPr>
            </m:ctrlPr>
          </m:sSubPr>
          <m:e>
            <m:r>
              <w:rPr>
                <w:rFonts w:ascii="Cambria Math" w:hAnsi="Cambria Math"/>
              </w:rPr>
              <m:t>r</m:t>
            </m:r>
          </m:e>
          <m:sub>
            <m:r>
              <w:rPr>
                <w:rFonts w:ascii="Cambria Math" w:hAnsi="Cambria Math"/>
              </w:rPr>
              <m:t>k</m:t>
            </m:r>
          </m:sub>
        </m:sSub>
      </m:oMath>
      <w:r w:rsidRPr="00E60F16">
        <w:rPr>
          <w:rFonts w:ascii="Times New Roman" w:hAnsi="Times New Roman"/>
        </w:rPr>
        <w:t xml:space="preserve">is the consultant rating (i.e., 0 to 3) for the kth attribute on the DRF33.  Because the maximum summated score on these attributes is 3*48 = 144, this formula first converts the total summated score into a proportion and then rescales this result to produce a 0-100 range.  In this sense, the weighted total score will have the same range as any other DRF33 measure </w:t>
      </w:r>
      <w:r w:rsidR="005F6B70">
        <w:rPr>
          <w:rFonts w:ascii="Times New Roman" w:hAnsi="Times New Roman"/>
        </w:rPr>
        <w:t>but will be weighted more by core elements with the largest number of attributes</w:t>
      </w:r>
      <w:r w:rsidRPr="00E60F16">
        <w:rPr>
          <w:rFonts w:ascii="Times New Roman" w:hAnsi="Times New Roman"/>
        </w:rPr>
        <w:t xml:space="preserve"> and weighted less by those with the fewest number.  </w:t>
      </w:r>
    </w:p>
    <w:p w:rsidR="008952E0" w:rsidRPr="00E60F16" w:rsidP="00A76572" w14:paraId="669D5C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p>
    <w:p w:rsidR="00A76572" w:rsidRPr="00E60F16" w:rsidP="00A76572" w14:paraId="3DEF3A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u w:val="single"/>
        </w:rPr>
        <w:t xml:space="preserve">It is important to emphasize that consultants must evaluate every workplace assessed in these studies with regard to all of the </w:t>
      </w:r>
      <w:r w:rsidRPr="00E60F16" w:rsidR="008952E0">
        <w:rPr>
          <w:rFonts w:ascii="Times New Roman" w:hAnsi="Times New Roman"/>
          <w:u w:val="single"/>
        </w:rPr>
        <w:t>48</w:t>
      </w:r>
      <w:r w:rsidRPr="00E60F16">
        <w:rPr>
          <w:rFonts w:ascii="Times New Roman" w:hAnsi="Times New Roman"/>
          <w:u w:val="single"/>
        </w:rPr>
        <w:t xml:space="preserve"> DRF33 attributes</w:t>
      </w:r>
      <w:r w:rsidRPr="00E60F16" w:rsidR="008952E0">
        <w:rPr>
          <w:rFonts w:ascii="Times New Roman" w:hAnsi="Times New Roman"/>
          <w:u w:val="single"/>
        </w:rPr>
        <w:t xml:space="preserve"> which do not explicitly pertain to the multi-employer core element</w:t>
      </w:r>
      <w:r w:rsidRPr="00E60F16">
        <w:rPr>
          <w:rFonts w:ascii="Times New Roman" w:hAnsi="Times New Roman"/>
          <w:u w:val="single"/>
        </w:rPr>
        <w:t>.</w:t>
      </w:r>
      <w:r w:rsidRPr="00E60F16" w:rsidR="008952E0">
        <w:rPr>
          <w:rFonts w:ascii="Times New Roman" w:hAnsi="Times New Roman"/>
          <w:u w:val="single"/>
        </w:rPr>
        <w:t xml:space="preserve">  Also, the four multi-employer attributes must be rated at every workplace that has other workers (e.g., temporary, seasonal and contractual workers) in addition to the host employer’s workers.</w:t>
      </w:r>
      <w:r w:rsidRPr="00E60F16">
        <w:rPr>
          <w:rFonts w:ascii="Times New Roman" w:hAnsi="Times New Roman"/>
        </w:rPr>
        <w:t xml:space="preserve">  Previous research has illustrated that missing attribute data can severely alter the correlations among scores on the (current) Form 33 (OMB # 1218-0110) core elements with external criteria (Autenrieth et al., 2015).  This should be avoided.  Similarly, a larger sample would be required if the psychometric analyses outlined later in this proposal were based on DRF33 responses containing systematically missing data in which consultants rated only a subset of </w:t>
      </w:r>
      <w:r w:rsidRPr="00E60F16">
        <w:rPr>
          <w:rFonts w:ascii="Times New Roman" w:hAnsi="Times New Roman"/>
        </w:rPr>
        <w:t>attributes on the DRF33.  In this case, the proposed analyses would be conducted on only complete cases (for all but the multi-employer core element), and number of workplace consultation visits would need to increase to achieve a desired sample size of 300 completed assessments</w:t>
      </w:r>
      <w:r w:rsidRPr="00E60F16" w:rsidR="00C7129F">
        <w:rPr>
          <w:rFonts w:ascii="Times New Roman" w:hAnsi="Times New Roman"/>
        </w:rPr>
        <w:t xml:space="preserve"> for the Pilot Study</w:t>
      </w:r>
      <w:r w:rsidRPr="00E60F16">
        <w:rPr>
          <w:rFonts w:ascii="Times New Roman" w:hAnsi="Times New Roman"/>
        </w:rPr>
        <w:t xml:space="preserve">.  </w:t>
      </w:r>
    </w:p>
    <w:p w:rsidR="008952E0" w:rsidRPr="00E60F16" w:rsidP="00A76572" w14:paraId="1D9211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A76572" w14:paraId="07B58D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Although the total and subscale </w:t>
      </w:r>
      <w:r w:rsidRPr="00E60F16" w:rsidR="008952E0">
        <w:rPr>
          <w:rFonts w:ascii="Times New Roman" w:hAnsi="Times New Roman"/>
        </w:rPr>
        <w:t xml:space="preserve">(i.e., core element) </w:t>
      </w:r>
      <w:r w:rsidRPr="00E60F16">
        <w:rPr>
          <w:rFonts w:ascii="Times New Roman" w:hAnsi="Times New Roman"/>
        </w:rPr>
        <w:t xml:space="preserve">DRF33 scores serve as the primary measures in this investigation, measures regarding other </w:t>
      </w:r>
      <w:r w:rsidR="005F6B70">
        <w:rPr>
          <w:rFonts w:ascii="Times New Roman" w:hAnsi="Times New Roman"/>
        </w:rPr>
        <w:t>workplace-level</w:t>
      </w:r>
      <w:r w:rsidRPr="00E60F16">
        <w:rPr>
          <w:rFonts w:ascii="Times New Roman" w:hAnsi="Times New Roman"/>
        </w:rPr>
        <w:t xml:space="preserve"> covariates will also be obtained.  In particular, measures of the total recordable case rate (TRC) and days away, restricted or transferred rate (DART</w:t>
      </w:r>
      <w:r w:rsidRPr="00E60F16" w:rsidR="00C7129F">
        <w:rPr>
          <w:rFonts w:ascii="Times New Roman" w:hAnsi="Times New Roman"/>
        </w:rPr>
        <w:t>)</w:t>
      </w:r>
      <w:r w:rsidRPr="00E60F16">
        <w:rPr>
          <w:rFonts w:ascii="Times New Roman" w:hAnsi="Times New Roman"/>
        </w:rPr>
        <w:t xml:space="preserve"> will be used.  Retrospective estimates and prospective estimates of these covariates will be obtained.  Retrospective estimates of TRC and DART will be based on the </w:t>
      </w:r>
      <w:r w:rsidR="005F6B70">
        <w:rPr>
          <w:rFonts w:ascii="Times New Roman" w:hAnsi="Times New Roman"/>
        </w:rPr>
        <w:t>12 months prior to the Pilot Study consultation visits, whereas prospective estimates will be acquired 12 months</w:t>
      </w:r>
      <w:r w:rsidRPr="00E60F16">
        <w:rPr>
          <w:rFonts w:ascii="Times New Roman" w:hAnsi="Times New Roman"/>
        </w:rPr>
        <w:t xml:space="preserve"> after the visit</w:t>
      </w:r>
      <w:r w:rsidRPr="00E60F16" w:rsidR="00C7129F">
        <w:rPr>
          <w:rFonts w:ascii="Times New Roman" w:hAnsi="Times New Roman"/>
        </w:rPr>
        <w:t>s</w:t>
      </w:r>
      <w:r w:rsidRPr="00E60F16">
        <w:rPr>
          <w:rFonts w:ascii="Times New Roman" w:hAnsi="Times New Roman"/>
        </w:rPr>
        <w:t xml:space="preserve">.  The statistical analyses described in this document will be performed after the Pilot Study workplace consultation visits are completed </w:t>
      </w:r>
      <w:r w:rsidRPr="00E60F16" w:rsidR="008952E0">
        <w:rPr>
          <w:rFonts w:ascii="Times New Roman" w:hAnsi="Times New Roman"/>
        </w:rPr>
        <w:t xml:space="preserve">and the </w:t>
      </w:r>
      <w:r w:rsidRPr="00E60F16">
        <w:rPr>
          <w:rFonts w:ascii="Times New Roman" w:hAnsi="Times New Roman"/>
        </w:rPr>
        <w:t>DRF33 and retrospective covariate measures</w:t>
      </w:r>
      <w:r w:rsidRPr="00E60F16" w:rsidR="008952E0">
        <w:rPr>
          <w:rFonts w:ascii="Times New Roman" w:hAnsi="Times New Roman"/>
        </w:rPr>
        <w:t xml:space="preserve"> have been uploaded into the Qualtrics database</w:t>
      </w:r>
      <w:r w:rsidRPr="00E60F16">
        <w:rPr>
          <w:rFonts w:ascii="Times New Roman" w:hAnsi="Times New Roman"/>
        </w:rPr>
        <w:t xml:space="preserve">.  They will be repeated one year after the Pilot Study consultation visits, once prospective covariates are available from the 300 workplaces that were previously assessed. </w:t>
      </w:r>
    </w:p>
    <w:p w:rsidR="00583ACD" w:rsidRPr="00E60F16" w:rsidP="00A76572" w14:paraId="5B137D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A76572" w14:paraId="15B699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 xml:space="preserve">All consultants’ ratings and covariate data gathered at the workplace </w:t>
      </w:r>
      <w:r w:rsidRPr="00E60F16" w:rsidR="00C7129F">
        <w:rPr>
          <w:rFonts w:ascii="Times New Roman" w:hAnsi="Times New Roman"/>
        </w:rPr>
        <w:t xml:space="preserve">during a </w:t>
      </w:r>
      <w:r w:rsidRPr="00E60F16">
        <w:rPr>
          <w:rFonts w:ascii="Times New Roman" w:hAnsi="Times New Roman"/>
        </w:rPr>
        <w:t xml:space="preserve">consultation visit </w:t>
      </w:r>
      <w:r w:rsidRPr="00E60F16" w:rsidR="00317A5C">
        <w:rPr>
          <w:rFonts w:ascii="Times New Roman" w:hAnsi="Times New Roman"/>
        </w:rPr>
        <w:t>is</w:t>
      </w:r>
      <w:r w:rsidRPr="00E60F16">
        <w:rPr>
          <w:rFonts w:ascii="Times New Roman" w:hAnsi="Times New Roman"/>
        </w:rPr>
        <w:t xml:space="preserve"> entered into a data entry tool built from the Qualtrics platform.  The data entry tool prompt</w:t>
      </w:r>
      <w:r w:rsidRPr="00E60F16" w:rsidR="00317A5C">
        <w:rPr>
          <w:rFonts w:ascii="Times New Roman" w:hAnsi="Times New Roman"/>
        </w:rPr>
        <w:t>s</w:t>
      </w:r>
      <w:r w:rsidRPr="00E60F16">
        <w:rPr>
          <w:rFonts w:ascii="Times New Roman" w:hAnsi="Times New Roman"/>
        </w:rPr>
        <w:t xml:space="preserve"> the respondent (consultant) to enter the data associated for each attribute.  The tool offer</w:t>
      </w:r>
      <w:r w:rsidRPr="00E60F16" w:rsidR="00636F2E">
        <w:rPr>
          <w:rFonts w:ascii="Times New Roman" w:hAnsi="Times New Roman"/>
        </w:rPr>
        <w:t>s</w:t>
      </w:r>
      <w:r w:rsidRPr="00E60F16">
        <w:rPr>
          <w:rFonts w:ascii="Times New Roman" w:hAnsi="Times New Roman"/>
        </w:rPr>
        <w:t xml:space="preserve"> real time accuracy checks and secure cloud-based data storage that can be retrieved from multiple sites immediately after input.  Similarly, it </w:t>
      </w:r>
      <w:r w:rsidRPr="00E60F16" w:rsidR="00636F2E">
        <w:rPr>
          <w:rFonts w:ascii="Times New Roman" w:hAnsi="Times New Roman"/>
        </w:rPr>
        <w:t>is</w:t>
      </w:r>
      <w:r w:rsidRPr="00E60F16">
        <w:rPr>
          <w:rFonts w:ascii="Times New Roman" w:hAnsi="Times New Roman"/>
        </w:rPr>
        <w:t xml:space="preserve"> programmed to ensure that </w:t>
      </w:r>
      <w:r w:rsidR="005F6B70">
        <w:rPr>
          <w:rFonts w:ascii="Times New Roman" w:hAnsi="Times New Roman"/>
        </w:rPr>
        <w:t>the respondent answers all applicable attributes</w:t>
      </w:r>
      <w:r w:rsidRPr="00E60F16">
        <w:rPr>
          <w:rFonts w:ascii="Times New Roman" w:hAnsi="Times New Roman"/>
        </w:rPr>
        <w:t>.  It operate</w:t>
      </w:r>
      <w:r w:rsidRPr="00E60F16" w:rsidR="005729A7">
        <w:rPr>
          <w:rFonts w:ascii="Times New Roman" w:hAnsi="Times New Roman"/>
        </w:rPr>
        <w:t>s</w:t>
      </w:r>
      <w:r w:rsidRPr="00E60F16">
        <w:rPr>
          <w:rFonts w:ascii="Times New Roman" w:hAnsi="Times New Roman"/>
        </w:rPr>
        <w:t xml:space="preserve"> with common digital devices (e.g., tablet,</w:t>
      </w:r>
      <w:r w:rsidRPr="00E60F16" w:rsidR="005729A7">
        <w:rPr>
          <w:rFonts w:ascii="Times New Roman" w:hAnsi="Times New Roman"/>
        </w:rPr>
        <w:t xml:space="preserve"> personal computer</w:t>
      </w:r>
      <w:r w:rsidRPr="00E60F16">
        <w:rPr>
          <w:rFonts w:ascii="Times New Roman" w:hAnsi="Times New Roman"/>
        </w:rPr>
        <w:t xml:space="preserve">) </w:t>
      </w:r>
      <w:r w:rsidR="005F6B70">
        <w:rPr>
          <w:rFonts w:ascii="Times New Roman" w:hAnsi="Times New Roman"/>
        </w:rPr>
        <w:t>with</w:t>
      </w:r>
      <w:r w:rsidRPr="00E60F16">
        <w:rPr>
          <w:rFonts w:ascii="Times New Roman" w:hAnsi="Times New Roman"/>
        </w:rPr>
        <w:t xml:space="preserve"> internet capability.</w:t>
      </w:r>
    </w:p>
    <w:p w:rsidR="00A76572" w:rsidRPr="00E60F16" w:rsidP="00A76572" w14:paraId="192959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p>
    <w:p w:rsidR="00A76572" w:rsidRPr="00E60F16" w:rsidP="00A76572" w14:paraId="62546D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r w:rsidRPr="00E60F16">
        <w:rPr>
          <w:rFonts w:ascii="Times New Roman" w:hAnsi="Times New Roman"/>
          <w:u w:val="single"/>
        </w:rPr>
        <w:t>Research Questions for the Pilot Study</w:t>
      </w:r>
    </w:p>
    <w:p w:rsidR="00583ACD" w:rsidRPr="00E60F16" w:rsidP="00A76572" w14:paraId="5BF55D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p>
    <w:p w:rsidR="00583ACD" w:rsidRPr="00E60F16" w:rsidP="0080633A" w14:paraId="6F1314AF" w14:textId="77777777">
      <w:pPr>
        <w:pStyle w:val="ListParagraph"/>
        <w:widowControl/>
        <w:numPr>
          <w:ilvl w:val="0"/>
          <w:numId w:val="2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0F16">
        <w:rPr>
          <w:rFonts w:ascii="Times New Roman" w:hAnsi="Times New Roman"/>
        </w:rPr>
        <w:t xml:space="preserve">Reliability of DRF33 Scores from the On-Site Consultation Program </w:t>
      </w:r>
    </w:p>
    <w:p w:rsidR="00A76572" w:rsidRPr="00E60F16" w:rsidP="0080633A" w14:paraId="4A0D6054"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rPr>
      </w:pPr>
      <w:r w:rsidRPr="00E60F16">
        <w:rPr>
          <w:rFonts w:ascii="Times New Roman" w:hAnsi="Times New Roman"/>
        </w:rPr>
        <w:t xml:space="preserve"> </w:t>
      </w:r>
    </w:p>
    <w:p w:rsidR="00A76572" w:rsidRPr="00E60F16" w:rsidP="00A76572" w14:paraId="7E355F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60F16">
        <w:rPr>
          <w:rFonts w:ascii="Times New Roman" w:hAnsi="Times New Roman"/>
        </w:rPr>
        <w:t>Reliability is an important feature of any measurement tool used in an evaluation situation.  Moreover, there are several types of reliability that one might examine (Crocker &amp; Algina, 1986; Nunnally &amp; Berstein, 1994).  This study proposes to address two widely recognized types of reliability estimation.  The first is internal consistency estimation which gets at the cohesiveness of item responses underlying a given score.  Ideally, the item responses should covary a substantial amount.</w:t>
      </w:r>
      <w:r w:rsidRPr="00E60F16" w:rsidR="00583ACD">
        <w:rPr>
          <w:rFonts w:ascii="Times New Roman" w:hAnsi="Times New Roman"/>
        </w:rPr>
        <w:t xml:space="preserve">  </w:t>
      </w:r>
      <w:r w:rsidRPr="00E60F16">
        <w:rPr>
          <w:rFonts w:ascii="Times New Roman" w:hAnsi="Times New Roman"/>
        </w:rPr>
        <w:t xml:space="preserve">The second type of reliability examined in this study is interrater reliability.  When workplaces are evaluated by raters, an important assumption is that rater scores covary to a substantial degree.  Interrater reliability estimation indexes the extent to which this occurs.  These two types of reliability estimation </w:t>
      </w:r>
      <w:r w:rsidRPr="00E60F16" w:rsidR="00C7129F">
        <w:rPr>
          <w:rFonts w:ascii="Times New Roman" w:hAnsi="Times New Roman"/>
        </w:rPr>
        <w:t>underlie</w:t>
      </w:r>
      <w:r w:rsidRPr="00E60F16">
        <w:rPr>
          <w:rFonts w:ascii="Times New Roman" w:hAnsi="Times New Roman"/>
        </w:rPr>
        <w:t xml:space="preserve"> the following research questions:</w:t>
      </w:r>
    </w:p>
    <w:p w:rsidR="00583ACD" w:rsidRPr="00E60F16" w:rsidP="00A76572" w14:paraId="60AE69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E60F16" w:rsidP="0080633A" w14:paraId="1E1EDC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E60F16">
        <w:rPr>
          <w:rFonts w:ascii="Times New Roman" w:hAnsi="Times New Roman"/>
        </w:rPr>
        <w:t xml:space="preserve">a) What is the internal consistency estimate of reliability for total scores based on the </w:t>
      </w:r>
      <w:r w:rsidRPr="00E60F16" w:rsidR="008952E0">
        <w:rPr>
          <w:rFonts w:ascii="Times New Roman" w:hAnsi="Times New Roman"/>
        </w:rPr>
        <w:t xml:space="preserve">48 </w:t>
      </w:r>
      <w:r w:rsidRPr="00E60F16">
        <w:rPr>
          <w:rFonts w:ascii="Times New Roman" w:hAnsi="Times New Roman"/>
        </w:rPr>
        <w:t>attributes from the DRF33?</w:t>
      </w:r>
    </w:p>
    <w:p w:rsidR="00A76572" w:rsidRPr="0080633A" w:rsidP="0080633A" w14:paraId="2106CF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80633A">
        <w:rPr>
          <w:rFonts w:ascii="Times New Roman" w:hAnsi="Times New Roman"/>
        </w:rPr>
        <w:t>b) What is the internal consistency estimate of reliability for core element (i.e., subscale) scores for each of the seven core elements?</w:t>
      </w:r>
    </w:p>
    <w:p w:rsidR="00A76572" w:rsidRPr="0080633A" w:rsidP="0080633A" w14:paraId="1D4B56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80633A">
        <w:rPr>
          <w:rFonts w:ascii="Times New Roman" w:hAnsi="Times New Roman"/>
        </w:rPr>
        <w:t xml:space="preserve">c) What is the interrater reliability estimate for total scores based on the </w:t>
      </w:r>
      <w:r w:rsidR="008952E0">
        <w:rPr>
          <w:rFonts w:ascii="Times New Roman" w:hAnsi="Times New Roman"/>
        </w:rPr>
        <w:t>48</w:t>
      </w:r>
      <w:r w:rsidRPr="0080633A">
        <w:rPr>
          <w:rFonts w:ascii="Times New Roman" w:hAnsi="Times New Roman"/>
        </w:rPr>
        <w:t xml:space="preserve"> attributes from the DRF33?</w:t>
      </w:r>
    </w:p>
    <w:p w:rsidR="00A76572" w:rsidP="0080633A" w14:paraId="6E432A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80633A">
        <w:rPr>
          <w:rFonts w:ascii="Times New Roman" w:hAnsi="Times New Roman"/>
        </w:rPr>
        <w:t xml:space="preserve">d) What is the interrater reliability estimate for core element (i.e., subscale) scores for each of the seven core elements? </w:t>
      </w:r>
    </w:p>
    <w:p w:rsidR="00583ACD" w:rsidRPr="0080633A" w:rsidP="00A76572" w14:paraId="21B6A0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80633A" w:rsidP="0080633A" w14:paraId="7624DFC3" w14:textId="77777777">
      <w:pPr>
        <w:pStyle w:val="ListParagraph"/>
        <w:widowControl/>
        <w:numPr>
          <w:ilvl w:val="0"/>
          <w:numId w:val="2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0633A">
        <w:rPr>
          <w:rFonts w:ascii="Times New Roman" w:hAnsi="Times New Roman"/>
        </w:rPr>
        <w:t>Validity of the DRF33 Scores from the On-site Consultation Program</w:t>
      </w:r>
    </w:p>
    <w:p w:rsidR="00583ACD" w:rsidRPr="0080633A" w:rsidP="0080633A" w14:paraId="7FA92BC7"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rPr>
      </w:pPr>
    </w:p>
    <w:p w:rsidR="00583ACD" w:rsidP="00A76572" w14:paraId="18017F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80633A">
        <w:rPr>
          <w:rFonts w:ascii="Times New Roman" w:hAnsi="Times New Roman"/>
        </w:rPr>
        <w:t xml:space="preserve">The validity of scores from a measurement instrument is another primary feature that should be demonstrated prior to using those scores in an evaluation context (Crocker &amp; Algina, 1986; Nunnally &amp; Berstein, 1994).  </w:t>
      </w:r>
      <w:r w:rsidR="005F6B70">
        <w:rPr>
          <w:rFonts w:ascii="Times New Roman" w:hAnsi="Times New Roman"/>
        </w:rPr>
        <w:t>Several types of evidence can</w:t>
      </w:r>
      <w:r w:rsidRPr="0080633A">
        <w:rPr>
          <w:rFonts w:ascii="Times New Roman" w:hAnsi="Times New Roman"/>
        </w:rPr>
        <w:t xml:space="preserve"> be assembled to demonstrate the validity of test scores.  This study will examine three types.  </w:t>
      </w:r>
    </w:p>
    <w:p w:rsidR="00583ACD" w:rsidP="00A76572" w14:paraId="0C93CE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P="00A76572" w14:paraId="1D54B7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80633A">
        <w:rPr>
          <w:rFonts w:ascii="Times New Roman" w:hAnsi="Times New Roman"/>
        </w:rPr>
        <w:t xml:space="preserve">First, we will acquire evidence on the construct validity for the DRF33.  Construct validity is a common form of validity evidence for test scores where hypothesized relationships between test scores and other external variables or constructs are examined.   </w:t>
      </w:r>
    </w:p>
    <w:p w:rsidR="00583ACD" w:rsidP="00A76572" w14:paraId="560F3B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P="00A76572" w14:paraId="2179E7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80633A">
        <w:rPr>
          <w:rFonts w:ascii="Times New Roman" w:hAnsi="Times New Roman"/>
        </w:rPr>
        <w:t xml:space="preserve">Second, we intend to examine the correlational structure of </w:t>
      </w:r>
      <w:r w:rsidR="008952E0">
        <w:rPr>
          <w:rFonts w:ascii="Times New Roman" w:hAnsi="Times New Roman"/>
        </w:rPr>
        <w:t>attribute ratings from</w:t>
      </w:r>
      <w:r w:rsidRPr="0080633A">
        <w:rPr>
          <w:rFonts w:ascii="Times New Roman" w:hAnsi="Times New Roman"/>
        </w:rPr>
        <w:t xml:space="preserve"> the DRF33 </w:t>
      </w:r>
      <w:r w:rsidR="005F6B70">
        <w:rPr>
          <w:rFonts w:ascii="Times New Roman" w:hAnsi="Times New Roman"/>
        </w:rPr>
        <w:t xml:space="preserve">to determine how many latent dimensions the instrument measures and what those dimensions might be. </w:t>
      </w:r>
      <w:r w:rsidRPr="0080633A">
        <w:rPr>
          <w:rFonts w:ascii="Times New Roman" w:hAnsi="Times New Roman"/>
        </w:rPr>
        <w:t xml:space="preserve">This is also a form of construct validity, although it is internal to the test scores themselves, and it will be studied with exploratory factor analysis.  </w:t>
      </w:r>
    </w:p>
    <w:p w:rsidR="00583ACD" w:rsidP="00A76572" w14:paraId="5CB05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P="00A76572" w14:paraId="731FAE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80633A">
        <w:rPr>
          <w:rFonts w:ascii="Times New Roman" w:hAnsi="Times New Roman"/>
        </w:rPr>
        <w:t xml:space="preserve">Third, we will assess the criterion-related evidence for validity of DFR33 scores.  Criterion-related validity examines the relationships between test scores and external performance criteria which are of fundamental interest to the researcher.  These criteria may represent the performance status </w:t>
      </w:r>
      <w:r w:rsidR="005F6B70">
        <w:rPr>
          <w:rFonts w:ascii="Times New Roman" w:hAnsi="Times New Roman"/>
        </w:rPr>
        <w:t>when the test was administered (concurrent validity) or later</w:t>
      </w:r>
      <w:r w:rsidRPr="0080633A">
        <w:rPr>
          <w:rFonts w:ascii="Times New Roman" w:hAnsi="Times New Roman"/>
        </w:rPr>
        <w:t xml:space="preserve"> (predictive validity).  </w:t>
      </w:r>
    </w:p>
    <w:p w:rsidR="00583ACD" w:rsidP="00A76572" w14:paraId="216B1F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P="00A76572" w14:paraId="259953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80633A">
        <w:rPr>
          <w:rFonts w:ascii="Times New Roman" w:hAnsi="Times New Roman"/>
        </w:rPr>
        <w:t>These different types of validity evidence form the basis of the following research questions</w:t>
      </w:r>
      <w:r>
        <w:rPr>
          <w:rFonts w:ascii="Times New Roman" w:hAnsi="Times New Roman"/>
        </w:rPr>
        <w:t>:</w:t>
      </w:r>
    </w:p>
    <w:p w:rsidR="00A76572" w:rsidRPr="0080633A" w:rsidP="00A76572" w14:paraId="062448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A76572" w:rsidRPr="0080633A" w:rsidP="0080633A" w14:paraId="39035C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80633A">
        <w:rPr>
          <w:rFonts w:ascii="Times New Roman" w:hAnsi="Times New Roman"/>
        </w:rPr>
        <w:t xml:space="preserve">a) How do the DRF33 total and subscale scores differentiate among workplaces of various sizes and in alternative industries that are common across </w:t>
      </w:r>
      <w:r w:rsidR="004F327A">
        <w:rPr>
          <w:rFonts w:ascii="Times New Roman" w:hAnsi="Times New Roman"/>
        </w:rPr>
        <w:t>the 10</w:t>
      </w:r>
      <w:r w:rsidRPr="0080633A">
        <w:rPr>
          <w:rFonts w:ascii="Times New Roman" w:hAnsi="Times New Roman"/>
        </w:rPr>
        <w:t xml:space="preserve"> regions?</w:t>
      </w:r>
    </w:p>
    <w:p w:rsidR="00A76572" w:rsidRPr="0080633A" w:rsidP="0080633A" w14:paraId="50FF5D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80633A">
        <w:rPr>
          <w:rFonts w:ascii="Times New Roman" w:hAnsi="Times New Roman"/>
        </w:rPr>
        <w:t xml:space="preserve">b) How many latent factors </w:t>
      </w:r>
      <w:r w:rsidRPr="0080633A" w:rsidR="00C7129F">
        <w:rPr>
          <w:rFonts w:ascii="Times New Roman" w:hAnsi="Times New Roman"/>
        </w:rPr>
        <w:t>underlie</w:t>
      </w:r>
      <w:r w:rsidRPr="0080633A">
        <w:rPr>
          <w:rFonts w:ascii="Times New Roman" w:hAnsi="Times New Roman"/>
        </w:rPr>
        <w:t xml:space="preserve"> the DRF33 responses and what is a reasonable interpretation of these factors?</w:t>
      </w:r>
    </w:p>
    <w:p w:rsidR="00A76572" w:rsidRPr="0080633A" w:rsidP="0080633A" w14:paraId="6FBF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720"/>
        <w:rPr>
          <w:rFonts w:ascii="Times New Roman" w:hAnsi="Times New Roman"/>
        </w:rPr>
      </w:pPr>
      <w:r w:rsidRPr="0080633A">
        <w:rPr>
          <w:rFonts w:ascii="Times New Roman" w:hAnsi="Times New Roman"/>
        </w:rPr>
        <w:t xml:space="preserve">c) How do DRF33 total and subscale </w:t>
      </w:r>
      <w:r w:rsidR="00EE04DB">
        <w:rPr>
          <w:rFonts w:ascii="Times New Roman" w:hAnsi="Times New Roman"/>
        </w:rPr>
        <w:t xml:space="preserve">(i.e., core element) </w:t>
      </w:r>
      <w:r w:rsidRPr="0080633A">
        <w:rPr>
          <w:rFonts w:ascii="Times New Roman" w:hAnsi="Times New Roman"/>
        </w:rPr>
        <w:t>scores relate to fundamental safety and health outcomes like total recordable case rate (TRC) and days away, restricted or transferred rate (DART)?</w:t>
      </w:r>
    </w:p>
    <w:p w:rsidR="003E60A7" w:rsidP="0076013F" w14:paraId="209DA4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60A7" w:rsidP="003E60A7" w14:paraId="5ABFF7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331508">
        <w:rPr>
          <w:rFonts w:ascii="Times New Roman" w:hAnsi="Times New Roman"/>
          <w:b/>
          <w:i/>
          <w:iCs/>
        </w:rPr>
        <w:t>Statistical Analyses</w:t>
      </w:r>
      <w:r w:rsidRPr="00CE620E">
        <w:rPr>
          <w:rFonts w:ascii="Times New Roman" w:hAnsi="Times New Roman"/>
          <w:i/>
          <w:iCs/>
        </w:rPr>
        <w:t>.</w:t>
      </w:r>
      <w:r w:rsidRPr="00CE620E">
        <w:rPr>
          <w:rFonts w:ascii="Times New Roman" w:hAnsi="Times New Roman"/>
        </w:rPr>
        <w:t xml:space="preserve"> </w:t>
      </w:r>
    </w:p>
    <w:p w:rsidR="00583ACD" w:rsidRPr="00583ACD" w:rsidP="00583ACD" w14:paraId="118B3C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A series of univariate analysis of variance (ANOVA) models will be examined in which DRF33 core element scores and both total scores serve as a single dependent measure in nine successive analyses.  The ANOVA will assess the statistical significance of mean differences on a given dependent measure when exploring the main effects of industry sector, workplace size, and region. This will answer questions such as “Are the differences between means across regions so large in the context of sampling error, that they suggest that nonzero mean differences actually exist in the population?”  Similar questions pertaining to sector and workplace size will be answered.  The two-way interactions for sector x workplace size, sector x region</w:t>
      </w:r>
      <w:r w:rsidR="000B4748">
        <w:rPr>
          <w:rFonts w:ascii="Times New Roman" w:hAnsi="Times New Roman"/>
        </w:rPr>
        <w:t>,</w:t>
      </w:r>
      <w:r w:rsidRPr="00583ACD">
        <w:rPr>
          <w:rFonts w:ascii="Times New Roman" w:hAnsi="Times New Roman"/>
        </w:rPr>
        <w:t xml:space="preserve"> and workplace size x region will be examined in a similar fashion, as will the three-way interaction involving sector x workplace size x region.  The familywise Type I error rate associated with the test of each of these seven effects in the ANOVA model will be set to the traditional value of 0.05.  When the omnibus test of any effect suggests that population group mean differences exist, then appropriate post hoc tests (e.g., Tukey’s Honestly Significant Difference (1949), Scheffe F-test (1959)) will be conducted as a follow-up testing procedure.  The sample size for these ANOVA models will be limited to N=300.  In other words, the second DRF33 rating performed in 50 of the 300 sampled workplaces will not be used in these analyses (as they would violate the independence of scores assumption).  </w:t>
      </w:r>
    </w:p>
    <w:p w:rsidR="00583ACD" w:rsidP="00583ACD" w14:paraId="25901A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RPr="00583ACD" w:rsidP="00583ACD" w14:paraId="244E16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 xml:space="preserve">In addition to the univariate ANOVA models described above, a multivariate ANOVA (MANOVA) model will be performed using scores from each DRF33 core element (other than the multi-employer element) as multiple dependent variables.  (Only complete cases are allowed in a MANOVA and the multi-employer element cannot be evaluated for all workplaces.)  This analysis will offer additional information about the group mean differences for each of the seven effects (i.e., main effects and interactions).  In particular, this analysis will explore which dimension(s) in the space of the dependent variables </w:t>
      </w:r>
      <w:r w:rsidR="00EE04DB">
        <w:rPr>
          <w:rFonts w:ascii="Times New Roman" w:hAnsi="Times New Roman"/>
        </w:rPr>
        <w:t xml:space="preserve">will </w:t>
      </w:r>
      <w:r w:rsidRPr="00583ACD">
        <w:rPr>
          <w:rFonts w:ascii="Times New Roman" w:hAnsi="Times New Roman"/>
        </w:rPr>
        <w:t>differentiate groups the most.  For example, linear combinations involving particular core elements may differentiate industry sectors most, whereas linear combinations of other core elements might distinguish workplaces of various sizes most.   The univariate and multivariate ANOVA models described in this section correspond to Research Question 2a and will provide evidence to support the construct validity of the DRF33.</w:t>
      </w:r>
    </w:p>
    <w:p w:rsidR="00583ACD" w:rsidP="00583ACD" w14:paraId="62C6CE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p>
    <w:p w:rsidR="00583ACD" w:rsidRPr="00583ACD" w:rsidP="00583ACD" w14:paraId="7FE7C8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r w:rsidRPr="00583ACD">
        <w:rPr>
          <w:rFonts w:ascii="Times New Roman" w:hAnsi="Times New Roman"/>
          <w:u w:val="single"/>
        </w:rPr>
        <w:t>Psychometric Analyses</w:t>
      </w:r>
    </w:p>
    <w:p w:rsidR="00583ACD" w:rsidP="00583ACD" w14:paraId="7A07E8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p>
    <w:p w:rsidR="00583ACD" w:rsidRPr="00583ACD" w:rsidP="00583ACD" w14:paraId="1C5E43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u w:val="single"/>
        </w:rPr>
        <w:t xml:space="preserve">Reliability Analyses.  </w:t>
      </w:r>
      <w:r w:rsidRPr="00583ACD">
        <w:rPr>
          <w:rFonts w:ascii="Times New Roman" w:hAnsi="Times New Roman"/>
        </w:rPr>
        <w:t xml:space="preserve">Two types of reliability analysis will be performed.  The first is an analysis of the internal consistency of attribute ratings for a given core element.  This will be performed using Cronbach’s (1951) alpha coefficient.  Cronbach’s alpha will be calculated separately for the attributes of each core element </w:t>
      </w:r>
      <w:r w:rsidR="000B4748">
        <w:rPr>
          <w:rFonts w:ascii="Times New Roman" w:hAnsi="Times New Roman"/>
        </w:rPr>
        <w:t>and,</w:t>
      </w:r>
      <w:r w:rsidRPr="00583ACD">
        <w:rPr>
          <w:rFonts w:ascii="Times New Roman" w:hAnsi="Times New Roman"/>
        </w:rPr>
        <w:t xml:space="preserve"> thus, will yield estimates of reliability for each set of core element scores (i.e., subscales).  If subsequent (factor) analysis suggest that some attributes are better aligned with other core elements, then those attributes will be reassigned accordingly, and the analysis of internal consistency will be repeated using the new attribute subsets.  For each of these two applications of Cronbach’s alpha, attributes that contribute little to the internal consistency of the scale, or even decrease it, will be identified as possible candidates for elimination from the </w:t>
      </w:r>
      <w:r w:rsidRPr="00583ACD">
        <w:rPr>
          <w:rFonts w:ascii="Times New Roman" w:hAnsi="Times New Roman"/>
        </w:rPr>
        <w:t>DRF33.  These internal consistency analyses correspond to Research Questions 1a and 1b and will provide one source of evidence about the reliability of DRF33 scores.</w:t>
      </w:r>
    </w:p>
    <w:p w:rsidR="00583ACD" w:rsidP="00583ACD" w14:paraId="675A98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RPr="00583ACD" w:rsidP="00583ACD" w14:paraId="199C78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r w:rsidRPr="00583ACD">
        <w:rPr>
          <w:rFonts w:ascii="Times New Roman" w:hAnsi="Times New Roman"/>
        </w:rPr>
        <w:t xml:space="preserve">The second type of reliability information that will be evaluated is interrater reliability.  Fifty of the 300 workplaces sampled in this study will be visited by two consultants who both fill out the DRF33 independently based on the information available at the worksite.  These 50 pairs of DRF33 scores will be evaluated with respect to both the consistency and the agreement of scores from each pair of consultants.  This assessment will be done separately for each core element as well as the two total scores.  Investigation of interrater reliability between the 50 pairs of data points will be conducted using intraclass correlation coefficients (Fleiss, 1981; Shrout &amp; Fleiss, 1979) and will be supplemented with Pearson and Spearman correlation coefficients.  These interrater reliability analyses address Research Questions </w:t>
      </w:r>
      <w:r w:rsidR="00C7129F">
        <w:rPr>
          <w:rFonts w:ascii="Times New Roman" w:hAnsi="Times New Roman"/>
        </w:rPr>
        <w:t>1</w:t>
      </w:r>
      <w:r w:rsidRPr="00583ACD">
        <w:rPr>
          <w:rFonts w:ascii="Times New Roman" w:hAnsi="Times New Roman"/>
        </w:rPr>
        <w:t xml:space="preserve">c and </w:t>
      </w:r>
      <w:r w:rsidR="00C7129F">
        <w:rPr>
          <w:rFonts w:ascii="Times New Roman" w:hAnsi="Times New Roman"/>
        </w:rPr>
        <w:t>1</w:t>
      </w:r>
      <w:r w:rsidRPr="00583ACD">
        <w:rPr>
          <w:rFonts w:ascii="Times New Roman" w:hAnsi="Times New Roman"/>
        </w:rPr>
        <w:t>d.</w:t>
      </w:r>
    </w:p>
    <w:p w:rsidR="00583ACD" w:rsidP="00583ACD" w14:paraId="22D7EC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p>
    <w:p w:rsidR="00583ACD" w:rsidRPr="00583ACD" w:rsidP="00583ACD" w14:paraId="50875A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u w:val="single"/>
        </w:rPr>
        <w:t>Validity Analyses</w:t>
      </w:r>
      <w:r w:rsidRPr="00583ACD">
        <w:rPr>
          <w:rFonts w:ascii="Times New Roman" w:hAnsi="Times New Roman"/>
        </w:rPr>
        <w:t xml:space="preserve">  </w:t>
      </w:r>
    </w:p>
    <w:p w:rsidR="00583ACD" w:rsidRPr="00583ACD" w:rsidP="00583ACD" w14:paraId="73B83C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Additional evidence supporting the validity of the DRF33 will be obtained from two primary methodological strategies.  The first is through factor analysis techniques.  Factor analysis attempts to explain the common variance among a set of variables by postulating a set of underlying constructs (factors).  In the current context, these constructs are presumably responsible for the</w:t>
      </w:r>
      <w:r w:rsidR="00EE04DB">
        <w:rPr>
          <w:rFonts w:ascii="Times New Roman" w:hAnsi="Times New Roman"/>
        </w:rPr>
        <w:t xml:space="preserve"> </w:t>
      </w:r>
      <w:r w:rsidRPr="00583ACD">
        <w:rPr>
          <w:rFonts w:ascii="Times New Roman" w:hAnsi="Times New Roman"/>
        </w:rPr>
        <w:t xml:space="preserve">attribute ratings on the DRF33, and thus, they can theoretically account for correlations among pairs of attribute ratings.  Factor analysis will be used to identify the number and nature of the underlying constructs required to explain the correlation among those ratings.  Because standard Pearson correlations between discrete (rather than continuous) responses may underestimate true linear relationships and result in spurious factors, polychoric correlations among pairs of attribute ratings will be used in all factor analyses conducted in this study (Gorsuch, 1983; Lee, Poon &amp; Bentler, 1995).  Polychoric correlations, are in essence, estimates of Pearson correlations that would have emerged if the observed discrete responses resulted from categorizing the domain of a normal distribution into successive, discrete intervals (i.e, graded categories like 0, 1, 2, and 3).  </w:t>
      </w:r>
    </w:p>
    <w:p w:rsidR="00583ACD" w:rsidP="00583ACD" w14:paraId="7DFF2E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RPr="00583ACD" w:rsidP="00583ACD" w14:paraId="41A89A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Pr>
          <w:rFonts w:ascii="Times New Roman" w:hAnsi="Times New Roman"/>
        </w:rPr>
        <w:t>Three-factor analysis models will be fit for</w:t>
      </w:r>
      <w:r w:rsidRPr="00583ACD">
        <w:rPr>
          <w:rFonts w:ascii="Times New Roman" w:hAnsi="Times New Roman"/>
        </w:rPr>
        <w:t xml:space="preserve"> the DRF33 responses.  The first will be a traditional exploratory factor analysis (EFA) model in which each of the attributes is allowed to correlate with each latent factor estimated in the model.  Specifically, if we presume that each latent factor represents a particular core element (e.g., management leadership, hazard identification and assessment, etc.) then each attribute will be allowed to correlate with each underlying core element.  Ideally, a particular attribute would correlate only with the core element that it was designed to measure, but that is an empirical question which the analysis will address.  EFA, by definition, produces orthogonal (i.e. linearly independent) factors.  However, there is no reason to believe that the constructs underlying each core element are uncorrelated.  For that reason, EFA results will be rotated to allow for correlations among core elements.  This will be accomplished using a Promax rotation (Hendrickson &amp; White, 1964).</w:t>
      </w:r>
    </w:p>
    <w:p w:rsidR="00583ACD" w:rsidP="00583ACD" w14:paraId="7C4C64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RPr="00583ACD" w:rsidP="00583ACD" w14:paraId="19BCD8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 xml:space="preserve">In addition to the EFA, two other confirmatory factor analysis models will be estimated.  The first of these will be a simple structure model (Joreskog, 1966) in which only those attributes designed to measure a given core element will be allowed to correlate with the underlying factor associated with that core element.  However, the underlying factors will be allowed to correlate with each other.  The final factor analysis model to be explored, referred to as a bifactor model (Gibbons &amp; Hedeker, 1992), will allow each DRF33 attribute to correlate with a general factor that could be interpreted a general safety and health program quality factor.  In addition to this correlation with the general factor, each attribute will be allowed to correlate with a second factor that represents that part of the underlying core element unique from the general factor.  Any correlations among attributes from different core elements are assumed to result from the general factor.   </w:t>
      </w:r>
    </w:p>
    <w:p w:rsidR="00583ACD" w:rsidP="00583ACD" w14:paraId="7CBDAA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P="00583ACD" w14:paraId="133A82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 xml:space="preserve">The fit of each of these aforementioned factor analysis models will be assessed using a variety of indices along with manual inspection of residuals.  The first fit index that will be calculated is the root mean square error of approximation (RMSEA; Steiger &amp; Lind, 1980).  This index provides both a relative and absolute index of model fit.  Lower values of the RMSEA are preferred.  RMSEA values less than .08 are deemed reasonable whereas those less than .06 are interpreted as good (Hu &amp; Bentler, 1998).  Two information criteria will also be employed to explore relative model fit.  These are Akaike’s (1973) information criterion (AIC) and the Bayesian information criterion (BIC; Schwarz, 1978).  Both indices evaluate misfit of the model with larger values reflecting more misfit.  Additionally, both indices incorporate a penalty for more complicated models.  Models with greater numbers of estimated parameters are penalized more than those with fewer estimated parameters.  The difference in the two criteria is that this penalty for the number of estimated parameters is more severe for the BIC than the AIC.  In this sense, the BIC weights parsimony more than the AIC when used to evaluate alternative models.  </w:t>
      </w:r>
    </w:p>
    <w:p w:rsidR="00EE04DB" w:rsidP="00583ACD" w14:paraId="46C027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EE04DB" w:rsidRPr="00583ACD" w:rsidP="00EE04DB" w14:paraId="54B4B8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EE04DB">
        <w:rPr>
          <w:rFonts w:ascii="Times New Roman" w:hAnsi="Times New Roman"/>
        </w:rPr>
        <w:t xml:space="preserve">The three aforementioned factor analysis models will be estimated repeatedly using alternative sets of data.  First, the data for the 48 attributes that represent core elements other than the multi-employer element will be examined.  These data will be available (without missing values) for all 300 workplaces </w:t>
      </w:r>
      <w:r w:rsidR="004D3E65">
        <w:rPr>
          <w:rFonts w:ascii="Times New Roman" w:hAnsi="Times New Roman"/>
        </w:rPr>
        <w:t>participating</w:t>
      </w:r>
      <w:r w:rsidRPr="00EE04DB">
        <w:rPr>
          <w:rFonts w:ascii="Times New Roman" w:hAnsi="Times New Roman"/>
        </w:rPr>
        <w:t xml:space="preserve"> in the Pilot Study.  Second, the factor analyses described above will be performed again using all 52 DRF33 attributes for only the workplaces with other types of workers (e.g., temporary, contractual</w:t>
      </w:r>
      <w:r w:rsidR="004D3E65">
        <w:rPr>
          <w:rFonts w:ascii="Times New Roman" w:hAnsi="Times New Roman"/>
        </w:rPr>
        <w:t>,</w:t>
      </w:r>
      <w:r w:rsidRPr="00EE04DB">
        <w:rPr>
          <w:rFonts w:ascii="Times New Roman" w:hAnsi="Times New Roman"/>
        </w:rPr>
        <w:t xml:space="preserve"> and seasonal workers) in addition to the host employer’s workers.  Third, the </w:t>
      </w:r>
      <w:r w:rsidR="004D3E65">
        <w:rPr>
          <w:rFonts w:ascii="Times New Roman" w:hAnsi="Times New Roman"/>
        </w:rPr>
        <w:t>three-</w:t>
      </w:r>
      <w:r w:rsidRPr="00EE04DB">
        <w:rPr>
          <w:rFonts w:ascii="Times New Roman" w:hAnsi="Times New Roman"/>
        </w:rPr>
        <w:t>factor analyses will be repeated again, but this time using a full correlation matrix built from pairwise correlations that only require complete data for elements in the pair of attributes involved in the correlation (rather than all of the attributes).  This will enable us to examine all attributes and all workplaces simultaneously, albeit with a non-Gramian correlation matrix.</w:t>
      </w:r>
    </w:p>
    <w:p w:rsidR="00583ACD" w:rsidP="00583ACD" w14:paraId="341783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RPr="00583ACD" w:rsidP="00583ACD" w14:paraId="052961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 xml:space="preserve">Each </w:t>
      </w:r>
      <w:r w:rsidR="004D3E65">
        <w:rPr>
          <w:rFonts w:ascii="Times New Roman" w:hAnsi="Times New Roman"/>
        </w:rPr>
        <w:t>factor analysis model</w:t>
      </w:r>
      <w:r w:rsidRPr="00583ACD">
        <w:rPr>
          <w:rFonts w:ascii="Times New Roman" w:hAnsi="Times New Roman"/>
        </w:rPr>
        <w:t xml:space="preserve"> above will help better understand the correlational structure of attribute ratings on the DRF33.  Moreover, when taken together, they will provide substantial information about the internal (construct) validity of the DRF33 as specified in Research Question 2b.</w:t>
      </w:r>
    </w:p>
    <w:p w:rsidR="00583ACD" w:rsidP="00583ACD" w14:paraId="1F7E79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P="00583ACD" w14:paraId="520C2F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 xml:space="preserve">Evidence for the validity of DRF33 core element scores and total scores will also be developed from correlations between these scores and external outcome covariates which should logically covary with the quality of a safety and health program.  Specifically, each DRF33 score will be correlated with both the retrospective and prospective measures of TRC and DART using both Pearson and Spearman (rank order) correlation indices.  Additionally, each of these covariates will serve as a dependent measure in a multiple regression model in which all DRF33 core element scores </w:t>
      </w:r>
      <w:r w:rsidR="00EE04DB">
        <w:rPr>
          <w:rFonts w:ascii="Times New Roman" w:hAnsi="Times New Roman"/>
        </w:rPr>
        <w:t xml:space="preserve">(other than the multi-employer element) </w:t>
      </w:r>
      <w:r w:rsidRPr="00583ACD">
        <w:rPr>
          <w:rFonts w:ascii="Times New Roman" w:hAnsi="Times New Roman"/>
        </w:rPr>
        <w:t xml:space="preserve">serve as predictors. This will reveal the unique contribution of each DRF33 core element score to the prediction of the respective covariates </w:t>
      </w:r>
      <w:r w:rsidR="004D3E65">
        <w:rPr>
          <w:rFonts w:ascii="Times New Roman" w:hAnsi="Times New Roman"/>
        </w:rPr>
        <w:t>instead of</w:t>
      </w:r>
      <w:r w:rsidRPr="00583ACD">
        <w:rPr>
          <w:rFonts w:ascii="Times New Roman" w:hAnsi="Times New Roman"/>
        </w:rPr>
        <w:t xml:space="preserve"> simply the total contribution assessed using simple correlations.  The statistically significant predictors in this model will be identified and the proportion of variance in the dependent variable will be quantified.  A multivariate multiple regression (Finn, 1974) will also be performed to determine if there is a dominant dimension underlying the two covariates that can be explained in a statistically significant fashion by any of the core element scores.  The univariate and multivariate multiple regressions correspond to Research Question 2c and provide evidence pertaining to criterion-related validity.</w:t>
      </w:r>
    </w:p>
    <w:p w:rsidR="00583ACD" w:rsidRPr="00583ACD" w:rsidP="00583ACD" w14:paraId="389025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p>
    <w:p w:rsidR="00583ACD" w:rsidRPr="00583ACD" w:rsidP="00583ACD" w14:paraId="0D09CF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u w:val="single"/>
        </w:rPr>
      </w:pPr>
      <w:r w:rsidRPr="00583ACD">
        <w:rPr>
          <w:rFonts w:ascii="Times New Roman" w:hAnsi="Times New Roman"/>
          <w:u w:val="single"/>
        </w:rPr>
        <w:t>Data Analysis Software</w:t>
      </w:r>
    </w:p>
    <w:p w:rsidR="00583ACD" w:rsidRPr="00583ACD" w:rsidP="00583ACD" w14:paraId="4C6671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583ACD">
        <w:rPr>
          <w:rFonts w:ascii="Times New Roman" w:hAnsi="Times New Roman"/>
        </w:rPr>
        <w:t xml:space="preserve">The analyses described above will be accomplished primarily with two types of software.  The factor analysis models and model comparisons based on polychoric correlations of attribute ratings will be performed with the EQS 6.3 computer program.  </w:t>
      </w:r>
      <w:r w:rsidR="004D3E65">
        <w:rPr>
          <w:rFonts w:ascii="Times New Roman" w:hAnsi="Times New Roman"/>
        </w:rPr>
        <w:t>The SAS system will perform other correlation analyses, regression analyses, and ANOVAs</w:t>
      </w:r>
      <w:r w:rsidRPr="00583ACD">
        <w:rPr>
          <w:rFonts w:ascii="Times New Roman" w:hAnsi="Times New Roman"/>
        </w:rPr>
        <w:t>.</w:t>
      </w:r>
    </w:p>
    <w:p w:rsidR="00CA0F56" w:rsidRPr="00871CA6" w:rsidP="00DC593F" w14:paraId="112753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7E5643" w14:paraId="2CC4EE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A82570" w:rsidP="00690F56" w14:paraId="19EB5C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D8641F" w:rsidRPr="000E01FA" w:rsidP="007E5643" w14:paraId="754886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0E01FA">
        <w:rPr>
          <w:rFonts w:ascii="Times New Roman" w:hAnsi="Times New Roman"/>
          <w:bCs/>
        </w:rPr>
        <w:t>OSHA is not seeking</w:t>
      </w:r>
      <w:r w:rsidR="00A82570">
        <w:rPr>
          <w:rFonts w:ascii="Times New Roman" w:hAnsi="Times New Roman"/>
          <w:bCs/>
        </w:rPr>
        <w:t xml:space="preserve"> approval to not</w:t>
      </w:r>
      <w:r w:rsidRPr="000E01FA">
        <w:rPr>
          <w:rFonts w:ascii="Times New Roman" w:hAnsi="Times New Roman"/>
          <w:bCs/>
        </w:rPr>
        <w:t xml:space="preserve"> display </w:t>
      </w:r>
      <w:r w:rsidR="00A82570">
        <w:rPr>
          <w:rFonts w:ascii="Times New Roman" w:hAnsi="Times New Roman"/>
          <w:bCs/>
        </w:rPr>
        <w:t xml:space="preserve">the </w:t>
      </w:r>
      <w:r w:rsidRPr="000E01FA">
        <w:rPr>
          <w:rFonts w:ascii="Times New Roman" w:hAnsi="Times New Roman"/>
          <w:bCs/>
        </w:rPr>
        <w:t>expiration date for OMB</w:t>
      </w:r>
      <w:r w:rsidR="00A82570">
        <w:rPr>
          <w:rFonts w:ascii="Times New Roman" w:hAnsi="Times New Roman"/>
          <w:bCs/>
        </w:rPr>
        <w:t xml:space="preserve"> approval of the information collection</w:t>
      </w:r>
      <w:r w:rsidR="00293289">
        <w:rPr>
          <w:rFonts w:ascii="Times New Roman" w:hAnsi="Times New Roman"/>
          <w:bCs/>
        </w:rPr>
        <w:t xml:space="preserve"> request</w:t>
      </w:r>
      <w:r w:rsidRPr="000E01FA">
        <w:rPr>
          <w:rFonts w:ascii="Times New Roman" w:hAnsi="Times New Roman"/>
          <w:bCs/>
        </w:rPr>
        <w:t>.</w:t>
      </w:r>
    </w:p>
    <w:p w:rsidR="000C3A92" w:rsidRPr="00A973AA" w:rsidP="00690F56" w14:paraId="7A6CDF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7E5643" w14:paraId="3DBBB5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rPr>
          <w:rFonts w:ascii="Times New Roman" w:hAnsi="Times New Roman"/>
          <w:b/>
        </w:rPr>
      </w:pPr>
      <w:r w:rsidRPr="00D53DEB">
        <w:rPr>
          <w:rFonts w:ascii="Times New Roman" w:hAnsi="Times New Roman"/>
          <w:b/>
        </w:rPr>
        <w:t>18.  Explain each exception to the certification statement.</w:t>
      </w:r>
    </w:p>
    <w:p w:rsidR="000C3A92" w:rsidP="000C3A92" w14:paraId="6523EB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570" w:rsidRPr="007E5643" w:rsidP="007E5643" w14:paraId="2E0AA1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Cs/>
        </w:rPr>
      </w:pPr>
      <w:r w:rsidRPr="007E5643">
        <w:rPr>
          <w:rFonts w:ascii="Times New Roman" w:hAnsi="Times New Roman"/>
          <w:bCs/>
        </w:rPr>
        <w:t>OSHA is not seeking an exception to the certification statement.</w:t>
      </w:r>
    </w:p>
    <w:p w:rsidR="00332F98" w14:paraId="68F168A4" w14:textId="77777777">
      <w:pPr>
        <w:rPr>
          <w:rFonts w:ascii="Times New Roman" w:hAnsi="Times New Roman"/>
        </w:rPr>
      </w:pPr>
    </w:p>
    <w:p w:rsidR="008F2602" w14:paraId="104839FE" w14:textId="77777777">
      <w:pPr>
        <w:rPr>
          <w:rFonts w:ascii="Times New Roman" w:hAnsi="Times New Roman"/>
        </w:rPr>
      </w:pPr>
    </w:p>
    <w:p w:rsidR="008F2602" w14:paraId="3DE573A8" w14:textId="77777777">
      <w:pPr>
        <w:rPr>
          <w:rFonts w:ascii="Times New Roman" w:hAnsi="Times New Roman"/>
        </w:rPr>
      </w:pPr>
    </w:p>
    <w:p w:rsidR="0008353D" w:rsidRPr="0008353D" w:rsidP="0008353D" w14:paraId="2692B838" w14:textId="77777777">
      <w:pPr>
        <w:keepNext/>
        <w:widowControl/>
        <w:rPr>
          <w:rFonts w:ascii="Times New Roman" w:hAnsi="Times New Roman"/>
          <w:i/>
        </w:rPr>
      </w:pPr>
      <w:r>
        <w:rPr>
          <w:rFonts w:ascii="Times New Roman" w:hAnsi="Times New Roman"/>
          <w:b/>
        </w:rPr>
        <w:t>Appendix A</w:t>
      </w:r>
      <w:r w:rsidRPr="0008353D">
        <w:rPr>
          <w:rFonts w:ascii="Times New Roman" w:hAnsi="Times New Roman"/>
          <w:b/>
        </w:rPr>
        <w:t xml:space="preserve">: </w:t>
      </w:r>
      <w:r>
        <w:rPr>
          <w:rFonts w:ascii="Times New Roman" w:hAnsi="Times New Roman"/>
          <w:b/>
        </w:rPr>
        <w:t xml:space="preserve">2022 </w:t>
      </w:r>
      <w:r w:rsidRPr="0008353D">
        <w:rPr>
          <w:rFonts w:ascii="Times New Roman" w:hAnsi="Times New Roman"/>
          <w:b/>
        </w:rPr>
        <w:t>Estimated Respondent for State Consultation Programs, Hour and Cost Burden for the Pilot Study</w:t>
      </w:r>
      <w:r w:rsidRPr="00E74030" w:rsidR="001B1BAF">
        <w:rPr>
          <w:rFonts w:ascii="Times New Roman" w:hAnsi="Times New Roman"/>
          <w:bCs/>
        </w:rPr>
        <w:t xml:space="preserve"> </w:t>
      </w:r>
      <w:bookmarkStart w:id="4" w:name="_Hlk174439436"/>
      <w:r w:rsidRPr="00E74030" w:rsidR="001B1BAF">
        <w:rPr>
          <w:rFonts w:ascii="Times New Roman" w:hAnsi="Times New Roman"/>
          <w:bCs/>
        </w:rPr>
        <w:t>(OMB #1218-0280; Expiration Date: June 30, 2024)</w:t>
      </w:r>
      <w:bookmarkEnd w:id="4"/>
    </w:p>
    <w:tbl>
      <w:tblPr>
        <w:tblW w:w="1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4"/>
        <w:gridCol w:w="1530"/>
        <w:gridCol w:w="1350"/>
        <w:gridCol w:w="146"/>
        <w:gridCol w:w="1024"/>
        <w:gridCol w:w="146"/>
        <w:gridCol w:w="1024"/>
        <w:gridCol w:w="146"/>
        <w:gridCol w:w="754"/>
        <w:gridCol w:w="146"/>
        <w:gridCol w:w="1024"/>
        <w:gridCol w:w="146"/>
        <w:gridCol w:w="754"/>
        <w:gridCol w:w="146"/>
        <w:gridCol w:w="1114"/>
        <w:gridCol w:w="146"/>
      </w:tblGrid>
      <w:tr w14:paraId="32A3C7C4" w14:textId="77777777" w:rsidTr="0008353D">
        <w:tblPrEx>
          <w:tblW w:w="1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46" w:type="dxa"/>
          <w:trHeight w:val="1223"/>
          <w:tblHeader/>
          <w:jc w:val="center"/>
        </w:trPr>
        <w:tc>
          <w:tcPr>
            <w:tcW w:w="1805" w:type="dxa"/>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65B1FB0F" w14:textId="77777777">
            <w:pPr>
              <w:spacing w:line="276" w:lineRule="auto"/>
              <w:jc w:val="center"/>
              <w:rPr>
                <w:rFonts w:ascii="Times New Roman" w:hAnsi="Times New Roman"/>
                <w:b/>
                <w:sz w:val="20"/>
                <w:szCs w:val="20"/>
              </w:rPr>
            </w:pPr>
            <w:r w:rsidRPr="0008353D">
              <w:rPr>
                <w:rFonts w:ascii="Times New Roman" w:hAnsi="Times New Roman"/>
                <w:b/>
                <w:sz w:val="20"/>
                <w:szCs w:val="20"/>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77F9498F" w14:textId="77777777">
            <w:pPr>
              <w:spacing w:line="276" w:lineRule="auto"/>
              <w:jc w:val="center"/>
              <w:rPr>
                <w:rFonts w:ascii="Times New Roman" w:hAnsi="Times New Roman"/>
                <w:b/>
                <w:sz w:val="18"/>
                <w:szCs w:val="18"/>
              </w:rPr>
            </w:pPr>
            <w:r w:rsidRPr="0008353D">
              <w:rPr>
                <w:rFonts w:ascii="Times New Roman" w:hAnsi="Times New Roman"/>
                <w:b/>
                <w:sz w:val="18"/>
                <w:szCs w:val="18"/>
              </w:rPr>
              <w:t>Type of</w:t>
            </w:r>
          </w:p>
          <w:p w:rsidR="0008353D" w:rsidRPr="0008353D" w:rsidP="0008353D" w14:paraId="3187EE5B" w14:textId="77777777">
            <w:pPr>
              <w:spacing w:line="276" w:lineRule="auto"/>
              <w:jc w:val="center"/>
              <w:rPr>
                <w:rFonts w:ascii="Times New Roman" w:hAnsi="Times New Roman"/>
                <w:b/>
                <w:sz w:val="20"/>
                <w:szCs w:val="20"/>
              </w:rPr>
            </w:pPr>
            <w:r w:rsidRPr="0008353D">
              <w:rPr>
                <w:rFonts w:ascii="Times New Roman" w:hAnsi="Times New Roman"/>
                <w:b/>
                <w:sz w:val="18"/>
                <w:szCs w:val="18"/>
              </w:rPr>
              <w:t>Respondent</w:t>
            </w:r>
            <w:r>
              <w:rPr>
                <w:rFonts w:ascii="Times New Roman" w:hAnsi="Times New Roman"/>
                <w:b/>
                <w:sz w:val="20"/>
                <w:szCs w:val="20"/>
                <w:vertAlign w:val="superscript"/>
              </w:rPr>
              <w:footnoteReference w:id="16"/>
            </w:r>
          </w:p>
        </w:tc>
        <w:tc>
          <w:tcPr>
            <w:tcW w:w="1350" w:type="dxa"/>
            <w:tcBorders>
              <w:top w:val="single" w:sz="4" w:space="0" w:color="auto"/>
              <w:left w:val="single" w:sz="4" w:space="0" w:color="auto"/>
              <w:bottom w:val="single" w:sz="4" w:space="0" w:color="auto"/>
              <w:right w:val="single" w:sz="4" w:space="0" w:color="auto"/>
            </w:tcBorders>
            <w:shd w:val="clear" w:color="auto" w:fill="8DB3E2"/>
          </w:tcPr>
          <w:p w:rsidR="0008353D" w:rsidRPr="0008353D" w:rsidP="0008353D" w14:paraId="46CFF931" w14:textId="77777777">
            <w:pPr>
              <w:spacing w:line="276" w:lineRule="auto"/>
              <w:jc w:val="center"/>
              <w:rPr>
                <w:rFonts w:ascii="Times New Roman" w:hAnsi="Times New Roman"/>
                <w:b/>
                <w:sz w:val="20"/>
                <w:szCs w:val="20"/>
              </w:rPr>
            </w:pPr>
            <w:r w:rsidRPr="0008353D">
              <w:rPr>
                <w:rFonts w:ascii="Times New Roman" w:hAnsi="Times New Roman"/>
                <w:b/>
                <w:sz w:val="20"/>
                <w:szCs w:val="20"/>
              </w:rPr>
              <w:t xml:space="preserve">No. of </w:t>
            </w:r>
            <w:r w:rsidRPr="0008353D">
              <w:rPr>
                <w:rFonts w:ascii="Times New Roman" w:hAnsi="Times New Roman"/>
                <w:b/>
                <w:sz w:val="18"/>
                <w:szCs w:val="18"/>
              </w:rPr>
              <w:t>Respondents</w:t>
            </w:r>
            <w:r>
              <w:rPr>
                <w:rFonts w:ascii="Times New Roman" w:hAnsi="Times New Roman"/>
                <w:b/>
                <w:sz w:val="18"/>
                <w:szCs w:val="18"/>
                <w:vertAlign w:val="superscript"/>
              </w:rPr>
              <w:footnoteReference w:id="17"/>
            </w:r>
          </w:p>
          <w:p w:rsidR="0008353D" w:rsidRPr="0008353D" w:rsidP="0008353D" w14:paraId="3397A85D" w14:textId="77777777">
            <w:pPr>
              <w:spacing w:line="276" w:lineRule="auto"/>
              <w:jc w:val="center"/>
              <w:rPr>
                <w:rFonts w:ascii="Times New Roman" w:hAnsi="Times New Roman"/>
                <w:b/>
                <w:sz w:val="20"/>
                <w:szCs w:val="20"/>
              </w:rPr>
            </w:pPr>
          </w:p>
          <w:p w:rsidR="0008353D" w:rsidRPr="0008353D" w:rsidP="0008353D" w14:paraId="5C22D046" w14:textId="77777777">
            <w:pPr>
              <w:spacing w:line="276" w:lineRule="auto"/>
              <w:jc w:val="center"/>
              <w:rPr>
                <w:rFonts w:ascii="Times New Roman" w:hAnsi="Times New Roman"/>
                <w:b/>
                <w:sz w:val="20"/>
                <w:szCs w:val="20"/>
              </w:rPr>
            </w:pPr>
          </w:p>
          <w:p w:rsidR="0008353D" w:rsidRPr="0008353D" w:rsidP="0008353D" w14:paraId="3E9CFB20" w14:textId="77777777">
            <w:pPr>
              <w:spacing w:line="276" w:lineRule="auto"/>
              <w:jc w:val="center"/>
              <w:rPr>
                <w:rFonts w:ascii="Times New Roman" w:hAnsi="Times New Roman"/>
                <w:b/>
                <w:sz w:val="20"/>
                <w:szCs w:val="20"/>
              </w:rPr>
            </w:pPr>
          </w:p>
          <w:p w:rsidR="0008353D" w:rsidRPr="0008353D" w:rsidP="0008353D" w14:paraId="275AD178"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6222B013" w14:textId="77777777">
            <w:pPr>
              <w:spacing w:line="276" w:lineRule="auto"/>
              <w:jc w:val="center"/>
              <w:rPr>
                <w:rFonts w:ascii="Times New Roman" w:hAnsi="Times New Roman"/>
                <w:b/>
                <w:sz w:val="20"/>
                <w:szCs w:val="20"/>
              </w:rPr>
            </w:pPr>
            <w:r w:rsidRPr="0008353D">
              <w:rPr>
                <w:rFonts w:ascii="Times New Roman" w:hAnsi="Times New Roman"/>
                <w:b/>
                <w:sz w:val="20"/>
                <w:szCs w:val="20"/>
              </w:rPr>
              <w:t>No. of Responses</w:t>
            </w:r>
          </w:p>
          <w:p w:rsidR="0008353D" w:rsidRPr="0008353D" w:rsidP="0008353D" w14:paraId="67C9ADAE" w14:textId="77777777">
            <w:pPr>
              <w:spacing w:line="276" w:lineRule="auto"/>
              <w:jc w:val="center"/>
              <w:rPr>
                <w:rFonts w:ascii="Times New Roman" w:hAnsi="Times New Roman"/>
                <w:b/>
                <w:sz w:val="20"/>
                <w:szCs w:val="20"/>
              </w:rPr>
            </w:pPr>
            <w:r w:rsidRPr="0008353D">
              <w:rPr>
                <w:rFonts w:ascii="Times New Roman" w:hAnsi="Times New Roman"/>
                <w:b/>
                <w:sz w:val="20"/>
                <w:szCs w:val="20"/>
              </w:rPr>
              <w:t xml:space="preserve">per </w:t>
            </w:r>
            <w:r w:rsidRPr="0008353D">
              <w:rPr>
                <w:rFonts w:ascii="Times New Roman" w:hAnsi="Times New Roman"/>
                <w:b/>
                <w:sz w:val="18"/>
                <w:szCs w:val="18"/>
              </w:rPr>
              <w:t>Respondent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3F18D1D0" w14:textId="77777777">
            <w:pPr>
              <w:spacing w:line="276" w:lineRule="auto"/>
              <w:jc w:val="center"/>
              <w:rPr>
                <w:rFonts w:ascii="Times New Roman" w:hAnsi="Times New Roman"/>
                <w:b/>
                <w:sz w:val="20"/>
                <w:szCs w:val="20"/>
              </w:rPr>
            </w:pPr>
            <w:r w:rsidRPr="0008353D">
              <w:rPr>
                <w:rFonts w:ascii="Times New Roman" w:hAnsi="Times New Roman"/>
                <w:b/>
                <w:sz w:val="20"/>
                <w:szCs w:val="20"/>
              </w:rPr>
              <w:t>Total No. of Responses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3635FE17" w14:textId="77777777">
            <w:pPr>
              <w:spacing w:line="276" w:lineRule="auto"/>
              <w:jc w:val="center"/>
              <w:rPr>
                <w:rFonts w:ascii="Times New Roman" w:hAnsi="Times New Roman"/>
                <w:b/>
                <w:sz w:val="20"/>
                <w:szCs w:val="20"/>
              </w:rPr>
            </w:pPr>
            <w:r w:rsidRPr="0008353D">
              <w:rPr>
                <w:rFonts w:ascii="Times New Roman" w:hAnsi="Times New Roman"/>
                <w:b/>
                <w:sz w:val="18"/>
                <w:szCs w:val="18"/>
              </w:rPr>
              <w:t xml:space="preserve">Average </w:t>
            </w:r>
            <w:r w:rsidRPr="0008353D">
              <w:rPr>
                <w:rFonts w:ascii="Times New Roman" w:hAnsi="Times New Roman"/>
                <w:b/>
                <w:sz w:val="20"/>
                <w:szCs w:val="20"/>
              </w:rPr>
              <w:t>Burden (Hours)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506196EA" w14:textId="77777777">
            <w:pPr>
              <w:spacing w:line="276" w:lineRule="auto"/>
              <w:jc w:val="center"/>
              <w:rPr>
                <w:rFonts w:ascii="Times New Roman" w:hAnsi="Times New Roman"/>
                <w:b/>
                <w:sz w:val="20"/>
                <w:szCs w:val="20"/>
              </w:rPr>
            </w:pPr>
            <w:r w:rsidRPr="0008353D">
              <w:rPr>
                <w:rFonts w:ascii="Times New Roman" w:hAnsi="Times New Roman"/>
                <w:b/>
                <w:sz w:val="20"/>
                <w:szCs w:val="20"/>
              </w:rPr>
              <w:t>Total Burden (Hours)</w:t>
            </w:r>
          </w:p>
        </w:tc>
        <w:tc>
          <w:tcPr>
            <w:tcW w:w="90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4AE771B0" w14:textId="77777777">
            <w:pPr>
              <w:spacing w:line="276" w:lineRule="auto"/>
              <w:jc w:val="center"/>
              <w:rPr>
                <w:rFonts w:ascii="Times New Roman" w:hAnsi="Times New Roman"/>
                <w:b/>
                <w:sz w:val="20"/>
                <w:szCs w:val="20"/>
              </w:rPr>
            </w:pPr>
            <w:r w:rsidRPr="0008353D">
              <w:rPr>
                <w:rFonts w:ascii="Times New Roman" w:hAnsi="Times New Roman"/>
                <w:b/>
                <w:sz w:val="20"/>
                <w:szCs w:val="20"/>
              </w:rPr>
              <w:t>Hourly</w:t>
            </w:r>
          </w:p>
          <w:p w:rsidR="0008353D" w:rsidRPr="0008353D" w:rsidP="0008353D" w14:paraId="2C014F3F" w14:textId="77777777">
            <w:pPr>
              <w:spacing w:line="276" w:lineRule="auto"/>
              <w:jc w:val="center"/>
              <w:rPr>
                <w:rFonts w:ascii="Times New Roman" w:hAnsi="Times New Roman"/>
                <w:b/>
                <w:sz w:val="20"/>
                <w:szCs w:val="20"/>
              </w:rPr>
            </w:pPr>
            <w:r w:rsidRPr="0008353D">
              <w:rPr>
                <w:rFonts w:ascii="Times New Roman" w:hAnsi="Times New Roman"/>
                <w:b/>
                <w:sz w:val="20"/>
                <w:szCs w:val="20"/>
              </w:rPr>
              <w:t>Wage Rate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8DB3E2"/>
            <w:hideMark/>
          </w:tcPr>
          <w:p w:rsidR="0008353D" w:rsidRPr="0008353D" w:rsidP="0008353D" w14:paraId="4949E35A" w14:textId="77777777">
            <w:pPr>
              <w:spacing w:line="276" w:lineRule="auto"/>
              <w:jc w:val="center"/>
              <w:rPr>
                <w:rFonts w:ascii="Times New Roman" w:hAnsi="Times New Roman"/>
                <w:b/>
                <w:sz w:val="20"/>
                <w:szCs w:val="20"/>
              </w:rPr>
            </w:pPr>
            <w:r w:rsidRPr="0008353D">
              <w:rPr>
                <w:rFonts w:ascii="Times New Roman" w:hAnsi="Times New Roman"/>
                <w:b/>
                <w:sz w:val="20"/>
                <w:szCs w:val="20"/>
              </w:rPr>
              <w:t>Total Burden Cost</w:t>
            </w:r>
          </w:p>
        </w:tc>
      </w:tr>
      <w:tr w14:paraId="623838DB" w14:textId="77777777" w:rsidTr="0008353D">
        <w:tblPrEx>
          <w:tblW w:w="11400" w:type="dxa"/>
          <w:jc w:val="center"/>
          <w:tblLayout w:type="fixed"/>
          <w:tblLook w:val="04A0"/>
        </w:tblPrEx>
        <w:trPr>
          <w:gridAfter w:val="1"/>
          <w:wAfter w:w="146" w:type="dxa"/>
          <w:jc w:val="center"/>
        </w:trPr>
        <w:tc>
          <w:tcPr>
            <w:tcW w:w="11255" w:type="dxa"/>
            <w:gridSpan w:val="15"/>
            <w:tcBorders>
              <w:top w:val="single" w:sz="4" w:space="0" w:color="auto"/>
              <w:left w:val="single" w:sz="4" w:space="0" w:color="auto"/>
              <w:bottom w:val="single" w:sz="4" w:space="0" w:color="auto"/>
              <w:right w:val="single" w:sz="4" w:space="0" w:color="auto"/>
            </w:tcBorders>
            <w:hideMark/>
          </w:tcPr>
          <w:p w:rsidR="0008353D" w:rsidRPr="0008353D" w:rsidP="0008353D" w14:paraId="50337C66" w14:textId="77777777">
            <w:pPr>
              <w:spacing w:line="276" w:lineRule="auto"/>
              <w:jc w:val="center"/>
              <w:rPr>
                <w:rFonts w:ascii="Times New Roman" w:hAnsi="Times New Roman"/>
                <w:b/>
                <w:sz w:val="20"/>
                <w:szCs w:val="20"/>
              </w:rPr>
            </w:pPr>
            <w:r w:rsidRPr="0008353D">
              <w:rPr>
                <w:rFonts w:ascii="Times New Roman" w:hAnsi="Times New Roman"/>
                <w:b/>
                <w:sz w:val="20"/>
                <w:szCs w:val="20"/>
              </w:rPr>
              <w:t>A. Safety and Health Program (SHP) Assessment Worksheet (1908.6(e)(3))</w:t>
            </w:r>
          </w:p>
        </w:tc>
      </w:tr>
      <w:tr w14:paraId="2C432A15"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21EA27AA"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 Pre-Test</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2F007322"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350" w:type="dxa"/>
            <w:tcBorders>
              <w:top w:val="single" w:sz="4" w:space="0" w:color="auto"/>
              <w:left w:val="single" w:sz="4" w:space="0" w:color="auto"/>
              <w:bottom w:val="single" w:sz="4" w:space="0" w:color="auto"/>
              <w:right w:val="single" w:sz="4" w:space="0" w:color="auto"/>
            </w:tcBorders>
          </w:tcPr>
          <w:p w:rsidR="0008353D" w:rsidRPr="0008353D" w:rsidP="0008353D" w14:paraId="3F4DB90B" w14:textId="77777777">
            <w:pPr>
              <w:spacing w:line="276" w:lineRule="auto"/>
              <w:jc w:val="center"/>
              <w:rPr>
                <w:rFonts w:ascii="Times New Roman" w:hAnsi="Times New Roman"/>
                <w:sz w:val="20"/>
                <w:szCs w:val="20"/>
              </w:rPr>
            </w:pPr>
          </w:p>
          <w:p w:rsidR="0008353D" w:rsidRPr="0008353D" w:rsidP="0008353D" w14:paraId="23C09EBC"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p w:rsidR="0008353D" w:rsidRPr="0008353D" w:rsidP="0008353D" w14:paraId="2F964D91"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342A8127" w14:textId="77777777">
            <w:pPr>
              <w:spacing w:line="276" w:lineRule="auto"/>
              <w:jc w:val="center"/>
              <w:rPr>
                <w:rFonts w:ascii="Times New Roman" w:hAnsi="Times New Roman"/>
                <w:sz w:val="20"/>
                <w:szCs w:val="20"/>
              </w:rPr>
            </w:pPr>
            <w:r w:rsidRPr="0008353D">
              <w:rPr>
                <w:rFonts w:ascii="Times New Roman" w:hAnsi="Times New Roman"/>
                <w:sz w:val="20"/>
                <w:szCs w:val="20"/>
              </w:rPr>
              <w:t>1</w:t>
            </w:r>
          </w:p>
          <w:p w:rsidR="0008353D" w:rsidRPr="0008353D" w:rsidP="0008353D" w14:paraId="5DA987F6"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4BD1DD8E"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p w:rsidR="0008353D" w:rsidRPr="0008353D" w:rsidP="0008353D" w14:paraId="4D2D6DB9"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62D72394" w14:textId="77777777">
            <w:pPr>
              <w:spacing w:line="276" w:lineRule="auto"/>
              <w:jc w:val="center"/>
              <w:rPr>
                <w:rFonts w:ascii="Times New Roman" w:hAnsi="Times New Roman"/>
                <w:sz w:val="20"/>
                <w:szCs w:val="20"/>
              </w:rPr>
            </w:pPr>
            <w:r w:rsidRPr="0008353D">
              <w:rPr>
                <w:rFonts w:ascii="Times New Roman" w:hAnsi="Times New Roman"/>
                <w:sz w:val="20"/>
                <w:szCs w:val="20"/>
              </w:rPr>
              <w:t>5</w:t>
            </w:r>
          </w:p>
          <w:p w:rsidR="0008353D" w:rsidRPr="0008353D" w:rsidP="0008353D" w14:paraId="727CC8A4"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382A40A7" w14:textId="77777777">
            <w:pPr>
              <w:spacing w:line="276" w:lineRule="auto"/>
              <w:jc w:val="center"/>
              <w:rPr>
                <w:rFonts w:ascii="Times New Roman" w:hAnsi="Times New Roman"/>
                <w:sz w:val="20"/>
                <w:szCs w:val="20"/>
              </w:rPr>
            </w:pPr>
            <w:r w:rsidRPr="0008353D">
              <w:rPr>
                <w:rFonts w:ascii="Times New Roman" w:hAnsi="Times New Roman"/>
                <w:sz w:val="20"/>
                <w:szCs w:val="20"/>
              </w:rPr>
              <w:t>100</w:t>
            </w:r>
          </w:p>
          <w:p w:rsidR="0008353D" w:rsidRPr="0008353D" w:rsidP="0008353D" w14:paraId="47FF10EC"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F3907CD"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69ED03AF"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p w:rsidR="0008353D" w:rsidRPr="0008353D" w:rsidP="0008353D" w14:paraId="44B343F7" w14:textId="77777777">
            <w:pPr>
              <w:spacing w:line="276" w:lineRule="auto"/>
              <w:jc w:val="center"/>
              <w:rPr>
                <w:rFonts w:ascii="Times New Roman" w:hAnsi="Times New Roman"/>
                <w:sz w:val="20"/>
                <w:szCs w:val="20"/>
              </w:rPr>
            </w:pPr>
          </w:p>
        </w:tc>
      </w:tr>
      <w:tr w14:paraId="1F27AA09"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27B228D1"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78D4B4D0"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350" w:type="dxa"/>
            <w:tcBorders>
              <w:top w:val="single" w:sz="4" w:space="0" w:color="auto"/>
              <w:left w:val="single" w:sz="4" w:space="0" w:color="auto"/>
              <w:bottom w:val="single" w:sz="4" w:space="0" w:color="auto"/>
              <w:right w:val="single" w:sz="4" w:space="0" w:color="auto"/>
            </w:tcBorders>
          </w:tcPr>
          <w:p w:rsidR="0008353D" w:rsidRPr="0008353D" w:rsidP="0008353D" w14:paraId="13297611" w14:textId="77777777">
            <w:pPr>
              <w:spacing w:line="276" w:lineRule="auto"/>
              <w:rPr>
                <w:rFonts w:ascii="Times New Roman" w:hAnsi="Times New Roman"/>
                <w:sz w:val="20"/>
                <w:szCs w:val="20"/>
              </w:rPr>
            </w:pPr>
          </w:p>
          <w:p w:rsidR="0008353D" w:rsidRPr="0008353D" w:rsidP="0008353D" w14:paraId="38A3303C" w14:textId="77777777">
            <w:pPr>
              <w:spacing w:line="276" w:lineRule="auto"/>
              <w:jc w:val="center"/>
              <w:rPr>
                <w:rFonts w:ascii="Times New Roman" w:hAnsi="Times New Roman"/>
                <w:sz w:val="20"/>
                <w:szCs w:val="20"/>
              </w:rPr>
            </w:pPr>
            <w:r w:rsidRPr="0008353D">
              <w:rPr>
                <w:rFonts w:ascii="Times New Roman" w:hAnsi="Times New Roman"/>
                <w:sz w:val="20"/>
                <w:szCs w:val="20"/>
              </w:rPr>
              <w:t>200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77E4144" w14:textId="77777777">
            <w:pPr>
              <w:spacing w:line="276" w:lineRule="auto"/>
              <w:jc w:val="center"/>
              <w:rPr>
                <w:rFonts w:ascii="Times New Roman" w:hAnsi="Times New Roman"/>
                <w:sz w:val="20"/>
                <w:szCs w:val="20"/>
              </w:rPr>
            </w:pPr>
            <w:r w:rsidRPr="0008353D">
              <w:rPr>
                <w:rFonts w:ascii="Times New Roman" w:hAnsi="Times New Roman"/>
                <w:sz w:val="20"/>
                <w:szCs w:val="20"/>
              </w:rPr>
              <w:t>1.75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19AB4E0" w14:textId="77777777">
            <w:pPr>
              <w:spacing w:line="276" w:lineRule="auto"/>
              <w:jc w:val="center"/>
              <w:rPr>
                <w:rFonts w:ascii="Times New Roman" w:hAnsi="Times New Roman"/>
                <w:sz w:val="20"/>
                <w:szCs w:val="20"/>
              </w:rPr>
            </w:pPr>
            <w:r w:rsidRPr="0008353D">
              <w:rPr>
                <w:rFonts w:ascii="Times New Roman" w:hAnsi="Times New Roman"/>
                <w:sz w:val="20"/>
                <w:szCs w:val="20"/>
              </w:rPr>
              <w:t>350</w:t>
            </w:r>
            <w:r>
              <w:rPr>
                <w:rFonts w:ascii="Times New Roman" w:hAnsi="Times New Roman"/>
                <w:sz w:val="20"/>
                <w:szCs w:val="20"/>
                <w:vertAlign w:val="superscript"/>
              </w:rPr>
              <w:footnoteReference w:id="18"/>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719FA26" w14:textId="77777777">
            <w:pPr>
              <w:spacing w:line="276" w:lineRule="auto"/>
              <w:jc w:val="center"/>
              <w:rPr>
                <w:rFonts w:ascii="Times New Roman" w:hAnsi="Times New Roman"/>
                <w:sz w:val="20"/>
                <w:szCs w:val="20"/>
              </w:rPr>
            </w:pPr>
            <w:r w:rsidRPr="0008353D">
              <w:rPr>
                <w:rFonts w:ascii="Times New Roman" w:hAnsi="Times New Roman"/>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A9E588D" w14:textId="77777777">
            <w:pPr>
              <w:spacing w:line="276" w:lineRule="auto"/>
              <w:jc w:val="center"/>
              <w:rPr>
                <w:rFonts w:ascii="Times New Roman" w:hAnsi="Times New Roman"/>
                <w:sz w:val="20"/>
                <w:szCs w:val="20"/>
              </w:rPr>
            </w:pPr>
            <w:r w:rsidRPr="0008353D">
              <w:rPr>
                <w:rFonts w:ascii="Times New Roman" w:hAnsi="Times New Roman"/>
                <w:sz w:val="20"/>
                <w:szCs w:val="20"/>
              </w:rPr>
              <w:t>1,750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7B7DD68"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3B5C3DB" w14:textId="77777777">
            <w:pPr>
              <w:spacing w:line="276" w:lineRule="auto"/>
              <w:jc w:val="center"/>
              <w:rPr>
                <w:rFonts w:ascii="Times New Roman" w:hAnsi="Times New Roman"/>
                <w:sz w:val="20"/>
                <w:szCs w:val="20"/>
              </w:rPr>
            </w:pPr>
            <w:r w:rsidRPr="0008353D">
              <w:rPr>
                <w:rFonts w:ascii="Times New Roman" w:hAnsi="Times New Roman"/>
                <w:sz w:val="20"/>
                <w:szCs w:val="20"/>
              </w:rPr>
              <w:t>$92,45</w:t>
            </w:r>
            <w:r w:rsidR="006656BE">
              <w:rPr>
                <w:rFonts w:ascii="Times New Roman" w:hAnsi="Times New Roman"/>
                <w:sz w:val="20"/>
                <w:szCs w:val="20"/>
              </w:rPr>
              <w:t>3</w:t>
            </w:r>
          </w:p>
        </w:tc>
      </w:tr>
      <w:tr w14:paraId="5F3272EE"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4FB2F050"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 Follow-up</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1EBA0D1F" w14:textId="77777777">
            <w:pPr>
              <w:spacing w:line="276" w:lineRule="auto"/>
              <w:rPr>
                <w:rFonts w:ascii="Times New Roman" w:hAnsi="Times New Roman"/>
                <w:sz w:val="20"/>
                <w:szCs w:val="20"/>
              </w:rPr>
            </w:pPr>
            <w:r w:rsidRPr="0008353D">
              <w:rPr>
                <w:rFonts w:ascii="Times New Roman" w:hAnsi="Times New Roman"/>
                <w:sz w:val="20"/>
                <w:szCs w:val="20"/>
              </w:rPr>
              <w:t xml:space="preserve">   Consultants</w:t>
            </w:r>
          </w:p>
        </w:tc>
        <w:tc>
          <w:tcPr>
            <w:tcW w:w="1350" w:type="dxa"/>
            <w:tcBorders>
              <w:top w:val="single" w:sz="4" w:space="0" w:color="auto"/>
              <w:left w:val="single" w:sz="4" w:space="0" w:color="auto"/>
              <w:bottom w:val="single" w:sz="4" w:space="0" w:color="auto"/>
              <w:right w:val="single" w:sz="4" w:space="0" w:color="auto"/>
            </w:tcBorders>
          </w:tcPr>
          <w:p w:rsidR="0008353D" w:rsidRPr="0008353D" w:rsidP="0008353D" w14:paraId="629632DB" w14:textId="77777777">
            <w:pPr>
              <w:spacing w:line="276" w:lineRule="auto"/>
              <w:rPr>
                <w:rFonts w:ascii="Times New Roman" w:hAnsi="Times New Roman"/>
                <w:sz w:val="20"/>
                <w:szCs w:val="20"/>
              </w:rPr>
            </w:pPr>
          </w:p>
          <w:p w:rsidR="0008353D" w:rsidRPr="0008353D" w:rsidP="0008353D" w14:paraId="3729D82C"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p w:rsidR="0008353D" w:rsidRPr="0008353D" w:rsidP="0008353D" w14:paraId="5B56D6F1"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2D80B5EA" w14:textId="77777777">
            <w:pPr>
              <w:spacing w:line="276" w:lineRule="auto"/>
              <w:jc w:val="center"/>
              <w:rPr>
                <w:rFonts w:ascii="Times New Roman" w:hAnsi="Times New Roman"/>
                <w:sz w:val="20"/>
                <w:szCs w:val="20"/>
              </w:rPr>
            </w:pPr>
            <w:r w:rsidRPr="0008353D">
              <w:rPr>
                <w:rFonts w:ascii="Times New Roman" w:hAnsi="Times New Roman"/>
                <w:sz w:val="20"/>
                <w:szCs w:val="20"/>
              </w:rPr>
              <w:t>1.5</w:t>
            </w:r>
          </w:p>
          <w:p w:rsidR="0008353D" w:rsidRPr="0008353D" w:rsidP="0008353D" w14:paraId="3DCFAE18"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6356B19F" w14:textId="77777777">
            <w:pPr>
              <w:spacing w:line="276" w:lineRule="auto"/>
              <w:jc w:val="center"/>
              <w:rPr>
                <w:rFonts w:ascii="Times New Roman" w:hAnsi="Times New Roman"/>
                <w:sz w:val="20"/>
                <w:szCs w:val="20"/>
              </w:rPr>
            </w:pPr>
            <w:r w:rsidRPr="0008353D">
              <w:rPr>
                <w:rFonts w:ascii="Times New Roman" w:hAnsi="Times New Roman"/>
                <w:sz w:val="20"/>
                <w:szCs w:val="20"/>
              </w:rPr>
              <w:t>30</w:t>
            </w:r>
          </w:p>
          <w:p w:rsidR="0008353D" w:rsidRPr="0008353D" w:rsidP="0008353D" w14:paraId="0FE917FA"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7C4984EB" w14:textId="77777777">
            <w:pPr>
              <w:spacing w:line="276" w:lineRule="auto"/>
              <w:jc w:val="center"/>
              <w:rPr>
                <w:rFonts w:ascii="Times New Roman" w:hAnsi="Times New Roman"/>
                <w:sz w:val="20"/>
                <w:szCs w:val="20"/>
              </w:rPr>
            </w:pPr>
            <w:r w:rsidRPr="0008353D">
              <w:rPr>
                <w:rFonts w:ascii="Times New Roman" w:hAnsi="Times New Roman"/>
                <w:sz w:val="20"/>
                <w:szCs w:val="20"/>
              </w:rPr>
              <w:t>5</w:t>
            </w:r>
          </w:p>
          <w:p w:rsidR="0008353D" w:rsidRPr="0008353D" w:rsidP="0008353D" w14:paraId="2B7D26EE"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7B4B402A" w14:textId="77777777">
            <w:pPr>
              <w:spacing w:line="276" w:lineRule="auto"/>
              <w:jc w:val="center"/>
              <w:rPr>
                <w:rFonts w:ascii="Times New Roman" w:hAnsi="Times New Roman"/>
                <w:sz w:val="20"/>
                <w:szCs w:val="20"/>
              </w:rPr>
            </w:pPr>
            <w:r w:rsidRPr="0008353D">
              <w:rPr>
                <w:rFonts w:ascii="Times New Roman" w:hAnsi="Times New Roman"/>
                <w:sz w:val="20"/>
                <w:szCs w:val="20"/>
              </w:rPr>
              <w:t>150</w:t>
            </w:r>
          </w:p>
          <w:p w:rsidR="0008353D" w:rsidRPr="0008353D" w:rsidP="0008353D" w14:paraId="10E984F2"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99DEACA"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6A452E08" w14:textId="77777777">
            <w:pPr>
              <w:spacing w:line="276" w:lineRule="auto"/>
              <w:jc w:val="center"/>
              <w:rPr>
                <w:rFonts w:ascii="Times New Roman" w:hAnsi="Times New Roman"/>
                <w:sz w:val="20"/>
                <w:szCs w:val="20"/>
              </w:rPr>
            </w:pPr>
            <w:r w:rsidRPr="0008353D">
              <w:rPr>
                <w:rFonts w:ascii="Times New Roman" w:hAnsi="Times New Roman"/>
                <w:sz w:val="20"/>
                <w:szCs w:val="20"/>
              </w:rPr>
              <w:t>$7,92</w:t>
            </w:r>
            <w:r w:rsidR="006656BE">
              <w:rPr>
                <w:rFonts w:ascii="Times New Roman" w:hAnsi="Times New Roman"/>
                <w:sz w:val="20"/>
                <w:szCs w:val="20"/>
              </w:rPr>
              <w:t>5</w:t>
            </w:r>
          </w:p>
          <w:p w:rsidR="0008353D" w:rsidRPr="0008353D" w:rsidP="0008353D" w14:paraId="7B03E343" w14:textId="77777777">
            <w:pPr>
              <w:spacing w:line="276" w:lineRule="auto"/>
              <w:jc w:val="center"/>
              <w:rPr>
                <w:rFonts w:ascii="Times New Roman" w:hAnsi="Times New Roman"/>
                <w:sz w:val="20"/>
                <w:szCs w:val="20"/>
              </w:rPr>
            </w:pPr>
          </w:p>
        </w:tc>
      </w:tr>
      <w:tr w14:paraId="112C7C94"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2D6FFC63" w14:textId="77777777">
            <w:pPr>
              <w:spacing w:line="276" w:lineRule="auto"/>
              <w:jc w:val="center"/>
              <w:rPr>
                <w:rFonts w:ascii="Times New Roman" w:hAnsi="Times New Roman"/>
                <w:b/>
                <w:sz w:val="20"/>
                <w:szCs w:val="20"/>
              </w:rPr>
            </w:pPr>
            <w:r w:rsidRPr="0008353D">
              <w:rPr>
                <w:rFonts w:ascii="Times New Roman" w:hAnsi="Times New Roman"/>
                <w:b/>
                <w:sz w:val="20"/>
                <w:szCs w:val="20"/>
              </w:rPr>
              <w:t>Sub-Total A.</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53D" w:rsidRPr="0008353D" w:rsidP="0008353D" w14:paraId="3C323955" w14:textId="77777777">
            <w:pPr>
              <w:spacing w:line="276" w:lineRule="auto"/>
              <w:jc w:val="center"/>
              <w:rPr>
                <w:rFonts w:ascii="Times New Roman" w:hAnsi="Times New Roman"/>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8353D" w:rsidRPr="0008353D" w:rsidP="0008353D" w14:paraId="6DCE43C6" w14:textId="77777777">
            <w:pPr>
              <w:spacing w:line="276" w:lineRule="auto"/>
              <w:jc w:val="center"/>
              <w:rPr>
                <w:rFonts w:ascii="Times New Roman" w:hAnsi="Times New Roman"/>
                <w:b/>
                <w:sz w:val="20"/>
                <w:szCs w:val="20"/>
              </w:rPr>
            </w:pPr>
          </w:p>
          <w:p w:rsidR="0008353D" w:rsidRPr="0008353D" w:rsidP="0008353D" w14:paraId="1D0AF13A" w14:textId="77777777">
            <w:pPr>
              <w:spacing w:line="276" w:lineRule="auto"/>
              <w:jc w:val="center"/>
              <w:rPr>
                <w:rFonts w:ascii="Times New Roman" w:hAnsi="Times New Roman"/>
                <w:b/>
                <w:sz w:val="20"/>
                <w:szCs w:val="20"/>
              </w:rPr>
            </w:pPr>
            <w:r w:rsidRPr="0008353D">
              <w:rPr>
                <w:rFonts w:ascii="Times New Roman" w:hAnsi="Times New Roman"/>
                <w:b/>
                <w:sz w:val="20"/>
                <w:szCs w:val="20"/>
              </w:rPr>
              <w:t>200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53D" w:rsidRPr="0008353D" w:rsidP="0008353D" w14:paraId="47D4FFEF"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16B40B3" w14:textId="77777777">
            <w:pPr>
              <w:spacing w:line="276" w:lineRule="auto"/>
              <w:jc w:val="center"/>
              <w:rPr>
                <w:rFonts w:ascii="Times New Roman" w:hAnsi="Times New Roman"/>
                <w:b/>
                <w:sz w:val="20"/>
                <w:szCs w:val="20"/>
              </w:rPr>
            </w:pPr>
            <w:r w:rsidRPr="0008353D">
              <w:rPr>
                <w:rFonts w:ascii="Times New Roman" w:hAnsi="Times New Roman"/>
                <w:b/>
                <w:sz w:val="20"/>
                <w:szCs w:val="20"/>
              </w:rPr>
              <w:t>400</w:t>
            </w:r>
          </w:p>
        </w:tc>
        <w:tc>
          <w:tcPr>
            <w:tcW w:w="900" w:type="dxa"/>
            <w:gridSpan w:val="2"/>
            <w:tcBorders>
              <w:top w:val="single" w:sz="4" w:space="0" w:color="auto"/>
              <w:left w:val="single" w:sz="4" w:space="0" w:color="auto"/>
              <w:bottom w:val="single" w:sz="4" w:space="0" w:color="auto"/>
              <w:right w:val="single" w:sz="4" w:space="0" w:color="auto"/>
            </w:tcBorders>
            <w:shd w:val="clear" w:color="auto" w:fill="D0CECE"/>
          </w:tcPr>
          <w:p w:rsidR="0008353D" w:rsidRPr="0008353D" w:rsidP="0008353D" w14:paraId="1A9DFACE"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39AB7A44" w14:textId="77777777">
            <w:pPr>
              <w:spacing w:line="276" w:lineRule="auto"/>
              <w:jc w:val="center"/>
              <w:rPr>
                <w:rFonts w:ascii="Times New Roman" w:hAnsi="Times New Roman"/>
                <w:b/>
                <w:sz w:val="20"/>
                <w:szCs w:val="20"/>
              </w:rPr>
            </w:pPr>
            <w:r w:rsidRPr="0008353D">
              <w:rPr>
                <w:rFonts w:ascii="Times New Roman" w:hAnsi="Times New Roman"/>
                <w:b/>
                <w:sz w:val="20"/>
                <w:szCs w:val="20"/>
              </w:rPr>
              <w:t>2,000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027E5CD9" w14:textId="77777777">
            <w:pPr>
              <w:spacing w:line="276" w:lineRule="auto"/>
              <w:rPr>
                <w:rFonts w:ascii="Times New Roman" w:hAnsi="Times New Roman"/>
                <w:b/>
                <w:sz w:val="20"/>
                <w:szCs w:val="20"/>
              </w:rPr>
            </w:pPr>
            <w:r w:rsidRPr="0008353D">
              <w:rPr>
                <w:rFonts w:ascii="Times New Roman" w:hAnsi="Times New Roman"/>
                <w:b/>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4BC91A7" w14:textId="77777777">
            <w:pPr>
              <w:spacing w:line="276" w:lineRule="auto"/>
              <w:jc w:val="center"/>
              <w:rPr>
                <w:rFonts w:ascii="Times New Roman" w:hAnsi="Times New Roman"/>
                <w:b/>
                <w:sz w:val="20"/>
                <w:szCs w:val="20"/>
              </w:rPr>
            </w:pPr>
            <w:r w:rsidRPr="0008353D">
              <w:rPr>
                <w:rFonts w:ascii="Times New Roman" w:hAnsi="Times New Roman"/>
                <w:b/>
                <w:sz w:val="20"/>
                <w:szCs w:val="20"/>
              </w:rPr>
              <w:t>$105,660</w:t>
            </w:r>
          </w:p>
        </w:tc>
      </w:tr>
      <w:tr w14:paraId="7D8F9EF3" w14:textId="77777777" w:rsidTr="0008353D">
        <w:tblPrEx>
          <w:tblW w:w="11400" w:type="dxa"/>
          <w:jc w:val="center"/>
          <w:tblLayout w:type="fixed"/>
          <w:tblLook w:val="04A0"/>
        </w:tblPrEx>
        <w:trPr>
          <w:gridAfter w:val="1"/>
          <w:wAfter w:w="146" w:type="dxa"/>
          <w:jc w:val="center"/>
        </w:trPr>
        <w:tc>
          <w:tcPr>
            <w:tcW w:w="11255" w:type="dxa"/>
            <w:gridSpan w:val="15"/>
            <w:tcBorders>
              <w:top w:val="single" w:sz="4" w:space="0" w:color="auto"/>
              <w:left w:val="single" w:sz="4" w:space="0" w:color="auto"/>
              <w:bottom w:val="single" w:sz="4" w:space="0" w:color="auto"/>
              <w:right w:val="single" w:sz="4" w:space="0" w:color="auto"/>
            </w:tcBorders>
            <w:hideMark/>
          </w:tcPr>
          <w:p w:rsidR="0008353D" w:rsidRPr="0008353D" w:rsidP="0008353D" w14:paraId="72B3FA20" w14:textId="77777777">
            <w:pPr>
              <w:spacing w:line="276" w:lineRule="auto"/>
              <w:jc w:val="center"/>
              <w:rPr>
                <w:rFonts w:ascii="Times New Roman" w:hAnsi="Times New Roman"/>
                <w:b/>
                <w:sz w:val="20"/>
                <w:szCs w:val="20"/>
              </w:rPr>
            </w:pPr>
            <w:r w:rsidRPr="0008353D">
              <w:rPr>
                <w:rFonts w:ascii="Times New Roman" w:hAnsi="Times New Roman"/>
                <w:b/>
                <w:sz w:val="20"/>
                <w:szCs w:val="20"/>
              </w:rPr>
              <w:t>B. Prepare list of hazards (1908.6(e)(8))</w:t>
            </w:r>
          </w:p>
        </w:tc>
      </w:tr>
      <w:tr w14:paraId="4FE9CC63"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09D1BDE7"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 Pre-Test</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4E6EF081"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350" w:type="dxa"/>
            <w:tcBorders>
              <w:top w:val="single" w:sz="4" w:space="0" w:color="auto"/>
              <w:left w:val="single" w:sz="4" w:space="0" w:color="auto"/>
              <w:bottom w:val="single" w:sz="4" w:space="0" w:color="auto"/>
              <w:right w:val="single" w:sz="4" w:space="0" w:color="auto"/>
            </w:tcBorders>
          </w:tcPr>
          <w:p w:rsidR="0008353D" w:rsidRPr="0008353D" w:rsidP="0008353D" w14:paraId="110D5770" w14:textId="77777777">
            <w:pPr>
              <w:spacing w:line="276" w:lineRule="auto"/>
              <w:jc w:val="center"/>
              <w:rPr>
                <w:rFonts w:ascii="Times New Roman" w:hAnsi="Times New Roman"/>
                <w:sz w:val="20"/>
                <w:szCs w:val="20"/>
              </w:rPr>
            </w:pPr>
          </w:p>
          <w:p w:rsidR="0008353D" w:rsidRPr="0008353D" w:rsidP="0008353D" w14:paraId="47E01D9B"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BDCACCE" w14:textId="77777777">
            <w:pPr>
              <w:spacing w:line="276" w:lineRule="auto"/>
              <w:jc w:val="center"/>
              <w:rPr>
                <w:rFonts w:ascii="Times New Roman" w:hAnsi="Times New Roman"/>
                <w:sz w:val="20"/>
                <w:szCs w:val="20"/>
              </w:rPr>
            </w:pPr>
            <w:r w:rsidRPr="0008353D">
              <w:rPr>
                <w:rFonts w:ascii="Times New Roman" w:hAnsi="Times New Roman"/>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BDE5172"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AE770EE" w14:textId="77777777">
            <w:pPr>
              <w:spacing w:line="276" w:lineRule="auto"/>
              <w:jc w:val="center"/>
              <w:rPr>
                <w:rFonts w:ascii="Times New Roman" w:hAnsi="Times New Roman"/>
                <w:sz w:val="20"/>
                <w:szCs w:val="20"/>
              </w:rPr>
            </w:pPr>
            <w:r w:rsidRPr="0008353D">
              <w:rPr>
                <w:rFonts w:ascii="Times New Roman" w:hAnsi="Times New Roman"/>
                <w:sz w:val="20"/>
                <w:szCs w:val="20"/>
              </w:rPr>
              <w:t>5/60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BE45798" w14:textId="77777777">
            <w:pPr>
              <w:spacing w:line="276" w:lineRule="auto"/>
              <w:jc w:val="center"/>
              <w:rPr>
                <w:rFonts w:ascii="Times New Roman" w:hAnsi="Times New Roman"/>
                <w:sz w:val="20"/>
                <w:szCs w:val="20"/>
              </w:rPr>
            </w:pPr>
            <w:r w:rsidRPr="0008353D">
              <w:rPr>
                <w:rFonts w:ascii="Times New Roman" w:hAnsi="Times New Roman"/>
                <w:sz w:val="20"/>
                <w:szCs w:val="20"/>
              </w:rPr>
              <w:t>1.6</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220122E2"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20A40894" w14:textId="77777777">
            <w:pPr>
              <w:spacing w:line="276" w:lineRule="auto"/>
              <w:jc w:val="center"/>
              <w:rPr>
                <w:rFonts w:ascii="Times New Roman" w:hAnsi="Times New Roman"/>
                <w:sz w:val="20"/>
                <w:szCs w:val="20"/>
              </w:rPr>
            </w:pPr>
            <w:r w:rsidRPr="0008353D">
              <w:rPr>
                <w:rFonts w:ascii="Times New Roman" w:hAnsi="Times New Roman"/>
                <w:sz w:val="20"/>
                <w:szCs w:val="20"/>
              </w:rPr>
              <w:t>$8</w:t>
            </w:r>
            <w:r w:rsidR="006656BE">
              <w:rPr>
                <w:rFonts w:ascii="Times New Roman" w:hAnsi="Times New Roman"/>
                <w:sz w:val="20"/>
                <w:szCs w:val="20"/>
              </w:rPr>
              <w:t>5</w:t>
            </w:r>
          </w:p>
        </w:tc>
      </w:tr>
      <w:tr w14:paraId="0A4425CA"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5752DBC3"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20C5B3F7"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350" w:type="dxa"/>
            <w:tcBorders>
              <w:top w:val="single" w:sz="4" w:space="0" w:color="auto"/>
              <w:left w:val="single" w:sz="4" w:space="0" w:color="auto"/>
              <w:bottom w:val="single" w:sz="4" w:space="0" w:color="auto"/>
              <w:right w:val="single" w:sz="4" w:space="0" w:color="auto"/>
            </w:tcBorders>
          </w:tcPr>
          <w:p w:rsidR="0008353D" w:rsidRPr="0008353D" w:rsidP="0008353D" w14:paraId="5B95C253" w14:textId="77777777">
            <w:pPr>
              <w:spacing w:line="276" w:lineRule="auto"/>
              <w:jc w:val="center"/>
              <w:rPr>
                <w:rFonts w:ascii="Times New Roman" w:hAnsi="Times New Roman"/>
                <w:sz w:val="20"/>
                <w:szCs w:val="20"/>
              </w:rPr>
            </w:pPr>
          </w:p>
          <w:p w:rsidR="0008353D" w:rsidRPr="0008353D" w:rsidP="0008353D" w14:paraId="1B4CE1D1" w14:textId="77777777">
            <w:pPr>
              <w:spacing w:line="276" w:lineRule="auto"/>
              <w:jc w:val="center"/>
              <w:rPr>
                <w:rFonts w:ascii="Times New Roman" w:hAnsi="Times New Roman"/>
                <w:sz w:val="20"/>
                <w:szCs w:val="20"/>
              </w:rPr>
            </w:pPr>
            <w:r w:rsidRPr="0008353D">
              <w:rPr>
                <w:rFonts w:ascii="Times New Roman" w:hAnsi="Times New Roman"/>
                <w:sz w:val="20"/>
                <w:szCs w:val="20"/>
              </w:rPr>
              <w:t>200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F7FC579" w14:textId="77777777">
            <w:pPr>
              <w:spacing w:line="276" w:lineRule="auto"/>
              <w:jc w:val="center"/>
              <w:rPr>
                <w:rFonts w:ascii="Times New Roman" w:hAnsi="Times New Roman"/>
                <w:sz w:val="20"/>
                <w:szCs w:val="20"/>
              </w:rPr>
            </w:pPr>
            <w:r w:rsidRPr="0008353D">
              <w:rPr>
                <w:rFonts w:ascii="Times New Roman" w:hAnsi="Times New Roman"/>
                <w:sz w:val="20"/>
                <w:szCs w:val="20"/>
              </w:rPr>
              <w:t>1.75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3C795CA" w14:textId="77777777">
            <w:pPr>
              <w:spacing w:line="276" w:lineRule="auto"/>
              <w:jc w:val="center"/>
              <w:rPr>
                <w:rFonts w:ascii="Times New Roman" w:hAnsi="Times New Roman"/>
                <w:sz w:val="20"/>
                <w:szCs w:val="20"/>
              </w:rPr>
            </w:pPr>
            <w:r w:rsidRPr="0008353D">
              <w:rPr>
                <w:rFonts w:ascii="Times New Roman" w:hAnsi="Times New Roman"/>
                <w:sz w:val="20"/>
                <w:szCs w:val="20"/>
              </w:rPr>
              <w:t>350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ACA3056" w14:textId="77777777">
            <w:pPr>
              <w:spacing w:line="276" w:lineRule="auto"/>
              <w:jc w:val="center"/>
              <w:rPr>
                <w:rFonts w:ascii="Times New Roman" w:hAnsi="Times New Roman"/>
                <w:sz w:val="20"/>
                <w:szCs w:val="20"/>
              </w:rPr>
            </w:pPr>
            <w:r w:rsidRPr="0008353D">
              <w:rPr>
                <w:rFonts w:ascii="Times New Roman" w:hAnsi="Times New Roman"/>
                <w:sz w:val="20"/>
                <w:szCs w:val="20"/>
              </w:rPr>
              <w:t>5/60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9AD37CB" w14:textId="77777777">
            <w:pPr>
              <w:spacing w:line="276" w:lineRule="auto"/>
              <w:jc w:val="center"/>
              <w:rPr>
                <w:rFonts w:ascii="Times New Roman" w:hAnsi="Times New Roman"/>
                <w:sz w:val="20"/>
                <w:szCs w:val="20"/>
              </w:rPr>
            </w:pPr>
            <w:r w:rsidRPr="0008353D">
              <w:rPr>
                <w:rFonts w:ascii="Times New Roman" w:hAnsi="Times New Roman"/>
                <w:sz w:val="20"/>
                <w:szCs w:val="20"/>
              </w:rPr>
              <w:t>28</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35425DF5"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E1B5978" w14:textId="77777777">
            <w:pPr>
              <w:spacing w:line="276" w:lineRule="auto"/>
              <w:jc w:val="center"/>
              <w:rPr>
                <w:rFonts w:ascii="Times New Roman" w:hAnsi="Times New Roman"/>
                <w:sz w:val="20"/>
                <w:szCs w:val="20"/>
              </w:rPr>
            </w:pPr>
            <w:r w:rsidRPr="0008353D">
              <w:rPr>
                <w:rFonts w:ascii="Times New Roman" w:hAnsi="Times New Roman"/>
                <w:sz w:val="20"/>
                <w:szCs w:val="20"/>
              </w:rPr>
              <w:t>$1,479</w:t>
            </w:r>
          </w:p>
        </w:tc>
      </w:tr>
      <w:tr w14:paraId="1DB8D665"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736A7E03"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 Follow-Up</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57712BCE"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350" w:type="dxa"/>
            <w:tcBorders>
              <w:top w:val="single" w:sz="4" w:space="0" w:color="auto"/>
              <w:left w:val="single" w:sz="4" w:space="0" w:color="auto"/>
              <w:bottom w:val="single" w:sz="4" w:space="0" w:color="auto"/>
              <w:right w:val="single" w:sz="4" w:space="0" w:color="auto"/>
            </w:tcBorders>
          </w:tcPr>
          <w:p w:rsidR="0008353D" w:rsidRPr="0008353D" w:rsidP="0008353D" w14:paraId="2BAA5B46" w14:textId="77777777">
            <w:pPr>
              <w:spacing w:line="276" w:lineRule="auto"/>
              <w:jc w:val="center"/>
              <w:rPr>
                <w:rFonts w:ascii="Times New Roman" w:hAnsi="Times New Roman"/>
                <w:sz w:val="20"/>
                <w:szCs w:val="20"/>
              </w:rPr>
            </w:pPr>
          </w:p>
          <w:p w:rsidR="0008353D" w:rsidRPr="0008353D" w:rsidP="0008353D" w14:paraId="417C5350"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994F775" w14:textId="77777777">
            <w:pPr>
              <w:spacing w:line="276" w:lineRule="auto"/>
              <w:jc w:val="center"/>
              <w:rPr>
                <w:rFonts w:ascii="Times New Roman" w:hAnsi="Times New Roman"/>
                <w:sz w:val="20"/>
                <w:szCs w:val="20"/>
              </w:rPr>
            </w:pPr>
            <w:r w:rsidRPr="0008353D">
              <w:rPr>
                <w:rFonts w:ascii="Times New Roman" w:hAnsi="Times New Roman"/>
                <w:sz w:val="20"/>
                <w:szCs w:val="20"/>
              </w:rPr>
              <w:t>1.5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2E623B6" w14:textId="77777777">
            <w:pPr>
              <w:spacing w:line="276" w:lineRule="auto"/>
              <w:jc w:val="center"/>
              <w:rPr>
                <w:rFonts w:ascii="Times New Roman" w:hAnsi="Times New Roman"/>
                <w:sz w:val="20"/>
                <w:szCs w:val="20"/>
              </w:rPr>
            </w:pPr>
            <w:r w:rsidRPr="0008353D">
              <w:rPr>
                <w:rFonts w:ascii="Times New Roman" w:hAnsi="Times New Roman"/>
                <w:sz w:val="20"/>
                <w:szCs w:val="20"/>
              </w:rPr>
              <w:t>30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1F4DFA7" w14:textId="77777777">
            <w:pPr>
              <w:spacing w:line="276" w:lineRule="auto"/>
              <w:jc w:val="center"/>
              <w:rPr>
                <w:rFonts w:ascii="Times New Roman" w:hAnsi="Times New Roman"/>
                <w:sz w:val="20"/>
                <w:szCs w:val="20"/>
              </w:rPr>
            </w:pPr>
            <w:r w:rsidRPr="0008353D">
              <w:rPr>
                <w:rFonts w:ascii="Times New Roman" w:hAnsi="Times New Roman"/>
                <w:sz w:val="20"/>
                <w:szCs w:val="20"/>
              </w:rPr>
              <w:t>5/60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A34B7AC" w14:textId="77777777">
            <w:pPr>
              <w:spacing w:line="276" w:lineRule="auto"/>
              <w:jc w:val="center"/>
              <w:rPr>
                <w:rFonts w:ascii="Times New Roman" w:hAnsi="Times New Roman"/>
                <w:sz w:val="20"/>
                <w:szCs w:val="20"/>
              </w:rPr>
            </w:pPr>
            <w:r w:rsidRPr="0008353D">
              <w:rPr>
                <w:rFonts w:ascii="Times New Roman" w:hAnsi="Times New Roman"/>
                <w:sz w:val="20"/>
                <w:szCs w:val="20"/>
              </w:rPr>
              <w:t>2.4</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3772F8E"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E682DFC" w14:textId="77777777">
            <w:pPr>
              <w:spacing w:line="276" w:lineRule="auto"/>
              <w:jc w:val="center"/>
              <w:rPr>
                <w:rFonts w:ascii="Times New Roman" w:hAnsi="Times New Roman"/>
                <w:sz w:val="20"/>
                <w:szCs w:val="20"/>
              </w:rPr>
            </w:pPr>
            <w:r w:rsidRPr="0008353D">
              <w:rPr>
                <w:rFonts w:ascii="Times New Roman" w:hAnsi="Times New Roman"/>
                <w:sz w:val="20"/>
                <w:szCs w:val="20"/>
              </w:rPr>
              <w:t>$12</w:t>
            </w:r>
            <w:r w:rsidR="00492661">
              <w:rPr>
                <w:rFonts w:ascii="Times New Roman" w:hAnsi="Times New Roman"/>
                <w:sz w:val="20"/>
                <w:szCs w:val="20"/>
              </w:rPr>
              <w:t>7</w:t>
            </w:r>
          </w:p>
        </w:tc>
      </w:tr>
      <w:tr w14:paraId="56AA8663"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57059CDC" w14:textId="77777777">
            <w:pPr>
              <w:spacing w:line="276" w:lineRule="auto"/>
              <w:jc w:val="center"/>
              <w:rPr>
                <w:rFonts w:ascii="Times New Roman" w:hAnsi="Times New Roman"/>
                <w:b/>
                <w:sz w:val="20"/>
                <w:szCs w:val="20"/>
              </w:rPr>
            </w:pPr>
            <w:r w:rsidRPr="0008353D">
              <w:rPr>
                <w:rFonts w:ascii="Times New Roman" w:hAnsi="Times New Roman"/>
                <w:b/>
                <w:sz w:val="20"/>
                <w:szCs w:val="20"/>
              </w:rPr>
              <w:t>Sub-Total B.</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53D" w:rsidRPr="0008353D" w:rsidP="0008353D" w14:paraId="0D5F784B" w14:textId="77777777">
            <w:pPr>
              <w:spacing w:line="276" w:lineRule="auto"/>
              <w:jc w:val="center"/>
              <w:rPr>
                <w:rFonts w:ascii="Times New Roman" w:hAnsi="Times New Roman"/>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353D" w:rsidRPr="0008353D" w:rsidP="0008353D" w14:paraId="22969CF4" w14:textId="77777777">
            <w:pPr>
              <w:tabs>
                <w:tab w:val="left" w:pos="449"/>
                <w:tab w:val="center" w:pos="477"/>
              </w:tabs>
              <w:spacing w:line="276" w:lineRule="auto"/>
              <w:rPr>
                <w:rFonts w:ascii="Times New Roman" w:hAnsi="Times New Roman"/>
                <w:b/>
                <w:sz w:val="20"/>
                <w:szCs w:val="20"/>
              </w:rPr>
            </w:pPr>
            <w:r w:rsidRPr="0008353D">
              <w:rPr>
                <w:rFonts w:ascii="Times New Roman" w:hAnsi="Times New Roman"/>
                <w:b/>
                <w:sz w:val="20"/>
                <w:szCs w:val="20"/>
              </w:rPr>
              <w:tab/>
            </w:r>
            <w:r w:rsidRPr="0008353D">
              <w:rPr>
                <w:rFonts w:ascii="Times New Roman" w:hAnsi="Times New Roman"/>
                <w:b/>
                <w:sz w:val="20"/>
                <w:szCs w:val="20"/>
              </w:rPr>
              <w:tab/>
            </w:r>
          </w:p>
          <w:p w:rsidR="0008353D" w:rsidRPr="0008353D" w:rsidP="0008353D" w14:paraId="07100FF7" w14:textId="77777777">
            <w:pPr>
              <w:spacing w:line="276" w:lineRule="auto"/>
              <w:jc w:val="center"/>
              <w:rPr>
                <w:rFonts w:ascii="Times New Roman" w:hAnsi="Times New Roman"/>
                <w:b/>
                <w:sz w:val="20"/>
                <w:szCs w:val="20"/>
              </w:rPr>
            </w:pPr>
            <w:r w:rsidRPr="0008353D">
              <w:rPr>
                <w:rFonts w:ascii="Times New Roman" w:hAnsi="Times New Roman"/>
                <w:b/>
                <w:sz w:val="20"/>
                <w:szCs w:val="20"/>
              </w:rPr>
              <w:t>200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53D" w:rsidRPr="0008353D" w:rsidP="0008353D" w14:paraId="0E41299C"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4E605F5" w14:textId="77777777">
            <w:pPr>
              <w:spacing w:line="276" w:lineRule="auto"/>
              <w:jc w:val="center"/>
              <w:rPr>
                <w:rFonts w:ascii="Times New Roman" w:hAnsi="Times New Roman"/>
                <w:b/>
                <w:sz w:val="20"/>
                <w:szCs w:val="20"/>
              </w:rPr>
            </w:pPr>
            <w:r w:rsidRPr="0008353D">
              <w:rPr>
                <w:rFonts w:ascii="Times New Roman" w:hAnsi="Times New Roman"/>
                <w:b/>
                <w:sz w:val="20"/>
                <w:szCs w:val="20"/>
              </w:rPr>
              <w:t>400</w:t>
            </w:r>
          </w:p>
        </w:tc>
        <w:tc>
          <w:tcPr>
            <w:tcW w:w="900" w:type="dxa"/>
            <w:gridSpan w:val="2"/>
            <w:tcBorders>
              <w:top w:val="single" w:sz="4" w:space="0" w:color="auto"/>
              <w:left w:val="single" w:sz="4" w:space="0" w:color="auto"/>
              <w:bottom w:val="single" w:sz="4" w:space="0" w:color="auto"/>
              <w:right w:val="single" w:sz="4" w:space="0" w:color="auto"/>
            </w:tcBorders>
            <w:shd w:val="clear" w:color="auto" w:fill="D0CECE"/>
          </w:tcPr>
          <w:p w:rsidR="0008353D" w:rsidRPr="0008353D" w:rsidP="0008353D" w14:paraId="377F825D"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31B8F517" w14:textId="77777777">
            <w:pPr>
              <w:spacing w:line="276" w:lineRule="auto"/>
              <w:jc w:val="center"/>
              <w:rPr>
                <w:rFonts w:ascii="Times New Roman" w:hAnsi="Times New Roman"/>
                <w:b/>
                <w:sz w:val="20"/>
                <w:szCs w:val="20"/>
              </w:rPr>
            </w:pPr>
            <w:r w:rsidRPr="0008353D">
              <w:rPr>
                <w:rFonts w:ascii="Times New Roman" w:hAnsi="Times New Roman"/>
                <w:b/>
                <w:sz w:val="20"/>
                <w:szCs w:val="20"/>
              </w:rPr>
              <w:t>32</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F9F3BE3" w14:textId="77777777">
            <w:pPr>
              <w:spacing w:line="276" w:lineRule="auto"/>
              <w:jc w:val="center"/>
              <w:rPr>
                <w:rFonts w:ascii="Times New Roman" w:hAnsi="Times New Roman"/>
                <w:b/>
                <w:sz w:val="20"/>
                <w:szCs w:val="20"/>
              </w:rPr>
            </w:pPr>
            <w:r w:rsidRPr="0008353D">
              <w:rPr>
                <w:rFonts w:ascii="Times New Roman" w:hAnsi="Times New Roman"/>
                <w:b/>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3AC946B6" w14:textId="77777777">
            <w:pPr>
              <w:spacing w:line="276" w:lineRule="auto"/>
              <w:jc w:val="center"/>
              <w:rPr>
                <w:rFonts w:ascii="Times New Roman" w:hAnsi="Times New Roman"/>
                <w:b/>
                <w:sz w:val="20"/>
                <w:szCs w:val="20"/>
              </w:rPr>
            </w:pPr>
            <w:r w:rsidRPr="0008353D">
              <w:rPr>
                <w:rFonts w:ascii="Times New Roman" w:hAnsi="Times New Roman"/>
                <w:b/>
                <w:sz w:val="20"/>
                <w:szCs w:val="20"/>
              </w:rPr>
              <w:t xml:space="preserve">$1,691 </w:t>
            </w:r>
          </w:p>
        </w:tc>
      </w:tr>
      <w:tr w14:paraId="0CA0992D" w14:textId="77777777" w:rsidTr="0008353D">
        <w:tblPrEx>
          <w:tblW w:w="11400" w:type="dxa"/>
          <w:jc w:val="center"/>
          <w:tblLayout w:type="fixed"/>
          <w:tblLook w:val="04A0"/>
        </w:tblPrEx>
        <w:trPr>
          <w:gridAfter w:val="1"/>
          <w:wAfter w:w="146" w:type="dxa"/>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66F26EBC" w14:textId="77777777">
            <w:pPr>
              <w:spacing w:line="276" w:lineRule="auto"/>
              <w:jc w:val="center"/>
              <w:rPr>
                <w:rFonts w:ascii="Times New Roman" w:hAnsi="Times New Roman"/>
                <w:b/>
                <w:sz w:val="20"/>
                <w:szCs w:val="20"/>
              </w:rPr>
            </w:pPr>
            <w:r w:rsidRPr="0008353D">
              <w:rPr>
                <w:rFonts w:ascii="Times New Roman" w:hAnsi="Times New Roman"/>
                <w:b/>
                <w:sz w:val="20"/>
                <w:szCs w:val="20"/>
              </w:rPr>
              <w:t>C. Referral to enforcement for all studies or analyses that will be conducted (1908.6(f)(1)&amp;(4))</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7D8F1C47" w14:textId="77777777">
            <w:pPr>
              <w:spacing w:line="276" w:lineRule="auto"/>
              <w:jc w:val="center"/>
              <w:rPr>
                <w:rFonts w:ascii="Times New Roman" w:hAnsi="Times New Roman"/>
                <w:sz w:val="20"/>
                <w:szCs w:val="20"/>
              </w:rPr>
            </w:pPr>
            <w:r w:rsidRPr="0008353D">
              <w:rPr>
                <w:rFonts w:ascii="Times New Roman" w:hAnsi="Times New Roman"/>
                <w:sz w:val="20"/>
                <w:szCs w:val="20"/>
              </w:rPr>
              <w:t>Consultation Program Managers (CPM)</w:t>
            </w:r>
          </w:p>
        </w:tc>
        <w:tc>
          <w:tcPr>
            <w:tcW w:w="1350" w:type="dxa"/>
            <w:tcBorders>
              <w:top w:val="single" w:sz="4" w:space="0" w:color="auto"/>
              <w:left w:val="single" w:sz="4" w:space="0" w:color="auto"/>
              <w:bottom w:val="single" w:sz="4" w:space="0" w:color="auto"/>
              <w:right w:val="single" w:sz="4" w:space="0" w:color="auto"/>
            </w:tcBorders>
            <w:hideMark/>
          </w:tcPr>
          <w:p w:rsidR="0008353D" w:rsidRPr="0008353D" w:rsidP="0008353D" w14:paraId="763CC4E7" w14:textId="77777777">
            <w:pPr>
              <w:spacing w:line="276" w:lineRule="auto"/>
              <w:jc w:val="center"/>
              <w:rPr>
                <w:rFonts w:ascii="Times New Roman" w:hAnsi="Times New Roman"/>
                <w:sz w:val="20"/>
                <w:szCs w:val="20"/>
              </w:rPr>
            </w:pPr>
            <w:r w:rsidRPr="0008353D">
              <w:rPr>
                <w:rFonts w:ascii="Times New Roman" w:hAnsi="Times New Roman"/>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45ACE87" w14:textId="77777777">
            <w:pPr>
              <w:spacing w:line="276" w:lineRule="auto"/>
              <w:jc w:val="center"/>
              <w:rPr>
                <w:rFonts w:ascii="Times New Roman" w:hAnsi="Times New Roman"/>
                <w:sz w:val="20"/>
                <w:szCs w:val="20"/>
              </w:rPr>
            </w:pPr>
            <w:r w:rsidRPr="0008353D">
              <w:rPr>
                <w:rFonts w:ascii="Times New Roman" w:hAnsi="Times New Roman"/>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AB1C736" w14:textId="77777777">
            <w:pPr>
              <w:spacing w:line="276" w:lineRule="auto"/>
              <w:jc w:val="center"/>
              <w:rPr>
                <w:rFonts w:ascii="Times New Roman" w:hAnsi="Times New Roman"/>
                <w:b/>
                <w:bCs/>
                <w:sz w:val="20"/>
                <w:szCs w:val="20"/>
              </w:rPr>
            </w:pPr>
            <w:r w:rsidRPr="0008353D">
              <w:rPr>
                <w:rFonts w:ascii="Times New Roman" w:hAnsi="Times New Roman"/>
                <w:b/>
                <w:bCs/>
                <w:sz w:val="20"/>
                <w:szCs w:val="20"/>
              </w:rPr>
              <w:t>3</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1346F56" w14:textId="77777777">
            <w:pPr>
              <w:spacing w:line="276" w:lineRule="auto"/>
              <w:jc w:val="center"/>
              <w:rPr>
                <w:rFonts w:ascii="Times New Roman" w:hAnsi="Times New Roman"/>
                <w:b/>
                <w:bCs/>
                <w:sz w:val="20"/>
                <w:szCs w:val="20"/>
              </w:rPr>
            </w:pPr>
            <w:r w:rsidRPr="0008353D">
              <w:rPr>
                <w:rFonts w:ascii="Times New Roman" w:hAnsi="Times New Roman"/>
                <w:b/>
                <w:bCs/>
                <w:sz w:val="20"/>
                <w:szCs w:val="20"/>
              </w:rPr>
              <w:t>30/60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239FEE84" w14:textId="77777777">
            <w:pPr>
              <w:spacing w:line="276" w:lineRule="auto"/>
              <w:jc w:val="center"/>
              <w:rPr>
                <w:rFonts w:ascii="Times New Roman" w:hAnsi="Times New Roman"/>
                <w:b/>
                <w:sz w:val="20"/>
                <w:szCs w:val="20"/>
              </w:rPr>
            </w:pPr>
            <w:r w:rsidRPr="0008353D">
              <w:rPr>
                <w:rFonts w:ascii="Times New Roman" w:hAnsi="Times New Roman"/>
                <w:b/>
                <w:sz w:val="20"/>
                <w:szCs w:val="20"/>
              </w:rPr>
              <w:t>1.5</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98E013D" w14:textId="77777777">
            <w:pPr>
              <w:spacing w:line="276" w:lineRule="auto"/>
              <w:rPr>
                <w:rFonts w:ascii="Times New Roman" w:hAnsi="Times New Roman"/>
                <w:b/>
                <w:sz w:val="20"/>
                <w:szCs w:val="20"/>
              </w:rPr>
            </w:pPr>
            <w:r w:rsidRPr="0008353D">
              <w:rPr>
                <w:rFonts w:ascii="Times New Roman" w:hAnsi="Times New Roman"/>
                <w:b/>
                <w:bCs/>
                <w:sz w:val="20"/>
                <w:szCs w:val="20"/>
              </w:rPr>
              <w:t>$75.55</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7D25F58" w14:textId="77777777">
            <w:pPr>
              <w:spacing w:line="276" w:lineRule="auto"/>
              <w:jc w:val="center"/>
              <w:rPr>
                <w:rFonts w:ascii="Times New Roman" w:hAnsi="Times New Roman"/>
                <w:b/>
                <w:sz w:val="20"/>
                <w:szCs w:val="20"/>
              </w:rPr>
            </w:pPr>
            <w:r w:rsidRPr="0008353D">
              <w:rPr>
                <w:rFonts w:ascii="Times New Roman" w:hAnsi="Times New Roman"/>
                <w:b/>
                <w:sz w:val="20"/>
                <w:szCs w:val="20"/>
              </w:rPr>
              <w:t>$113</w:t>
            </w:r>
          </w:p>
        </w:tc>
      </w:tr>
      <w:tr w14:paraId="661E6519" w14:textId="77777777" w:rsidTr="0008353D">
        <w:tblPrEx>
          <w:tblW w:w="11400" w:type="dxa"/>
          <w:jc w:val="center"/>
          <w:tblLayout w:type="fixed"/>
          <w:tblLook w:val="04A0"/>
        </w:tblPrEx>
        <w:trPr>
          <w:gridAfter w:val="1"/>
          <w:wAfter w:w="146" w:type="dxa"/>
          <w:trHeight w:val="539"/>
          <w:jc w:val="center"/>
        </w:trPr>
        <w:tc>
          <w:tcPr>
            <w:tcW w:w="11255" w:type="dxa"/>
            <w:gridSpan w:val="15"/>
            <w:tcBorders>
              <w:top w:val="single" w:sz="4" w:space="0" w:color="auto"/>
              <w:left w:val="single" w:sz="4" w:space="0" w:color="auto"/>
              <w:bottom w:val="single" w:sz="4" w:space="0" w:color="auto"/>
              <w:right w:val="single" w:sz="4" w:space="0" w:color="auto"/>
            </w:tcBorders>
          </w:tcPr>
          <w:p w:rsidR="0008353D" w:rsidRPr="0008353D" w:rsidP="0008353D" w14:paraId="0820FD89" w14:textId="77777777">
            <w:pPr>
              <w:spacing w:line="276" w:lineRule="auto"/>
              <w:jc w:val="center"/>
              <w:rPr>
                <w:rFonts w:ascii="Times New Roman" w:hAnsi="Times New Roman"/>
                <w:sz w:val="20"/>
                <w:szCs w:val="20"/>
              </w:rPr>
            </w:pPr>
            <w:r w:rsidRPr="0008353D">
              <w:rPr>
                <w:rFonts w:ascii="Times New Roman" w:hAnsi="Times New Roman"/>
                <w:b/>
                <w:sz w:val="20"/>
                <w:szCs w:val="20"/>
              </w:rPr>
              <w:t>D. Prepare the Written Report to the Employer describing all serious hazards for all activities or workplace SHP assessments listed in B above (1908.6(g)(1))</w:t>
            </w:r>
          </w:p>
          <w:p w:rsidR="0008353D" w:rsidRPr="0008353D" w:rsidP="0008353D" w14:paraId="74AB2E5C" w14:textId="77777777">
            <w:pPr>
              <w:spacing w:line="276" w:lineRule="auto"/>
              <w:jc w:val="center"/>
              <w:rPr>
                <w:rFonts w:ascii="Times New Roman" w:hAnsi="Times New Roman"/>
                <w:sz w:val="20"/>
                <w:szCs w:val="20"/>
              </w:rPr>
            </w:pPr>
          </w:p>
        </w:tc>
      </w:tr>
      <w:tr w14:paraId="1DEC13EB" w14:textId="77777777" w:rsidTr="0008353D">
        <w:tblPrEx>
          <w:tblW w:w="11400"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37195CA7"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 Pre-Test</w:t>
            </w:r>
          </w:p>
        </w:tc>
        <w:tc>
          <w:tcPr>
            <w:tcW w:w="1530" w:type="dxa"/>
            <w:tcBorders>
              <w:top w:val="single" w:sz="4" w:space="0" w:color="auto"/>
              <w:left w:val="single" w:sz="4" w:space="0" w:color="auto"/>
              <w:bottom w:val="single" w:sz="4" w:space="0" w:color="auto"/>
              <w:right w:val="single" w:sz="4" w:space="0" w:color="auto"/>
            </w:tcBorders>
          </w:tcPr>
          <w:p w:rsidR="0008353D" w:rsidRPr="0008353D" w:rsidP="0008353D" w14:paraId="63045413" w14:textId="77777777">
            <w:pPr>
              <w:spacing w:line="276" w:lineRule="auto"/>
              <w:jc w:val="center"/>
              <w:rPr>
                <w:rFonts w:ascii="Times New Roman" w:hAnsi="Times New Roman"/>
                <w:sz w:val="20"/>
                <w:szCs w:val="20"/>
              </w:rPr>
            </w:pPr>
          </w:p>
          <w:p w:rsidR="0008353D" w:rsidRPr="0008353D" w:rsidP="0008353D" w14:paraId="381A3BD6"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496" w:type="dxa"/>
            <w:gridSpan w:val="2"/>
            <w:tcBorders>
              <w:top w:val="single" w:sz="4" w:space="0" w:color="auto"/>
              <w:left w:val="single" w:sz="4" w:space="0" w:color="auto"/>
              <w:bottom w:val="single" w:sz="4" w:space="0" w:color="auto"/>
              <w:right w:val="single" w:sz="4" w:space="0" w:color="auto"/>
            </w:tcBorders>
          </w:tcPr>
          <w:p w:rsidR="0008353D" w:rsidRPr="0008353D" w:rsidP="0008353D" w14:paraId="61765FE6" w14:textId="77777777">
            <w:pPr>
              <w:spacing w:line="276" w:lineRule="auto"/>
              <w:jc w:val="center"/>
              <w:rPr>
                <w:rFonts w:ascii="Times New Roman" w:hAnsi="Times New Roman"/>
                <w:sz w:val="20"/>
                <w:szCs w:val="20"/>
              </w:rPr>
            </w:pPr>
          </w:p>
          <w:p w:rsidR="0008353D" w:rsidRPr="0008353D" w:rsidP="0008353D" w14:paraId="1549EE9F"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p w:rsidR="0008353D" w:rsidRPr="0008353D" w:rsidP="0008353D" w14:paraId="50540B19"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433AA6E8" w14:textId="77777777">
            <w:pPr>
              <w:spacing w:line="276" w:lineRule="auto"/>
              <w:jc w:val="center"/>
              <w:rPr>
                <w:rFonts w:ascii="Times New Roman" w:hAnsi="Times New Roman"/>
                <w:sz w:val="20"/>
                <w:szCs w:val="20"/>
              </w:rPr>
            </w:pPr>
            <w:r w:rsidRPr="0008353D">
              <w:rPr>
                <w:rFonts w:ascii="Times New Roman" w:hAnsi="Times New Roman"/>
                <w:sz w:val="20"/>
                <w:szCs w:val="20"/>
              </w:rPr>
              <w:t>1</w:t>
            </w:r>
          </w:p>
          <w:p w:rsidR="0008353D" w:rsidRPr="0008353D" w:rsidP="0008353D" w14:paraId="3C21F08B"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7D15CB4D"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p w:rsidR="0008353D" w:rsidRPr="0008353D" w:rsidP="0008353D" w14:paraId="48253BC3"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57728C2B" w14:textId="77777777">
            <w:pPr>
              <w:spacing w:line="276" w:lineRule="auto"/>
              <w:jc w:val="center"/>
              <w:rPr>
                <w:rFonts w:ascii="Times New Roman" w:hAnsi="Times New Roman"/>
                <w:sz w:val="20"/>
                <w:szCs w:val="20"/>
              </w:rPr>
            </w:pPr>
            <w:r w:rsidRPr="0008353D">
              <w:rPr>
                <w:rFonts w:ascii="Times New Roman" w:hAnsi="Times New Roman"/>
                <w:sz w:val="20"/>
                <w:szCs w:val="20"/>
              </w:rPr>
              <w:t>7.5</w:t>
            </w:r>
          </w:p>
          <w:p w:rsidR="0008353D" w:rsidRPr="0008353D" w:rsidP="0008353D" w14:paraId="60782FC7"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7DCDBD2E" w14:textId="77777777">
            <w:pPr>
              <w:spacing w:line="276" w:lineRule="auto"/>
              <w:jc w:val="center"/>
              <w:rPr>
                <w:rFonts w:ascii="Times New Roman" w:hAnsi="Times New Roman"/>
                <w:sz w:val="20"/>
                <w:szCs w:val="20"/>
              </w:rPr>
            </w:pPr>
            <w:r w:rsidRPr="0008353D">
              <w:rPr>
                <w:rFonts w:ascii="Times New Roman" w:hAnsi="Times New Roman"/>
                <w:sz w:val="20"/>
                <w:szCs w:val="20"/>
              </w:rPr>
              <w:t>150</w:t>
            </w:r>
          </w:p>
          <w:p w:rsidR="0008353D" w:rsidRPr="0008353D" w:rsidP="0008353D" w14:paraId="58DF9062"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3B2F76A"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53CA61FE" w14:textId="77777777">
            <w:pPr>
              <w:spacing w:line="276" w:lineRule="auto"/>
              <w:jc w:val="center"/>
              <w:rPr>
                <w:rFonts w:ascii="Times New Roman" w:hAnsi="Times New Roman"/>
                <w:sz w:val="20"/>
                <w:szCs w:val="20"/>
              </w:rPr>
            </w:pPr>
            <w:r w:rsidRPr="0008353D">
              <w:rPr>
                <w:rFonts w:ascii="Times New Roman" w:hAnsi="Times New Roman"/>
                <w:sz w:val="20"/>
                <w:szCs w:val="20"/>
              </w:rPr>
              <w:t>$7,92</w:t>
            </w:r>
            <w:r w:rsidR="00E03722">
              <w:rPr>
                <w:rFonts w:ascii="Times New Roman" w:hAnsi="Times New Roman"/>
                <w:sz w:val="20"/>
                <w:szCs w:val="20"/>
              </w:rPr>
              <w:t>5</w:t>
            </w:r>
          </w:p>
          <w:p w:rsidR="0008353D" w:rsidRPr="0008353D" w:rsidP="0008353D" w14:paraId="161E27DD" w14:textId="77777777">
            <w:pPr>
              <w:spacing w:line="276" w:lineRule="auto"/>
              <w:jc w:val="center"/>
              <w:rPr>
                <w:rFonts w:ascii="Times New Roman" w:hAnsi="Times New Roman"/>
                <w:sz w:val="20"/>
                <w:szCs w:val="20"/>
              </w:rPr>
            </w:pPr>
          </w:p>
        </w:tc>
      </w:tr>
      <w:tr w14:paraId="1F930B93" w14:textId="77777777" w:rsidTr="0008353D">
        <w:tblPrEx>
          <w:tblW w:w="11400"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04C4CE8E"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0D34C933"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496" w:type="dxa"/>
            <w:gridSpan w:val="2"/>
            <w:tcBorders>
              <w:top w:val="single" w:sz="4" w:space="0" w:color="auto"/>
              <w:left w:val="single" w:sz="4" w:space="0" w:color="auto"/>
              <w:bottom w:val="single" w:sz="4" w:space="0" w:color="auto"/>
              <w:right w:val="single" w:sz="4" w:space="0" w:color="auto"/>
            </w:tcBorders>
          </w:tcPr>
          <w:p w:rsidR="0008353D" w:rsidRPr="0008353D" w:rsidP="0008353D" w14:paraId="3D175210" w14:textId="77777777">
            <w:pPr>
              <w:spacing w:line="276" w:lineRule="auto"/>
              <w:jc w:val="center"/>
              <w:rPr>
                <w:rFonts w:ascii="Times New Roman" w:hAnsi="Times New Roman"/>
                <w:sz w:val="20"/>
                <w:szCs w:val="20"/>
              </w:rPr>
            </w:pPr>
          </w:p>
          <w:p w:rsidR="0008353D" w:rsidRPr="0008353D" w:rsidP="0008353D" w14:paraId="42B413EB" w14:textId="77777777">
            <w:pPr>
              <w:spacing w:line="276" w:lineRule="auto"/>
              <w:jc w:val="center"/>
              <w:rPr>
                <w:rFonts w:ascii="Times New Roman" w:hAnsi="Times New Roman"/>
                <w:sz w:val="20"/>
                <w:szCs w:val="20"/>
              </w:rPr>
            </w:pPr>
            <w:r w:rsidRPr="0008353D">
              <w:rPr>
                <w:rFonts w:ascii="Times New Roman" w:hAnsi="Times New Roman"/>
                <w:sz w:val="20"/>
                <w:szCs w:val="20"/>
              </w:rPr>
              <w:t>200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16CEBA0" w14:textId="77777777">
            <w:pPr>
              <w:spacing w:line="276" w:lineRule="auto"/>
              <w:jc w:val="center"/>
              <w:rPr>
                <w:rFonts w:ascii="Times New Roman" w:hAnsi="Times New Roman"/>
                <w:sz w:val="20"/>
                <w:szCs w:val="20"/>
              </w:rPr>
            </w:pPr>
            <w:r w:rsidRPr="0008353D">
              <w:rPr>
                <w:rFonts w:ascii="Times New Roman" w:hAnsi="Times New Roman"/>
                <w:sz w:val="20"/>
                <w:szCs w:val="20"/>
              </w:rPr>
              <w:t>1.5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A981705" w14:textId="77777777">
            <w:pPr>
              <w:spacing w:line="276" w:lineRule="auto"/>
              <w:jc w:val="center"/>
              <w:rPr>
                <w:rFonts w:ascii="Times New Roman" w:hAnsi="Times New Roman"/>
                <w:sz w:val="20"/>
                <w:szCs w:val="20"/>
              </w:rPr>
            </w:pPr>
            <w:r w:rsidRPr="0008353D">
              <w:rPr>
                <w:rFonts w:ascii="Times New Roman" w:hAnsi="Times New Roman"/>
                <w:sz w:val="20"/>
                <w:szCs w:val="20"/>
              </w:rPr>
              <w:t>300</w:t>
            </w:r>
            <w:r>
              <w:rPr>
                <w:rFonts w:ascii="Times New Roman" w:hAnsi="Times New Roman"/>
                <w:sz w:val="20"/>
                <w:szCs w:val="20"/>
                <w:vertAlign w:val="superscript"/>
              </w:rPr>
              <w:footnoteReference w:id="19"/>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7B7CFA4" w14:textId="77777777">
            <w:pPr>
              <w:spacing w:line="276" w:lineRule="auto"/>
              <w:jc w:val="center"/>
              <w:rPr>
                <w:rFonts w:ascii="Times New Roman" w:hAnsi="Times New Roman"/>
                <w:sz w:val="20"/>
                <w:szCs w:val="20"/>
              </w:rPr>
            </w:pPr>
            <w:r w:rsidRPr="0008353D">
              <w:rPr>
                <w:rFonts w:ascii="Times New Roman" w:hAnsi="Times New Roman"/>
                <w:sz w:val="20"/>
                <w:szCs w:val="20"/>
              </w:rPr>
              <w:t>7.5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1A5A297" w14:textId="77777777">
            <w:pPr>
              <w:spacing w:line="276" w:lineRule="auto"/>
              <w:jc w:val="center"/>
              <w:rPr>
                <w:rFonts w:ascii="Times New Roman" w:hAnsi="Times New Roman"/>
                <w:sz w:val="20"/>
                <w:szCs w:val="20"/>
              </w:rPr>
            </w:pPr>
            <w:r w:rsidRPr="0008353D">
              <w:rPr>
                <w:rFonts w:ascii="Times New Roman" w:hAnsi="Times New Roman"/>
                <w:sz w:val="20"/>
                <w:szCs w:val="20"/>
              </w:rPr>
              <w:t>2,250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0A5B56CC"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D1D7EB6" w14:textId="77777777">
            <w:pPr>
              <w:spacing w:line="276" w:lineRule="auto"/>
              <w:rPr>
                <w:rFonts w:ascii="Times New Roman" w:hAnsi="Times New Roman"/>
                <w:sz w:val="20"/>
                <w:szCs w:val="20"/>
              </w:rPr>
            </w:pPr>
            <w:r w:rsidRPr="0008353D">
              <w:rPr>
                <w:rFonts w:ascii="Times New Roman" w:hAnsi="Times New Roman"/>
                <w:sz w:val="20"/>
                <w:szCs w:val="20"/>
              </w:rPr>
              <w:t>$118,86</w:t>
            </w:r>
            <w:r w:rsidR="00E03722">
              <w:rPr>
                <w:rFonts w:ascii="Times New Roman" w:hAnsi="Times New Roman"/>
                <w:sz w:val="20"/>
                <w:szCs w:val="20"/>
              </w:rPr>
              <w:t>8</w:t>
            </w:r>
          </w:p>
        </w:tc>
      </w:tr>
      <w:tr w14:paraId="3003D771" w14:textId="77777777" w:rsidTr="0008353D">
        <w:tblPrEx>
          <w:tblW w:w="11400"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672FB8D4" w14:textId="77777777">
            <w:pPr>
              <w:spacing w:line="276" w:lineRule="auto"/>
              <w:jc w:val="center"/>
              <w:rPr>
                <w:rFonts w:ascii="Times New Roman" w:hAnsi="Times New Roman"/>
                <w:b/>
                <w:sz w:val="20"/>
                <w:szCs w:val="20"/>
              </w:rPr>
            </w:pPr>
            <w:r w:rsidRPr="0008353D">
              <w:rPr>
                <w:rFonts w:ascii="Times New Roman" w:hAnsi="Times New Roman"/>
                <w:b/>
                <w:sz w:val="20"/>
                <w:szCs w:val="20"/>
              </w:rPr>
              <w:t>Pilot Study Follow-up</w:t>
            </w:r>
          </w:p>
        </w:tc>
        <w:tc>
          <w:tcPr>
            <w:tcW w:w="1530" w:type="dxa"/>
            <w:tcBorders>
              <w:top w:val="single" w:sz="4" w:space="0" w:color="auto"/>
              <w:left w:val="single" w:sz="4" w:space="0" w:color="auto"/>
              <w:bottom w:val="single" w:sz="4" w:space="0" w:color="auto"/>
              <w:right w:val="single" w:sz="4" w:space="0" w:color="auto"/>
            </w:tcBorders>
          </w:tcPr>
          <w:p w:rsidR="0008353D" w:rsidRPr="0008353D" w:rsidP="0008353D" w14:paraId="2CD28039" w14:textId="77777777">
            <w:pPr>
              <w:spacing w:line="276" w:lineRule="auto"/>
              <w:jc w:val="center"/>
              <w:rPr>
                <w:rFonts w:ascii="Times New Roman" w:hAnsi="Times New Roman"/>
                <w:sz w:val="20"/>
                <w:szCs w:val="20"/>
              </w:rPr>
            </w:pPr>
          </w:p>
          <w:p w:rsidR="0008353D" w:rsidRPr="0008353D" w:rsidP="0008353D" w14:paraId="228DD111" w14:textId="77777777">
            <w:pPr>
              <w:spacing w:line="276" w:lineRule="auto"/>
              <w:jc w:val="center"/>
              <w:rPr>
                <w:rFonts w:ascii="Times New Roman" w:hAnsi="Times New Roman"/>
                <w:sz w:val="20"/>
                <w:szCs w:val="20"/>
              </w:rPr>
            </w:pPr>
            <w:r w:rsidRPr="0008353D">
              <w:rPr>
                <w:rFonts w:ascii="Times New Roman" w:hAnsi="Times New Roman"/>
                <w:sz w:val="20"/>
                <w:szCs w:val="20"/>
              </w:rPr>
              <w:t>Consultants</w:t>
            </w:r>
          </w:p>
        </w:tc>
        <w:tc>
          <w:tcPr>
            <w:tcW w:w="1496" w:type="dxa"/>
            <w:gridSpan w:val="2"/>
            <w:tcBorders>
              <w:top w:val="single" w:sz="4" w:space="0" w:color="auto"/>
              <w:left w:val="single" w:sz="4" w:space="0" w:color="auto"/>
              <w:bottom w:val="single" w:sz="4" w:space="0" w:color="auto"/>
              <w:right w:val="single" w:sz="4" w:space="0" w:color="auto"/>
            </w:tcBorders>
          </w:tcPr>
          <w:p w:rsidR="0008353D" w:rsidRPr="0008353D" w:rsidP="0008353D" w14:paraId="359A4228" w14:textId="77777777">
            <w:pPr>
              <w:spacing w:line="276" w:lineRule="auto"/>
              <w:jc w:val="center"/>
              <w:rPr>
                <w:rFonts w:ascii="Times New Roman" w:hAnsi="Times New Roman"/>
                <w:sz w:val="20"/>
                <w:szCs w:val="20"/>
              </w:rPr>
            </w:pPr>
          </w:p>
          <w:p w:rsidR="0008353D" w:rsidRPr="0008353D" w:rsidP="0008353D" w14:paraId="79E8CF38" w14:textId="77777777">
            <w:pPr>
              <w:spacing w:line="276" w:lineRule="auto"/>
              <w:jc w:val="center"/>
              <w:rPr>
                <w:rFonts w:ascii="Times New Roman" w:hAnsi="Times New Roman"/>
                <w:sz w:val="20"/>
                <w:szCs w:val="20"/>
              </w:rPr>
            </w:pPr>
            <w:r w:rsidRPr="0008353D">
              <w:rPr>
                <w:rFonts w:ascii="Times New Roman" w:hAnsi="Times New Roman"/>
                <w:sz w:val="20"/>
                <w:szCs w:val="20"/>
              </w:rPr>
              <w:t>20</w:t>
            </w:r>
          </w:p>
          <w:p w:rsidR="0008353D" w:rsidRPr="0008353D" w:rsidP="0008353D" w14:paraId="73629D9D"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29457D0F" w14:textId="77777777">
            <w:pPr>
              <w:spacing w:line="276" w:lineRule="auto"/>
              <w:jc w:val="center"/>
              <w:rPr>
                <w:rFonts w:ascii="Times New Roman" w:hAnsi="Times New Roman"/>
                <w:sz w:val="20"/>
                <w:szCs w:val="20"/>
              </w:rPr>
            </w:pPr>
            <w:r w:rsidRPr="0008353D">
              <w:rPr>
                <w:rFonts w:ascii="Times New Roman" w:hAnsi="Times New Roman"/>
                <w:sz w:val="20"/>
                <w:szCs w:val="20"/>
              </w:rPr>
              <w:t>1.5</w:t>
            </w:r>
          </w:p>
          <w:p w:rsidR="0008353D" w:rsidRPr="0008353D" w:rsidP="0008353D" w14:paraId="69DB6703"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210BD1A2" w14:textId="77777777">
            <w:pPr>
              <w:spacing w:line="276" w:lineRule="auto"/>
              <w:jc w:val="center"/>
              <w:rPr>
                <w:rFonts w:ascii="Times New Roman" w:hAnsi="Times New Roman"/>
                <w:sz w:val="20"/>
                <w:szCs w:val="20"/>
              </w:rPr>
            </w:pPr>
            <w:r w:rsidRPr="0008353D">
              <w:rPr>
                <w:rFonts w:ascii="Times New Roman" w:hAnsi="Times New Roman"/>
                <w:sz w:val="20"/>
                <w:szCs w:val="20"/>
              </w:rPr>
              <w:t>30</w:t>
            </w:r>
          </w:p>
          <w:p w:rsidR="0008353D" w:rsidRPr="0008353D" w:rsidP="0008353D" w14:paraId="5D75EAC6"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0FBC8D3E" w14:textId="77777777">
            <w:pPr>
              <w:spacing w:line="276" w:lineRule="auto"/>
              <w:jc w:val="center"/>
              <w:rPr>
                <w:rFonts w:ascii="Times New Roman" w:hAnsi="Times New Roman"/>
                <w:sz w:val="20"/>
                <w:szCs w:val="20"/>
              </w:rPr>
            </w:pPr>
            <w:r w:rsidRPr="0008353D">
              <w:rPr>
                <w:rFonts w:ascii="Times New Roman" w:hAnsi="Times New Roman"/>
                <w:sz w:val="20"/>
                <w:szCs w:val="20"/>
              </w:rPr>
              <w:t>7.5</w:t>
            </w:r>
          </w:p>
          <w:p w:rsidR="0008353D" w:rsidRPr="0008353D" w:rsidP="0008353D" w14:paraId="4F8338CC"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7826C991" w14:textId="77777777">
            <w:pPr>
              <w:spacing w:line="276" w:lineRule="auto"/>
              <w:jc w:val="center"/>
              <w:rPr>
                <w:rFonts w:ascii="Times New Roman" w:hAnsi="Times New Roman"/>
                <w:sz w:val="20"/>
                <w:szCs w:val="20"/>
              </w:rPr>
            </w:pPr>
            <w:r w:rsidRPr="0008353D">
              <w:rPr>
                <w:rFonts w:ascii="Times New Roman" w:hAnsi="Times New Roman"/>
                <w:sz w:val="20"/>
                <w:szCs w:val="20"/>
              </w:rPr>
              <w:t>225</w:t>
            </w:r>
          </w:p>
          <w:p w:rsidR="0008353D" w:rsidRPr="0008353D" w:rsidP="0008353D" w14:paraId="030FA941" w14:textId="77777777">
            <w:pPr>
              <w:spacing w:line="276" w:lineRule="auto"/>
              <w:jc w:val="center"/>
              <w:rPr>
                <w:rFonts w:ascii="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0ADCD38C" w14:textId="77777777">
            <w:pPr>
              <w:spacing w:line="276" w:lineRule="auto"/>
              <w:jc w:val="center"/>
              <w:rPr>
                <w:rFonts w:ascii="Times New Roman" w:hAnsi="Times New Roman"/>
                <w:sz w:val="20"/>
                <w:szCs w:val="20"/>
              </w:rPr>
            </w:pPr>
            <w:r w:rsidRPr="0008353D">
              <w:rPr>
                <w:rFonts w:ascii="Times New Roman" w:hAnsi="Times New Roman"/>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tcPr>
          <w:p w:rsidR="0008353D" w:rsidRPr="0008353D" w:rsidP="0008353D" w14:paraId="54AC466D" w14:textId="77777777">
            <w:pPr>
              <w:spacing w:line="276" w:lineRule="auto"/>
              <w:jc w:val="center"/>
              <w:rPr>
                <w:rFonts w:ascii="Times New Roman" w:hAnsi="Times New Roman"/>
                <w:sz w:val="20"/>
                <w:szCs w:val="20"/>
              </w:rPr>
            </w:pPr>
            <w:r w:rsidRPr="0008353D">
              <w:rPr>
                <w:rFonts w:ascii="Times New Roman" w:hAnsi="Times New Roman"/>
                <w:sz w:val="20"/>
                <w:szCs w:val="20"/>
              </w:rPr>
              <w:t>$11,88</w:t>
            </w:r>
            <w:r w:rsidR="00EB4CC6">
              <w:rPr>
                <w:rFonts w:ascii="Times New Roman" w:hAnsi="Times New Roman"/>
                <w:sz w:val="20"/>
                <w:szCs w:val="20"/>
              </w:rPr>
              <w:t>7</w:t>
            </w:r>
          </w:p>
          <w:p w:rsidR="0008353D" w:rsidRPr="0008353D" w:rsidP="0008353D" w14:paraId="7016A6A4" w14:textId="77777777">
            <w:pPr>
              <w:spacing w:line="276" w:lineRule="auto"/>
              <w:jc w:val="center"/>
              <w:rPr>
                <w:rFonts w:ascii="Times New Roman" w:hAnsi="Times New Roman"/>
                <w:sz w:val="20"/>
                <w:szCs w:val="20"/>
              </w:rPr>
            </w:pPr>
          </w:p>
        </w:tc>
      </w:tr>
      <w:tr w14:paraId="36AC50CA" w14:textId="77777777" w:rsidTr="0008353D">
        <w:tblPrEx>
          <w:tblW w:w="11400"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1E6CD941" w14:textId="77777777">
            <w:pPr>
              <w:spacing w:line="276" w:lineRule="auto"/>
              <w:jc w:val="center"/>
              <w:rPr>
                <w:rFonts w:ascii="Times New Roman" w:hAnsi="Times New Roman"/>
                <w:b/>
                <w:sz w:val="20"/>
                <w:szCs w:val="20"/>
              </w:rPr>
            </w:pPr>
            <w:r w:rsidRPr="0008353D">
              <w:rPr>
                <w:rFonts w:ascii="Times New Roman" w:hAnsi="Times New Roman"/>
                <w:b/>
                <w:sz w:val="20"/>
                <w:szCs w:val="20"/>
              </w:rPr>
              <w:t>Sub-Total D.</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53D" w:rsidRPr="0008353D" w:rsidP="0008353D" w14:paraId="50D745DD" w14:textId="77777777">
            <w:pPr>
              <w:spacing w:line="276" w:lineRule="auto"/>
              <w:jc w:val="center"/>
              <w:rPr>
                <w:rFonts w:ascii="Times New Roman" w:hAnsi="Times New Roman"/>
                <w:b/>
                <w:sz w:val="20"/>
                <w:szCs w:val="20"/>
              </w:rPr>
            </w:pPr>
          </w:p>
        </w:tc>
        <w:tc>
          <w:tcPr>
            <w:tcW w:w="14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8353D" w:rsidRPr="0008353D" w:rsidP="0008353D" w14:paraId="6DA0126A" w14:textId="77777777">
            <w:pPr>
              <w:spacing w:line="276" w:lineRule="auto"/>
              <w:jc w:val="center"/>
              <w:rPr>
                <w:rFonts w:ascii="Times New Roman" w:hAnsi="Times New Roman"/>
                <w:b/>
                <w:sz w:val="20"/>
                <w:szCs w:val="20"/>
              </w:rPr>
            </w:pPr>
          </w:p>
          <w:p w:rsidR="0008353D" w:rsidRPr="0008353D" w:rsidP="0008353D" w14:paraId="30EF5243" w14:textId="77777777">
            <w:pPr>
              <w:spacing w:line="276" w:lineRule="auto"/>
              <w:jc w:val="center"/>
              <w:rPr>
                <w:rFonts w:ascii="Times New Roman" w:hAnsi="Times New Roman"/>
                <w:b/>
                <w:sz w:val="20"/>
                <w:szCs w:val="20"/>
              </w:rPr>
            </w:pPr>
            <w:r w:rsidRPr="0008353D">
              <w:rPr>
                <w:rFonts w:ascii="Times New Roman" w:hAnsi="Times New Roman"/>
                <w:sz w:val="20"/>
                <w:szCs w:val="20"/>
                <w:shd w:val="clear" w:color="auto" w:fill="FFFFFF" w:themeFill="background1"/>
              </w:rPr>
              <w:t>200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53D" w:rsidRPr="0008353D" w:rsidP="0008353D" w14:paraId="6833A197" w14:textId="77777777">
            <w:pPr>
              <w:spacing w:line="276" w:lineRule="auto"/>
              <w:jc w:val="center"/>
              <w:rPr>
                <w:rFonts w:ascii="Times New Roman" w:hAnsi="Times New Roman"/>
                <w:b/>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FCB021D" w14:textId="77777777">
            <w:pPr>
              <w:spacing w:line="276" w:lineRule="auto"/>
              <w:jc w:val="center"/>
              <w:rPr>
                <w:rFonts w:ascii="Times New Roman" w:hAnsi="Times New Roman"/>
                <w:b/>
                <w:sz w:val="20"/>
                <w:szCs w:val="20"/>
              </w:rPr>
            </w:pPr>
            <w:r w:rsidRPr="0008353D">
              <w:rPr>
                <w:rFonts w:ascii="Times New Roman" w:hAnsi="Times New Roman"/>
                <w:b/>
                <w:sz w:val="20"/>
                <w:szCs w:val="20"/>
              </w:rPr>
              <w:t>350</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A1CC75C" w14:textId="77777777">
            <w:pPr>
              <w:spacing w:line="276" w:lineRule="auto"/>
              <w:jc w:val="center"/>
              <w:rPr>
                <w:rFonts w:ascii="Times New Roman" w:hAnsi="Times New Roman"/>
                <w:b/>
                <w:sz w:val="20"/>
                <w:szCs w:val="20"/>
              </w:rPr>
            </w:pPr>
            <w:r w:rsidRPr="0008353D">
              <w:rPr>
                <w:rFonts w:ascii="Times New Roman" w:hAnsi="Times New Roman"/>
                <w:b/>
                <w:sz w:val="20"/>
                <w:szCs w:val="20"/>
              </w:rPr>
              <w:t>7.5</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4D18F06F" w14:textId="77777777">
            <w:pPr>
              <w:spacing w:line="276" w:lineRule="auto"/>
              <w:jc w:val="center"/>
              <w:rPr>
                <w:rFonts w:ascii="Times New Roman" w:hAnsi="Times New Roman"/>
                <w:b/>
                <w:sz w:val="20"/>
                <w:szCs w:val="20"/>
              </w:rPr>
            </w:pPr>
            <w:r w:rsidRPr="0008353D">
              <w:rPr>
                <w:rFonts w:ascii="Times New Roman" w:hAnsi="Times New Roman"/>
                <w:b/>
                <w:sz w:val="20"/>
                <w:szCs w:val="20"/>
              </w:rPr>
              <w:t>2,625</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0CCAE43" w14:textId="77777777">
            <w:pPr>
              <w:spacing w:line="276" w:lineRule="auto"/>
              <w:jc w:val="center"/>
              <w:rPr>
                <w:rFonts w:ascii="Times New Roman" w:hAnsi="Times New Roman"/>
                <w:b/>
                <w:sz w:val="20"/>
                <w:szCs w:val="20"/>
              </w:rPr>
            </w:pPr>
            <w:r w:rsidRPr="0008353D">
              <w:rPr>
                <w:rFonts w:ascii="Times New Roman" w:hAnsi="Times New Roman"/>
                <w:b/>
                <w:sz w:val="20"/>
                <w:szCs w:val="20"/>
              </w:rPr>
              <w:t>$52.83</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746154F" w14:textId="77777777">
            <w:pPr>
              <w:spacing w:line="276" w:lineRule="auto"/>
              <w:jc w:val="center"/>
              <w:rPr>
                <w:rFonts w:ascii="Times New Roman" w:hAnsi="Times New Roman"/>
                <w:b/>
                <w:sz w:val="20"/>
                <w:szCs w:val="20"/>
              </w:rPr>
            </w:pPr>
            <w:r w:rsidRPr="0008353D">
              <w:rPr>
                <w:rFonts w:ascii="Times New Roman" w:hAnsi="Times New Roman"/>
                <w:b/>
                <w:sz w:val="20"/>
                <w:szCs w:val="20"/>
              </w:rPr>
              <w:t>$138,679</w:t>
            </w:r>
          </w:p>
        </w:tc>
      </w:tr>
      <w:tr w14:paraId="66E9F703" w14:textId="77777777" w:rsidTr="0008353D">
        <w:tblPrEx>
          <w:tblW w:w="11400"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0BA42E1A" w14:textId="77777777">
            <w:pPr>
              <w:spacing w:line="276" w:lineRule="auto"/>
              <w:jc w:val="center"/>
              <w:rPr>
                <w:rFonts w:ascii="Times New Roman" w:hAnsi="Times New Roman"/>
                <w:b/>
                <w:sz w:val="20"/>
                <w:szCs w:val="20"/>
              </w:rPr>
            </w:pPr>
            <w:r w:rsidRPr="0008353D">
              <w:rPr>
                <w:rFonts w:ascii="Times New Roman" w:hAnsi="Times New Roman"/>
                <w:b/>
                <w:sz w:val="20"/>
                <w:szCs w:val="20"/>
              </w:rPr>
              <w:t xml:space="preserve">E. Inform OSHA or State Plan Compliance there is a Consultation </w:t>
            </w:r>
            <w:r w:rsidRPr="0008353D">
              <w:rPr>
                <w:rFonts w:ascii="Times New Roman" w:hAnsi="Times New Roman"/>
                <w:b/>
                <w:sz w:val="20"/>
                <w:szCs w:val="20"/>
              </w:rPr>
              <w:br/>
              <w:t>“Visit in Progress</w:t>
            </w:r>
            <w:r>
              <w:rPr>
                <w:rFonts w:ascii="Times New Roman" w:hAnsi="Times New Roman"/>
                <w:b/>
                <w:sz w:val="20"/>
                <w:szCs w:val="20"/>
                <w:vertAlign w:val="superscript"/>
              </w:rPr>
              <w:footnoteReference w:id="20"/>
            </w:r>
            <w:r w:rsidRPr="0008353D">
              <w:rPr>
                <w:rFonts w:ascii="Times New Roman" w:hAnsi="Times New Roman"/>
                <w:b/>
                <w:sz w:val="20"/>
                <w:szCs w:val="20"/>
              </w:rPr>
              <w:t>” (1908.7(b)(1))</w:t>
            </w:r>
          </w:p>
        </w:tc>
        <w:tc>
          <w:tcPr>
            <w:tcW w:w="1530" w:type="dxa"/>
            <w:tcBorders>
              <w:top w:val="single" w:sz="4" w:space="0" w:color="auto"/>
              <w:left w:val="single" w:sz="4" w:space="0" w:color="auto"/>
              <w:bottom w:val="single" w:sz="4" w:space="0" w:color="auto"/>
              <w:right w:val="single" w:sz="4" w:space="0" w:color="auto"/>
            </w:tcBorders>
            <w:hideMark/>
          </w:tcPr>
          <w:p w:rsidR="0008353D" w:rsidRPr="0008353D" w:rsidP="0008353D" w14:paraId="34895152" w14:textId="77777777">
            <w:pPr>
              <w:spacing w:line="276" w:lineRule="auto"/>
              <w:jc w:val="center"/>
              <w:rPr>
                <w:rFonts w:ascii="Times New Roman" w:hAnsi="Times New Roman"/>
                <w:sz w:val="20"/>
                <w:szCs w:val="20"/>
              </w:rPr>
            </w:pPr>
            <w:r w:rsidRPr="0008353D">
              <w:rPr>
                <w:rFonts w:ascii="Times New Roman" w:hAnsi="Times New Roman"/>
                <w:sz w:val="20"/>
                <w:szCs w:val="20"/>
              </w:rPr>
              <w:t>CPM</w:t>
            </w:r>
          </w:p>
        </w:tc>
        <w:tc>
          <w:tcPr>
            <w:tcW w:w="1496" w:type="dxa"/>
            <w:gridSpan w:val="2"/>
            <w:tcBorders>
              <w:top w:val="single" w:sz="4" w:space="0" w:color="auto"/>
              <w:left w:val="single" w:sz="4" w:space="0" w:color="auto"/>
              <w:bottom w:val="single" w:sz="4" w:space="0" w:color="auto"/>
              <w:right w:val="single" w:sz="4" w:space="0" w:color="auto"/>
            </w:tcBorders>
          </w:tcPr>
          <w:p w:rsidR="0008353D" w:rsidRPr="0008353D" w:rsidP="0008353D" w14:paraId="13018145" w14:textId="77777777">
            <w:pPr>
              <w:spacing w:line="276" w:lineRule="auto"/>
              <w:jc w:val="center"/>
              <w:rPr>
                <w:rFonts w:ascii="Times New Roman" w:hAnsi="Times New Roman"/>
                <w:sz w:val="20"/>
                <w:szCs w:val="20"/>
              </w:rPr>
            </w:pPr>
          </w:p>
          <w:p w:rsidR="0008353D" w:rsidRPr="0008353D" w:rsidP="0008353D" w14:paraId="3BC8FCAC" w14:textId="77777777">
            <w:pPr>
              <w:spacing w:line="276" w:lineRule="auto"/>
              <w:jc w:val="center"/>
              <w:rPr>
                <w:rFonts w:ascii="Times New Roman" w:hAnsi="Times New Roman"/>
                <w:sz w:val="20"/>
                <w:szCs w:val="20"/>
              </w:rPr>
            </w:pPr>
            <w:r w:rsidRPr="0008353D">
              <w:rPr>
                <w:rFonts w:ascii="Times New Roman" w:hAnsi="Times New Roman"/>
                <w:sz w:val="20"/>
                <w:szCs w:val="20"/>
              </w:rPr>
              <w:t>18</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28922CB3" w14:textId="77777777">
            <w:pPr>
              <w:spacing w:line="276" w:lineRule="auto"/>
              <w:jc w:val="center"/>
              <w:rPr>
                <w:rFonts w:ascii="Times New Roman" w:hAnsi="Times New Roman"/>
                <w:sz w:val="20"/>
                <w:szCs w:val="20"/>
              </w:rPr>
            </w:pPr>
            <w:r w:rsidRPr="0008353D">
              <w:rPr>
                <w:rFonts w:ascii="Times New Roman" w:hAnsi="Times New Roman"/>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0AC99D2E" w14:textId="77777777">
            <w:pPr>
              <w:spacing w:line="276" w:lineRule="auto"/>
              <w:jc w:val="center"/>
              <w:rPr>
                <w:rFonts w:ascii="Times New Roman" w:hAnsi="Times New Roman"/>
                <w:b/>
                <w:sz w:val="20"/>
                <w:szCs w:val="20"/>
              </w:rPr>
            </w:pPr>
            <w:r w:rsidRPr="0008353D">
              <w:rPr>
                <w:rFonts w:ascii="Times New Roman" w:hAnsi="Times New Roman"/>
                <w:b/>
                <w:sz w:val="20"/>
                <w:szCs w:val="20"/>
              </w:rPr>
              <w:t>18</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739FB27E" w14:textId="77777777">
            <w:pPr>
              <w:spacing w:line="276" w:lineRule="auto"/>
              <w:jc w:val="center"/>
              <w:rPr>
                <w:rFonts w:ascii="Times New Roman" w:hAnsi="Times New Roman"/>
                <w:b/>
                <w:sz w:val="20"/>
                <w:szCs w:val="20"/>
              </w:rPr>
            </w:pPr>
            <w:r w:rsidRPr="0008353D">
              <w:rPr>
                <w:rFonts w:ascii="Times New Roman" w:hAnsi="Times New Roman"/>
                <w:b/>
                <w:sz w:val="20"/>
                <w:szCs w:val="20"/>
              </w:rPr>
              <w:t>6/60</w:t>
            </w: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08F823C" w14:textId="77777777">
            <w:pPr>
              <w:spacing w:line="276" w:lineRule="auto"/>
              <w:jc w:val="center"/>
              <w:rPr>
                <w:rFonts w:ascii="Times New Roman" w:hAnsi="Times New Roman"/>
                <w:b/>
                <w:sz w:val="20"/>
                <w:szCs w:val="20"/>
              </w:rPr>
            </w:pPr>
            <w:r w:rsidRPr="0008353D">
              <w:rPr>
                <w:rFonts w:ascii="Times New Roman" w:hAnsi="Times New Roman"/>
                <w:b/>
                <w:sz w:val="20"/>
                <w:szCs w:val="20"/>
              </w:rPr>
              <w:t>1.8</w:t>
            </w:r>
          </w:p>
        </w:tc>
        <w:tc>
          <w:tcPr>
            <w:tcW w:w="90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2C841862" w14:textId="77777777">
            <w:pPr>
              <w:spacing w:line="276" w:lineRule="auto"/>
              <w:jc w:val="center"/>
              <w:rPr>
                <w:rFonts w:ascii="Times New Roman" w:hAnsi="Times New Roman"/>
                <w:b/>
                <w:sz w:val="20"/>
                <w:szCs w:val="20"/>
              </w:rPr>
            </w:pPr>
            <w:r w:rsidRPr="0008353D">
              <w:rPr>
                <w:rFonts w:ascii="Times New Roman" w:hAnsi="Times New Roman"/>
                <w:b/>
                <w:sz w:val="20"/>
                <w:szCs w:val="20"/>
              </w:rPr>
              <w:t>$75.55</w:t>
            </w: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62A8203F" w14:textId="77777777">
            <w:pPr>
              <w:spacing w:line="276" w:lineRule="auto"/>
              <w:jc w:val="center"/>
              <w:rPr>
                <w:rFonts w:ascii="Times New Roman" w:hAnsi="Times New Roman"/>
                <w:b/>
                <w:sz w:val="20"/>
                <w:szCs w:val="20"/>
              </w:rPr>
            </w:pPr>
            <w:r w:rsidRPr="0008353D">
              <w:rPr>
                <w:rFonts w:ascii="Times New Roman" w:hAnsi="Times New Roman"/>
                <w:b/>
                <w:sz w:val="20"/>
                <w:szCs w:val="20"/>
              </w:rPr>
              <w:t>$136</w:t>
            </w:r>
          </w:p>
        </w:tc>
      </w:tr>
      <w:tr w14:paraId="0DB82423" w14:textId="77777777" w:rsidTr="0008353D">
        <w:tblPrEx>
          <w:tblW w:w="11400" w:type="dxa"/>
          <w:jc w:val="center"/>
          <w:tblLayout w:type="fixed"/>
          <w:tblLook w:val="04A0"/>
        </w:tblPrEx>
        <w:trPr>
          <w:jc w:val="center"/>
        </w:trPr>
        <w:tc>
          <w:tcPr>
            <w:tcW w:w="1805" w:type="dxa"/>
            <w:tcBorders>
              <w:top w:val="single" w:sz="4" w:space="0" w:color="auto"/>
              <w:left w:val="single" w:sz="4" w:space="0" w:color="auto"/>
              <w:bottom w:val="single" w:sz="4" w:space="0" w:color="auto"/>
              <w:right w:val="single" w:sz="4" w:space="0" w:color="auto"/>
            </w:tcBorders>
            <w:hideMark/>
          </w:tcPr>
          <w:p w:rsidR="0008353D" w:rsidRPr="0008353D" w:rsidP="0008353D" w14:paraId="38B61E09" w14:textId="77777777">
            <w:pPr>
              <w:spacing w:line="276" w:lineRule="auto"/>
              <w:jc w:val="center"/>
              <w:rPr>
                <w:rFonts w:ascii="Times New Roman" w:hAnsi="Times New Roman"/>
                <w:b/>
                <w:sz w:val="20"/>
                <w:szCs w:val="20"/>
              </w:rPr>
            </w:pPr>
            <w:r w:rsidRPr="0008353D">
              <w:rPr>
                <w:rFonts w:ascii="Times New Roman" w:hAnsi="Times New Roman"/>
                <w:b/>
                <w:sz w:val="20"/>
                <w:szCs w:val="20"/>
              </w:rPr>
              <w:t>TOTAL</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353D" w:rsidRPr="0008353D" w:rsidP="0008353D" w14:paraId="3DAB00FB" w14:textId="77777777">
            <w:pPr>
              <w:spacing w:line="276" w:lineRule="auto"/>
              <w:jc w:val="center"/>
              <w:rPr>
                <w:rFonts w:ascii="Times New Roman" w:hAnsi="Times New Roman"/>
                <w:b/>
                <w:sz w:val="20"/>
                <w:szCs w:val="20"/>
              </w:rPr>
            </w:pPr>
          </w:p>
        </w:tc>
        <w:tc>
          <w:tcPr>
            <w:tcW w:w="14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8353D" w:rsidRPr="0008353D" w:rsidP="0008353D" w14:paraId="6451827C" w14:textId="77777777">
            <w:pPr>
              <w:spacing w:line="276" w:lineRule="auto"/>
              <w:jc w:val="center"/>
              <w:rPr>
                <w:rFonts w:ascii="Times New Roman" w:hAnsi="Times New Roman"/>
                <w:sz w:val="20"/>
                <w:szCs w:val="20"/>
              </w:rPr>
            </w:pPr>
            <w:r w:rsidRPr="0008353D">
              <w:rPr>
                <w:rFonts w:ascii="Times New Roman" w:hAnsi="Times New Roman"/>
                <w:sz w:val="20"/>
                <w:szCs w:val="20"/>
              </w:rPr>
              <w:t>200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353D" w:rsidRPr="0008353D" w:rsidP="0008353D" w14:paraId="2607BF11"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1239B7DC" w14:textId="77777777">
            <w:pPr>
              <w:spacing w:line="276" w:lineRule="auto"/>
              <w:jc w:val="center"/>
              <w:rPr>
                <w:rFonts w:ascii="Times New Roman" w:hAnsi="Times New Roman"/>
                <w:b/>
                <w:sz w:val="20"/>
                <w:szCs w:val="20"/>
              </w:rPr>
            </w:pPr>
            <w:r w:rsidRPr="0008353D">
              <w:rPr>
                <w:rFonts w:ascii="Times New Roman" w:hAnsi="Times New Roman"/>
                <w:b/>
                <w:sz w:val="20"/>
                <w:szCs w:val="20"/>
              </w:rPr>
              <w:t>1,171</w:t>
            </w:r>
          </w:p>
        </w:tc>
        <w:tc>
          <w:tcPr>
            <w:tcW w:w="9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353D" w:rsidRPr="0008353D" w:rsidP="0008353D" w14:paraId="4B4F2DBD" w14:textId="77777777">
            <w:pPr>
              <w:spacing w:line="276" w:lineRule="auto"/>
              <w:jc w:val="center"/>
              <w:rPr>
                <w:rFonts w:ascii="Times New Roman" w:hAnsi="Times New Roman"/>
                <w:sz w:val="20"/>
                <w:szCs w:val="20"/>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379A9C0E" w14:textId="77777777">
            <w:pPr>
              <w:spacing w:line="276" w:lineRule="auto"/>
              <w:jc w:val="center"/>
              <w:rPr>
                <w:rFonts w:ascii="Times New Roman" w:hAnsi="Times New Roman"/>
                <w:b/>
                <w:sz w:val="20"/>
                <w:szCs w:val="20"/>
              </w:rPr>
            </w:pPr>
            <w:r w:rsidRPr="0008353D">
              <w:rPr>
                <w:rFonts w:ascii="Times New Roman" w:hAnsi="Times New Roman"/>
                <w:b/>
                <w:sz w:val="20"/>
                <w:szCs w:val="20"/>
              </w:rPr>
              <w:t>4,660</w:t>
            </w:r>
          </w:p>
        </w:tc>
        <w:tc>
          <w:tcPr>
            <w:tcW w:w="9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353D" w:rsidRPr="0008353D" w:rsidP="0008353D" w14:paraId="41618A3F" w14:textId="77777777">
            <w:pPr>
              <w:spacing w:line="276" w:lineRule="auto"/>
              <w:jc w:val="center"/>
              <w:rPr>
                <w:rFonts w:ascii="Times New Roman" w:hAnsi="Times New Roman"/>
                <w:sz w:val="20"/>
                <w:szCs w:val="20"/>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08353D" w:rsidRPr="0008353D" w:rsidP="0008353D" w14:paraId="56015F76" w14:textId="77777777">
            <w:pPr>
              <w:spacing w:line="276" w:lineRule="auto"/>
              <w:jc w:val="center"/>
              <w:rPr>
                <w:rFonts w:ascii="Times New Roman" w:hAnsi="Times New Roman"/>
                <w:b/>
                <w:sz w:val="20"/>
                <w:szCs w:val="20"/>
              </w:rPr>
            </w:pPr>
            <w:r w:rsidRPr="0008353D">
              <w:rPr>
                <w:rFonts w:ascii="Times New Roman" w:hAnsi="Times New Roman"/>
                <w:b/>
                <w:sz w:val="20"/>
                <w:szCs w:val="20"/>
              </w:rPr>
              <w:t>$246,279</w:t>
            </w:r>
          </w:p>
        </w:tc>
      </w:tr>
    </w:tbl>
    <w:p w:rsidR="0008353D" w:rsidRPr="0008353D" w:rsidP="0008353D" w14:paraId="6C4F0643" w14:textId="77777777">
      <w:pPr>
        <w:keepNext/>
        <w:rPr>
          <w:rFonts w:ascii="Times New Roman" w:hAnsi="Times New Roman"/>
          <w:b/>
        </w:rPr>
      </w:pPr>
    </w:p>
    <w:p w:rsidR="0008353D" w:rsidRPr="0008353D" w:rsidP="0008353D" w14:paraId="2EB03758" w14:textId="77777777">
      <w:pPr>
        <w:widowControl/>
        <w:rPr>
          <w:rFonts w:ascii="Times New Roman" w:hAnsi="Times New Roman"/>
          <w:b/>
        </w:rPr>
      </w:pPr>
    </w:p>
    <w:p w:rsidR="00A113D4" w:rsidP="00A113D4" w14:paraId="39480050" w14:textId="77777777">
      <w:pPr>
        <w:rPr>
          <w:rFonts w:ascii="Times New Roman" w:hAnsi="Times New Roman"/>
          <w:b/>
        </w:rPr>
      </w:pPr>
    </w:p>
    <w:p w:rsidR="00A113D4" w:rsidP="00A113D4" w14:paraId="1A40D2A2" w14:textId="77777777">
      <w:pPr>
        <w:rPr>
          <w:rFonts w:ascii="Times New Roman" w:hAnsi="Times New Roman"/>
          <w:b/>
        </w:rPr>
      </w:pPr>
    </w:p>
    <w:p w:rsidR="00A113D4" w:rsidP="00A113D4" w14:paraId="43DD54F6" w14:textId="77777777">
      <w:pPr>
        <w:rPr>
          <w:rFonts w:ascii="Times New Roman" w:hAnsi="Times New Roman"/>
          <w:b/>
        </w:rPr>
      </w:pPr>
    </w:p>
    <w:p w:rsidR="00A113D4" w:rsidP="00A113D4" w14:paraId="1D113F7B" w14:textId="77777777">
      <w:pPr>
        <w:rPr>
          <w:rFonts w:ascii="Times New Roman" w:hAnsi="Times New Roman"/>
          <w:b/>
        </w:rPr>
      </w:pPr>
    </w:p>
    <w:p w:rsidR="00A113D4" w:rsidP="00A113D4" w14:paraId="39BD0A8E" w14:textId="77777777">
      <w:pPr>
        <w:rPr>
          <w:rFonts w:ascii="Times New Roman" w:hAnsi="Times New Roman"/>
          <w:b/>
        </w:rPr>
      </w:pPr>
    </w:p>
    <w:p w:rsidR="00A113D4" w:rsidP="00A113D4" w14:paraId="244ABE42" w14:textId="77777777">
      <w:pPr>
        <w:rPr>
          <w:rFonts w:ascii="Times New Roman" w:hAnsi="Times New Roman"/>
          <w:b/>
        </w:rPr>
      </w:pPr>
    </w:p>
    <w:p w:rsidR="00A113D4" w:rsidP="00A113D4" w14:paraId="6271A731" w14:textId="77777777">
      <w:pPr>
        <w:rPr>
          <w:rFonts w:ascii="Times New Roman" w:hAnsi="Times New Roman"/>
          <w:b/>
        </w:rPr>
      </w:pPr>
    </w:p>
    <w:p w:rsidR="00A113D4" w:rsidP="00A113D4" w14:paraId="3D27EC00" w14:textId="77777777">
      <w:pPr>
        <w:rPr>
          <w:rFonts w:ascii="Times New Roman" w:hAnsi="Times New Roman"/>
          <w:b/>
        </w:rPr>
      </w:pPr>
    </w:p>
    <w:p w:rsidR="00A113D4" w:rsidP="00A113D4" w14:paraId="3F9596BD" w14:textId="77777777">
      <w:pPr>
        <w:rPr>
          <w:rFonts w:ascii="Times New Roman" w:hAnsi="Times New Roman"/>
          <w:b/>
        </w:rPr>
      </w:pPr>
    </w:p>
    <w:p w:rsidR="00A113D4" w:rsidP="00A113D4" w14:paraId="68C4A939" w14:textId="77777777">
      <w:pPr>
        <w:rPr>
          <w:rFonts w:ascii="Times New Roman" w:hAnsi="Times New Roman"/>
          <w:b/>
        </w:rPr>
      </w:pPr>
    </w:p>
    <w:p w:rsidR="00A113D4" w:rsidP="00A113D4" w14:paraId="5B9CE45E" w14:textId="77777777">
      <w:pPr>
        <w:rPr>
          <w:rFonts w:ascii="Times New Roman" w:hAnsi="Times New Roman"/>
          <w:b/>
        </w:rPr>
      </w:pPr>
    </w:p>
    <w:p w:rsidR="00A113D4" w:rsidP="00A113D4" w14:paraId="2CF1E33C" w14:textId="77777777">
      <w:pPr>
        <w:rPr>
          <w:rFonts w:ascii="Times New Roman" w:hAnsi="Times New Roman"/>
          <w:b/>
        </w:rPr>
      </w:pPr>
    </w:p>
    <w:p w:rsidR="00A113D4" w:rsidP="00A113D4" w14:paraId="56A73CA7" w14:textId="77777777">
      <w:pPr>
        <w:rPr>
          <w:rFonts w:ascii="Times New Roman" w:hAnsi="Times New Roman"/>
          <w:b/>
        </w:rPr>
      </w:pPr>
    </w:p>
    <w:p w:rsidR="00A113D4" w:rsidP="00A113D4" w14:paraId="68CEB3EC" w14:textId="77777777">
      <w:pPr>
        <w:rPr>
          <w:rFonts w:ascii="Times New Roman" w:hAnsi="Times New Roman"/>
          <w:b/>
        </w:rPr>
      </w:pPr>
    </w:p>
    <w:p w:rsidR="00A113D4" w:rsidRPr="00A113D4" w:rsidP="00A113D4" w14:paraId="5CD95C18" w14:textId="77777777">
      <w:pPr>
        <w:rPr>
          <w:rFonts w:ascii="Times New Roman" w:hAnsi="Times New Roman"/>
          <w:i/>
        </w:rPr>
      </w:pPr>
      <w:r>
        <w:rPr>
          <w:rFonts w:ascii="Times New Roman" w:hAnsi="Times New Roman"/>
          <w:b/>
        </w:rPr>
        <w:t>Appendix B</w:t>
      </w:r>
      <w:r w:rsidRPr="00A113D4">
        <w:rPr>
          <w:rFonts w:ascii="Times New Roman" w:hAnsi="Times New Roman"/>
          <w:b/>
        </w:rPr>
        <w:t xml:space="preserve">: </w:t>
      </w:r>
      <w:r>
        <w:rPr>
          <w:rFonts w:ascii="Times New Roman" w:hAnsi="Times New Roman"/>
          <w:b/>
        </w:rPr>
        <w:t xml:space="preserve">2022 </w:t>
      </w:r>
      <w:r w:rsidRPr="00A113D4">
        <w:rPr>
          <w:rFonts w:ascii="Times New Roman" w:hAnsi="Times New Roman"/>
          <w:b/>
        </w:rPr>
        <w:t>Estimated Respondent (State Consultation Programs) Hour and Cost Burden for the Prospective Analysis</w:t>
      </w:r>
      <w:r>
        <w:rPr>
          <w:rFonts w:ascii="Times New Roman" w:hAnsi="Times New Roman"/>
          <w:b/>
        </w:rPr>
        <w:t xml:space="preserve"> </w:t>
      </w:r>
      <w:r w:rsidRPr="009E7CB3">
        <w:rPr>
          <w:rFonts w:ascii="Times New Roman" w:hAnsi="Times New Roman"/>
          <w:bCs/>
        </w:rPr>
        <w:t>(OMB #1218-0280; Expiration Date: June 30, 2024)</w:t>
      </w:r>
    </w:p>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91"/>
        <w:gridCol w:w="1711"/>
        <w:gridCol w:w="1171"/>
        <w:gridCol w:w="900"/>
        <w:gridCol w:w="1171"/>
        <w:gridCol w:w="900"/>
        <w:gridCol w:w="1261"/>
      </w:tblGrid>
      <w:tr w14:paraId="63778884" w14:textId="77777777" w:rsidTr="00A113D4">
        <w:tblPrEx>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23"/>
          <w:tblHeader/>
          <w:jc w:val="center"/>
        </w:trPr>
        <w:tc>
          <w:tcPr>
            <w:tcW w:w="1345"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19AEEC1F" w14:textId="77777777">
            <w:pPr>
              <w:rPr>
                <w:rFonts w:ascii="Times New Roman" w:hAnsi="Times New Roman"/>
                <w:b/>
              </w:rPr>
            </w:pPr>
            <w:r w:rsidRPr="00A113D4">
              <w:rPr>
                <w:rFonts w:ascii="Times New Roman" w:hAnsi="Times New Roman"/>
                <w:b/>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66A52E36" w14:textId="77777777">
            <w:pPr>
              <w:rPr>
                <w:rFonts w:ascii="Times New Roman" w:hAnsi="Times New Roman"/>
                <w:b/>
              </w:rPr>
            </w:pPr>
            <w:r w:rsidRPr="00A113D4">
              <w:rPr>
                <w:rFonts w:ascii="Times New Roman" w:hAnsi="Times New Roman"/>
                <w:b/>
              </w:rPr>
              <w:t>Type of</w:t>
            </w:r>
          </w:p>
          <w:p w:rsidR="00A113D4" w:rsidRPr="00A113D4" w:rsidP="00A113D4" w14:paraId="69EABC5C" w14:textId="77777777">
            <w:pPr>
              <w:rPr>
                <w:rFonts w:ascii="Times New Roman" w:hAnsi="Times New Roman"/>
                <w:b/>
              </w:rPr>
            </w:pPr>
            <w:r w:rsidRPr="00A113D4">
              <w:rPr>
                <w:rFonts w:ascii="Times New Roman" w:hAnsi="Times New Roman"/>
                <w:b/>
              </w:rPr>
              <w:t>Respondent</w:t>
            </w:r>
            <w:r>
              <w:rPr>
                <w:rFonts w:ascii="Times New Roman" w:hAnsi="Times New Roman"/>
                <w:b/>
                <w:vertAlign w:val="superscript"/>
              </w:rPr>
              <w:footnoteReference w:id="21"/>
            </w:r>
          </w:p>
        </w:tc>
        <w:tc>
          <w:tcPr>
            <w:tcW w:w="1890" w:type="dxa"/>
            <w:tcBorders>
              <w:top w:val="single" w:sz="4" w:space="0" w:color="auto"/>
              <w:left w:val="single" w:sz="4" w:space="0" w:color="auto"/>
              <w:bottom w:val="single" w:sz="4" w:space="0" w:color="auto"/>
              <w:right w:val="single" w:sz="4" w:space="0" w:color="auto"/>
            </w:tcBorders>
            <w:shd w:val="clear" w:color="auto" w:fill="8DB3E2"/>
          </w:tcPr>
          <w:p w:rsidR="00A113D4" w:rsidRPr="00A113D4" w:rsidP="00A113D4" w14:paraId="6D490117" w14:textId="77777777">
            <w:pPr>
              <w:rPr>
                <w:rFonts w:ascii="Times New Roman" w:hAnsi="Times New Roman"/>
                <w:b/>
              </w:rPr>
            </w:pPr>
            <w:r w:rsidRPr="00A113D4">
              <w:rPr>
                <w:rFonts w:ascii="Times New Roman" w:hAnsi="Times New Roman"/>
                <w:b/>
              </w:rPr>
              <w:t>No. of Respondents</w:t>
            </w:r>
            <w:r>
              <w:rPr>
                <w:rFonts w:ascii="Times New Roman" w:hAnsi="Times New Roman"/>
                <w:b/>
                <w:vertAlign w:val="superscript"/>
              </w:rPr>
              <w:footnoteReference w:id="22"/>
            </w:r>
          </w:p>
          <w:p w:rsidR="00A113D4" w:rsidRPr="00A113D4" w:rsidP="00A113D4" w14:paraId="24BBD03C" w14:textId="77777777">
            <w:pPr>
              <w:rPr>
                <w:rFonts w:ascii="Times New Roman" w:hAnsi="Times New Roman"/>
                <w:b/>
              </w:rPr>
            </w:pPr>
          </w:p>
          <w:p w:rsidR="00A113D4" w:rsidRPr="00A113D4" w:rsidP="00A113D4" w14:paraId="54305175" w14:textId="77777777">
            <w:pPr>
              <w:rPr>
                <w:rFonts w:ascii="Times New Roman" w:hAnsi="Times New Roman"/>
                <w:b/>
              </w:rPr>
            </w:pPr>
          </w:p>
          <w:p w:rsidR="00A113D4" w:rsidRPr="00A113D4" w:rsidP="00A113D4" w14:paraId="5CB1D02A" w14:textId="77777777">
            <w:pPr>
              <w:rPr>
                <w:rFonts w:ascii="Times New Roman" w:hAnsi="Times New Roman"/>
                <w:b/>
              </w:rPr>
            </w:pPr>
          </w:p>
          <w:p w:rsidR="00A113D4" w:rsidRPr="00A113D4" w:rsidP="00A113D4" w14:paraId="2C8BD338" w14:textId="77777777">
            <w:pPr>
              <w:rPr>
                <w:rFonts w:ascii="Times New Roman" w:hAnsi="Times New Roman"/>
                <w:b/>
              </w:rPr>
            </w:pPr>
          </w:p>
        </w:tc>
        <w:tc>
          <w:tcPr>
            <w:tcW w:w="171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0B32DDC5" w14:textId="77777777">
            <w:pPr>
              <w:rPr>
                <w:rFonts w:ascii="Times New Roman" w:hAnsi="Times New Roman"/>
                <w:b/>
              </w:rPr>
            </w:pPr>
            <w:r w:rsidRPr="00A113D4">
              <w:rPr>
                <w:rFonts w:ascii="Times New Roman" w:hAnsi="Times New Roman"/>
                <w:b/>
              </w:rPr>
              <w:t>No. of Responses</w:t>
            </w:r>
          </w:p>
          <w:p w:rsidR="00A113D4" w:rsidRPr="00A113D4" w:rsidP="00A113D4" w14:paraId="39727A8D" w14:textId="77777777">
            <w:pPr>
              <w:rPr>
                <w:rFonts w:ascii="Times New Roman" w:hAnsi="Times New Roman"/>
                <w:b/>
              </w:rPr>
            </w:pPr>
            <w:r w:rsidRPr="00A113D4">
              <w:rPr>
                <w:rFonts w:ascii="Times New Roman" w:hAnsi="Times New Roman"/>
                <w:b/>
              </w:rPr>
              <w:t>per 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77D43E99" w14:textId="77777777">
            <w:pPr>
              <w:rPr>
                <w:rFonts w:ascii="Times New Roman" w:hAnsi="Times New Roman"/>
                <w:b/>
              </w:rPr>
            </w:pPr>
            <w:r w:rsidRPr="00A113D4">
              <w:rPr>
                <w:rFonts w:ascii="Times New Roman" w:hAnsi="Times New Roman"/>
                <w:b/>
              </w:rPr>
              <w:t>Total No. of Responses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24726972" w14:textId="77777777">
            <w:pPr>
              <w:rPr>
                <w:rFonts w:ascii="Times New Roman" w:hAnsi="Times New Roman"/>
                <w:b/>
              </w:rPr>
            </w:pPr>
            <w:r w:rsidRPr="00A113D4">
              <w:rPr>
                <w:rFonts w:ascii="Times New Roman" w:hAnsi="Times New Roman"/>
                <w:b/>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5444099D" w14:textId="77777777">
            <w:pPr>
              <w:rPr>
                <w:rFonts w:ascii="Times New Roman" w:hAnsi="Times New Roman"/>
                <w:b/>
              </w:rPr>
            </w:pPr>
            <w:r w:rsidRPr="00A113D4">
              <w:rPr>
                <w:rFonts w:ascii="Times New Roman" w:hAnsi="Times New Roman"/>
                <w:b/>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5131A5A6" w14:textId="77777777">
            <w:pPr>
              <w:rPr>
                <w:rFonts w:ascii="Times New Roman" w:hAnsi="Times New Roman"/>
                <w:b/>
              </w:rPr>
            </w:pPr>
            <w:r w:rsidRPr="00A113D4">
              <w:rPr>
                <w:rFonts w:ascii="Times New Roman" w:hAnsi="Times New Roman"/>
                <w:b/>
              </w:rPr>
              <w:t>Hourly</w:t>
            </w:r>
          </w:p>
          <w:p w:rsidR="00A113D4" w:rsidRPr="00A113D4" w:rsidP="00A113D4" w14:paraId="78ACB46F" w14:textId="77777777">
            <w:pPr>
              <w:rPr>
                <w:rFonts w:ascii="Times New Roman" w:hAnsi="Times New Roman"/>
                <w:b/>
              </w:rPr>
            </w:pPr>
            <w:r w:rsidRPr="00A113D4">
              <w:rPr>
                <w:rFonts w:ascii="Times New Roman" w:hAnsi="Times New Roman"/>
                <w:b/>
              </w:rPr>
              <w:t>Wage Rate</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A113D4" w:rsidRPr="00A113D4" w:rsidP="00A113D4" w14:paraId="1492EC14" w14:textId="77777777">
            <w:pPr>
              <w:rPr>
                <w:rFonts w:ascii="Times New Roman" w:hAnsi="Times New Roman"/>
                <w:b/>
              </w:rPr>
            </w:pPr>
            <w:r w:rsidRPr="00A113D4">
              <w:rPr>
                <w:rFonts w:ascii="Times New Roman" w:hAnsi="Times New Roman"/>
                <w:b/>
              </w:rPr>
              <w:t>Total Burden Cost</w:t>
            </w:r>
          </w:p>
        </w:tc>
      </w:tr>
      <w:tr w14:paraId="1FBD1072" w14:textId="77777777" w:rsidTr="00A113D4">
        <w:tblPrEx>
          <w:tblW w:w="11610" w:type="dxa"/>
          <w:jc w:val="center"/>
          <w:tblLayout w:type="fixed"/>
          <w:tblLook w:val="04A0"/>
        </w:tblPrEx>
        <w:trPr>
          <w:jc w:val="center"/>
        </w:trPr>
        <w:tc>
          <w:tcPr>
            <w:tcW w:w="11605" w:type="dxa"/>
            <w:gridSpan w:val="9"/>
            <w:tcBorders>
              <w:top w:val="single" w:sz="4" w:space="0" w:color="auto"/>
              <w:left w:val="single" w:sz="4" w:space="0" w:color="auto"/>
              <w:bottom w:val="single" w:sz="4" w:space="0" w:color="auto"/>
              <w:right w:val="single" w:sz="4" w:space="0" w:color="auto"/>
            </w:tcBorders>
            <w:hideMark/>
          </w:tcPr>
          <w:p w:rsidR="00A113D4" w:rsidRPr="00A113D4" w:rsidP="00A113D4" w14:paraId="7BBD1434" w14:textId="77777777">
            <w:pPr>
              <w:rPr>
                <w:rFonts w:ascii="Times New Roman" w:hAnsi="Times New Roman"/>
                <w:b/>
              </w:rPr>
            </w:pPr>
            <w:r w:rsidRPr="00A113D4">
              <w:rPr>
                <w:rFonts w:ascii="Times New Roman" w:hAnsi="Times New Roman"/>
                <w:b/>
              </w:rPr>
              <w:t>A. Safety and Health Program Assessment Worksheet  (1908.6(e)(3))</w:t>
            </w:r>
          </w:p>
        </w:tc>
      </w:tr>
      <w:tr w14:paraId="439579F1" w14:textId="77777777" w:rsidTr="00A113D4">
        <w:tblPrEx>
          <w:tblW w:w="11610" w:type="dxa"/>
          <w:jc w:val="center"/>
          <w:tblLayout w:type="fixed"/>
          <w:tblLook w:val="04A0"/>
        </w:tblPrEx>
        <w:trPr>
          <w:jc w:val="center"/>
        </w:trPr>
        <w:tc>
          <w:tcPr>
            <w:tcW w:w="1345" w:type="dxa"/>
            <w:tcBorders>
              <w:top w:val="single" w:sz="4" w:space="0" w:color="auto"/>
              <w:left w:val="single" w:sz="4" w:space="0" w:color="auto"/>
              <w:bottom w:val="single" w:sz="4" w:space="0" w:color="auto"/>
              <w:right w:val="single" w:sz="4" w:space="0" w:color="auto"/>
            </w:tcBorders>
          </w:tcPr>
          <w:p w:rsidR="00A113D4" w:rsidRPr="00A113D4" w:rsidP="00A113D4" w14:paraId="332C9B24" w14:textId="77777777">
            <w:pPr>
              <w:rPr>
                <w:rFonts w:ascii="Times New Roman" w:hAnsi="Times New Roman"/>
                <w:b/>
              </w:rPr>
            </w:pPr>
          </w:p>
        </w:tc>
        <w:tc>
          <w:tcPr>
            <w:tcW w:w="1260" w:type="dxa"/>
            <w:tcBorders>
              <w:top w:val="single" w:sz="4" w:space="0" w:color="auto"/>
              <w:left w:val="single" w:sz="4" w:space="0" w:color="auto"/>
              <w:bottom w:val="single" w:sz="4" w:space="0" w:color="auto"/>
              <w:right w:val="single" w:sz="4" w:space="0" w:color="auto"/>
            </w:tcBorders>
            <w:hideMark/>
          </w:tcPr>
          <w:p w:rsidR="00A113D4" w:rsidRPr="00A113D4" w:rsidP="00A113D4" w14:paraId="5148709F" w14:textId="77777777">
            <w:pPr>
              <w:rPr>
                <w:rFonts w:ascii="Times New Roman" w:hAnsi="Times New Roman"/>
              </w:rPr>
            </w:pPr>
            <w:r w:rsidRPr="00A113D4">
              <w:rPr>
                <w:rFonts w:ascii="Times New Roman" w:hAnsi="Times New Roman"/>
              </w:rPr>
              <w:t>Consultants</w:t>
            </w:r>
          </w:p>
        </w:tc>
        <w:tc>
          <w:tcPr>
            <w:tcW w:w="1890" w:type="dxa"/>
            <w:tcBorders>
              <w:top w:val="single" w:sz="4" w:space="0" w:color="auto"/>
              <w:left w:val="single" w:sz="4" w:space="0" w:color="auto"/>
              <w:bottom w:val="single" w:sz="4" w:space="0" w:color="auto"/>
              <w:right w:val="single" w:sz="4" w:space="0" w:color="auto"/>
            </w:tcBorders>
          </w:tcPr>
          <w:p w:rsidR="00A113D4" w:rsidRPr="00A113D4" w:rsidP="00A113D4" w14:paraId="6315549C" w14:textId="77777777">
            <w:pPr>
              <w:rPr>
                <w:rFonts w:ascii="Times New Roman" w:hAnsi="Times New Roman"/>
              </w:rPr>
            </w:pPr>
            <w:r w:rsidRPr="00A113D4">
              <w:rPr>
                <w:rFonts w:ascii="Times New Roman" w:hAnsi="Times New Roman"/>
              </w:rPr>
              <w:t>200</w:t>
            </w:r>
          </w:p>
          <w:p w:rsidR="00A113D4" w:rsidRPr="00A113D4" w:rsidP="00A113D4" w14:paraId="445BBE23" w14:textId="77777777">
            <w:pP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rsidR="00A113D4" w:rsidRPr="00A113D4" w:rsidP="00A113D4" w14:paraId="0E9A19E9" w14:textId="77777777">
            <w:pPr>
              <w:rPr>
                <w:rFonts w:ascii="Times New Roman" w:hAnsi="Times New Roman"/>
              </w:rPr>
            </w:pPr>
            <w:r w:rsidRPr="00A113D4">
              <w:rPr>
                <w:rFonts w:ascii="Times New Roman" w:hAnsi="Times New Roman"/>
              </w:rPr>
              <w:t>1.5</w:t>
            </w:r>
          </w:p>
          <w:p w:rsidR="00A113D4" w:rsidRPr="00A113D4" w:rsidP="00A113D4" w14:paraId="48E0C747"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A113D4" w:rsidRPr="00A113D4" w:rsidP="00A113D4" w14:paraId="7249BB24" w14:textId="77777777">
            <w:pPr>
              <w:rPr>
                <w:rFonts w:ascii="Times New Roman" w:hAnsi="Times New Roman"/>
              </w:rPr>
            </w:pPr>
            <w:r w:rsidRPr="00A113D4">
              <w:rPr>
                <w:rFonts w:ascii="Times New Roman" w:hAnsi="Times New Roman"/>
              </w:rPr>
              <w:t>300</w:t>
            </w:r>
          </w:p>
          <w:p w:rsidR="00A113D4" w:rsidRPr="00A113D4" w:rsidP="00A113D4" w14:paraId="119D57CE" w14:textId="77777777">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tcPr>
          <w:p w:rsidR="00A113D4" w:rsidRPr="00A113D4" w:rsidP="00A113D4" w14:paraId="5C3E39E6" w14:textId="77777777">
            <w:pPr>
              <w:rPr>
                <w:rFonts w:ascii="Times New Roman" w:hAnsi="Times New Roman"/>
              </w:rPr>
            </w:pPr>
            <w:r w:rsidRPr="00A113D4">
              <w:rPr>
                <w:rFonts w:ascii="Times New Roman" w:hAnsi="Times New Roman"/>
              </w:rPr>
              <w:t>30/60</w:t>
            </w:r>
          </w:p>
          <w:p w:rsidR="00A113D4" w:rsidRPr="00A113D4" w:rsidP="00A113D4" w14:paraId="5A401202"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A113D4" w:rsidRPr="00A113D4" w:rsidP="00A113D4" w14:paraId="66FFAE51" w14:textId="77777777">
            <w:pPr>
              <w:rPr>
                <w:rFonts w:ascii="Times New Roman" w:hAnsi="Times New Roman"/>
                <w:b/>
              </w:rPr>
            </w:pPr>
            <w:r w:rsidRPr="00A113D4">
              <w:rPr>
                <w:rFonts w:ascii="Times New Roman" w:hAnsi="Times New Roman"/>
                <w:b/>
              </w:rPr>
              <w:t>150</w:t>
            </w:r>
          </w:p>
          <w:p w:rsidR="00A113D4" w:rsidRPr="00A113D4" w:rsidP="00A113D4" w14:paraId="79CF4039" w14:textId="77777777">
            <w:pPr>
              <w:rPr>
                <w:rFonts w:ascii="Times New Roman" w:hAnsi="Times New Roman"/>
              </w:rPr>
            </w:pPr>
          </w:p>
        </w:tc>
        <w:tc>
          <w:tcPr>
            <w:tcW w:w="900" w:type="dxa"/>
            <w:tcBorders>
              <w:top w:val="single" w:sz="4" w:space="0" w:color="auto"/>
              <w:left w:val="single" w:sz="4" w:space="0" w:color="auto"/>
              <w:bottom w:val="single" w:sz="4" w:space="0" w:color="auto"/>
              <w:right w:val="single" w:sz="4" w:space="0" w:color="auto"/>
            </w:tcBorders>
            <w:hideMark/>
          </w:tcPr>
          <w:p w:rsidR="00A113D4" w:rsidRPr="00A113D4" w:rsidP="00A113D4" w14:paraId="1EDFD301" w14:textId="77777777">
            <w:pPr>
              <w:rPr>
                <w:rFonts w:ascii="Times New Roman" w:hAnsi="Times New Roman"/>
              </w:rPr>
            </w:pPr>
            <w:r w:rsidRPr="00A113D4">
              <w:rPr>
                <w:rFonts w:ascii="Times New Roman" w:hAnsi="Times New Roman"/>
              </w:rPr>
              <w:t>$52.83</w:t>
            </w:r>
          </w:p>
        </w:tc>
        <w:tc>
          <w:tcPr>
            <w:tcW w:w="1260" w:type="dxa"/>
            <w:tcBorders>
              <w:top w:val="single" w:sz="4" w:space="0" w:color="auto"/>
              <w:left w:val="single" w:sz="4" w:space="0" w:color="auto"/>
              <w:bottom w:val="single" w:sz="4" w:space="0" w:color="auto"/>
              <w:right w:val="single" w:sz="4" w:space="0" w:color="auto"/>
            </w:tcBorders>
          </w:tcPr>
          <w:p w:rsidR="00A113D4" w:rsidRPr="00A113D4" w:rsidP="00A113D4" w14:paraId="0BAE906D" w14:textId="77777777">
            <w:pPr>
              <w:rPr>
                <w:rFonts w:ascii="Times New Roman" w:hAnsi="Times New Roman"/>
                <w:b/>
              </w:rPr>
            </w:pPr>
          </w:p>
          <w:p w:rsidR="00A113D4" w:rsidRPr="00A113D4" w:rsidP="00A113D4" w14:paraId="42E76EE1" w14:textId="77777777">
            <w:pPr>
              <w:rPr>
                <w:rFonts w:ascii="Times New Roman" w:hAnsi="Times New Roman"/>
              </w:rPr>
            </w:pPr>
            <w:r>
              <w:rPr>
                <w:rFonts w:ascii="Times New Roman" w:hAnsi="Times New Roman"/>
              </w:rPr>
              <w:t>7,92</w:t>
            </w:r>
            <w:r w:rsidR="00616F6C">
              <w:rPr>
                <w:rFonts w:ascii="Times New Roman" w:hAnsi="Times New Roman"/>
              </w:rPr>
              <w:t>5</w:t>
            </w:r>
          </w:p>
        </w:tc>
      </w:tr>
    </w:tbl>
    <w:p w:rsidR="008F2602" w14:paraId="5873E1F9" w14:textId="77777777">
      <w:pPr>
        <w:rPr>
          <w:rFonts w:ascii="Times New Roman" w:hAnsi="Times New Roman"/>
        </w:rPr>
      </w:pPr>
    </w:p>
    <w:p w:rsidR="000D3A67" w:rsidRPr="000D3A67" w:rsidP="000D3A67" w14:paraId="70B0FBF9" w14:textId="77777777">
      <w:pPr>
        <w:keepNext/>
        <w:autoSpaceDE/>
        <w:adjustRightInd/>
        <w:jc w:val="center"/>
        <w:rPr>
          <w:rFonts w:ascii="Times New Roman" w:hAnsi="Times New Roman"/>
          <w:b/>
          <w:bCs/>
        </w:rPr>
      </w:pPr>
      <w:r>
        <w:rPr>
          <w:rFonts w:ascii="Times New Roman" w:hAnsi="Times New Roman"/>
          <w:b/>
          <w:bCs/>
        </w:rPr>
        <w:t>Appendix C</w:t>
      </w:r>
      <w:r w:rsidRPr="000D3A67">
        <w:rPr>
          <w:rFonts w:ascii="Times New Roman" w:hAnsi="Times New Roman"/>
          <w:b/>
          <w:bCs/>
        </w:rPr>
        <w:t xml:space="preserve">: </w:t>
      </w:r>
      <w:r>
        <w:rPr>
          <w:rFonts w:ascii="Times New Roman" w:hAnsi="Times New Roman"/>
          <w:b/>
          <w:bCs/>
        </w:rPr>
        <w:t xml:space="preserve">2022 </w:t>
      </w:r>
      <w:r w:rsidRPr="000D3A67">
        <w:rPr>
          <w:rFonts w:ascii="Times New Roman" w:hAnsi="Times New Roman"/>
          <w:b/>
          <w:bCs/>
        </w:rPr>
        <w:t>Summary of Estimated Respondent (Employer) Hour and Cost Burden</w:t>
      </w:r>
      <w:r>
        <w:rPr>
          <w:rFonts w:ascii="Times New Roman" w:hAnsi="Times New Roman"/>
          <w:b/>
          <w:bCs/>
        </w:rPr>
        <w:t xml:space="preserve"> </w:t>
      </w:r>
    </w:p>
    <w:p w:rsidR="000D3A67" w:rsidRPr="00A113D4" w:rsidP="000D3A67" w14:paraId="50BF7C96" w14:textId="77777777">
      <w:pPr>
        <w:rPr>
          <w:rFonts w:ascii="Times New Roman" w:hAnsi="Times New Roman"/>
          <w:i/>
        </w:rPr>
      </w:pPr>
      <w:r w:rsidRPr="009E7CB3">
        <w:rPr>
          <w:rFonts w:ascii="Times New Roman" w:hAnsi="Times New Roman"/>
          <w:bCs/>
        </w:rPr>
        <w:t>(OMB #1218-0280; Expiration Date: June 30, 2024)</w:t>
      </w:r>
    </w:p>
    <w:p w:rsidR="000D3A67" w:rsidRPr="000D3A67" w:rsidP="000D3A67" w14:paraId="5D1B6D84" w14:textId="77777777">
      <w:pPr>
        <w:widowControl/>
        <w:autoSpaceDE/>
        <w:adjustRightInd/>
        <w:jc w:val="center"/>
        <w:rPr>
          <w:rFonts w:ascii="Times New Roman" w:hAnsi="Times New Roman"/>
        </w:rPr>
      </w:pPr>
    </w:p>
    <w:tbl>
      <w:tblPr>
        <w:tblW w:w="11535" w:type="dxa"/>
        <w:jc w:val="center"/>
        <w:tblLayout w:type="fixed"/>
        <w:tblLook w:val="04A0"/>
      </w:tblPr>
      <w:tblGrid>
        <w:gridCol w:w="1165"/>
        <w:gridCol w:w="1350"/>
        <w:gridCol w:w="1620"/>
        <w:gridCol w:w="1631"/>
        <w:gridCol w:w="1171"/>
        <w:gridCol w:w="1171"/>
        <w:gridCol w:w="1171"/>
        <w:gridCol w:w="995"/>
        <w:gridCol w:w="1261"/>
      </w:tblGrid>
      <w:tr w14:paraId="0014C7E0" w14:textId="77777777" w:rsidTr="00E74030">
        <w:tblPrEx>
          <w:tblW w:w="11535" w:type="dxa"/>
          <w:jc w:val="center"/>
          <w:tblLayout w:type="fixed"/>
          <w:tblLook w:val="04A0"/>
        </w:tblPrEx>
        <w:trPr>
          <w:trHeight w:val="1200"/>
          <w:tblHeader/>
          <w:jc w:val="center"/>
        </w:trPr>
        <w:tc>
          <w:tcPr>
            <w:tcW w:w="1165" w:type="dxa"/>
            <w:tcBorders>
              <w:top w:val="single" w:sz="4" w:space="0" w:color="auto"/>
              <w:left w:val="single" w:sz="4" w:space="0" w:color="auto"/>
              <w:bottom w:val="single" w:sz="4" w:space="0" w:color="auto"/>
              <w:right w:val="single" w:sz="4" w:space="0" w:color="auto"/>
            </w:tcBorders>
            <w:shd w:val="clear" w:color="auto" w:fill="8DB3E2"/>
            <w:hideMark/>
          </w:tcPr>
          <w:p w:rsidR="000D3A67" w:rsidRPr="000D3A67" w:rsidP="000D3A67" w14:paraId="004557CB"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Activity</w:t>
            </w:r>
          </w:p>
        </w:tc>
        <w:tc>
          <w:tcPr>
            <w:tcW w:w="135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7F45BD5E"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Type of Respondents</w:t>
            </w:r>
            <w:r>
              <w:rPr>
                <w:rFonts w:ascii="Times New Roman" w:hAnsi="Times New Roman"/>
                <w:b/>
                <w:sz w:val="20"/>
                <w:szCs w:val="20"/>
                <w:vertAlign w:val="superscript"/>
              </w:rPr>
              <w:footnoteReference w:id="23"/>
            </w:r>
          </w:p>
        </w:tc>
        <w:tc>
          <w:tcPr>
            <w:tcW w:w="162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317EA8F3"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No. of Respondents</w:t>
            </w:r>
          </w:p>
        </w:tc>
        <w:tc>
          <w:tcPr>
            <w:tcW w:w="163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6324466C"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01AE7667"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Total No. of Responses</w:t>
            </w:r>
          </w:p>
        </w:tc>
        <w:tc>
          <w:tcPr>
            <w:tcW w:w="117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1D0106BE"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Avg. Burden per Response (in hours)</w:t>
            </w:r>
          </w:p>
        </w:tc>
        <w:tc>
          <w:tcPr>
            <w:tcW w:w="117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4B6C58C7"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Total Burden Hours (Rounded)</w:t>
            </w:r>
          </w:p>
        </w:tc>
        <w:tc>
          <w:tcPr>
            <w:tcW w:w="995"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1696AC27"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Avg. Hourly Wage Rate</w:t>
            </w:r>
          </w:p>
        </w:tc>
        <w:tc>
          <w:tcPr>
            <w:tcW w:w="1260" w:type="dxa"/>
            <w:tcBorders>
              <w:top w:val="single" w:sz="4" w:space="0" w:color="auto"/>
              <w:left w:val="nil"/>
              <w:bottom w:val="single" w:sz="4" w:space="0" w:color="auto"/>
              <w:right w:val="single" w:sz="4" w:space="0" w:color="auto"/>
            </w:tcBorders>
            <w:shd w:val="clear" w:color="auto" w:fill="8DB3E2"/>
            <w:hideMark/>
          </w:tcPr>
          <w:p w:rsidR="000D3A67" w:rsidRPr="000D3A67" w:rsidP="000D3A67" w14:paraId="2D571030"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Total Burden Cost (Rounded)</w:t>
            </w:r>
          </w:p>
        </w:tc>
      </w:tr>
      <w:tr w14:paraId="46F5ED43" w14:textId="77777777" w:rsidTr="000D3A67">
        <w:tblPrEx>
          <w:tblW w:w="11535" w:type="dxa"/>
          <w:jc w:val="center"/>
          <w:tblLayout w:type="fixed"/>
          <w:tblLook w:val="04A0"/>
        </w:tblPrEx>
        <w:trPr>
          <w:trHeight w:val="1826"/>
          <w:jc w:val="center"/>
        </w:trPr>
        <w:tc>
          <w:tcPr>
            <w:tcW w:w="1165" w:type="dxa"/>
            <w:tcBorders>
              <w:top w:val="nil"/>
              <w:left w:val="single" w:sz="4" w:space="0" w:color="auto"/>
              <w:bottom w:val="single" w:sz="4" w:space="0" w:color="auto"/>
              <w:right w:val="single" w:sz="4" w:space="0" w:color="auto"/>
            </w:tcBorders>
            <w:hideMark/>
          </w:tcPr>
          <w:p w:rsidR="000D3A67" w:rsidRPr="000D3A67" w:rsidP="000D3A67" w14:paraId="384485F6"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A. Hazard posting and abatement notification to Consultation Program (1908.6(e)(8) and 1908.6(f)(5))</w:t>
            </w:r>
          </w:p>
        </w:tc>
        <w:tc>
          <w:tcPr>
            <w:tcW w:w="1350" w:type="dxa"/>
            <w:tcBorders>
              <w:top w:val="nil"/>
              <w:left w:val="nil"/>
              <w:bottom w:val="single" w:sz="4" w:space="0" w:color="auto"/>
              <w:right w:val="single" w:sz="4" w:space="0" w:color="auto"/>
            </w:tcBorders>
            <w:hideMark/>
          </w:tcPr>
          <w:p w:rsidR="000D3A67" w:rsidRPr="000D3A67" w:rsidP="000D3A67" w14:paraId="37D400F1"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Employer/ Plant Manager</w:t>
            </w:r>
          </w:p>
        </w:tc>
        <w:tc>
          <w:tcPr>
            <w:tcW w:w="1620" w:type="dxa"/>
            <w:tcBorders>
              <w:top w:val="nil"/>
              <w:left w:val="nil"/>
              <w:bottom w:val="single" w:sz="4" w:space="0" w:color="auto"/>
              <w:right w:val="single" w:sz="4" w:space="0" w:color="auto"/>
            </w:tcBorders>
            <w:hideMark/>
          </w:tcPr>
          <w:p w:rsidR="000D3A67" w:rsidRPr="000D3A67" w:rsidP="000D3A67" w14:paraId="5B34E51B"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350</w:t>
            </w:r>
          </w:p>
        </w:tc>
        <w:tc>
          <w:tcPr>
            <w:tcW w:w="1630" w:type="dxa"/>
            <w:tcBorders>
              <w:top w:val="nil"/>
              <w:left w:val="nil"/>
              <w:bottom w:val="single" w:sz="4" w:space="0" w:color="auto"/>
              <w:right w:val="single" w:sz="4" w:space="0" w:color="auto"/>
            </w:tcBorders>
            <w:hideMark/>
          </w:tcPr>
          <w:p w:rsidR="000D3A67" w:rsidRPr="000D3A67" w:rsidP="000D3A67" w14:paraId="1746288F"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w:t>
            </w:r>
          </w:p>
        </w:tc>
        <w:tc>
          <w:tcPr>
            <w:tcW w:w="1170" w:type="dxa"/>
            <w:tcBorders>
              <w:top w:val="nil"/>
              <w:left w:val="nil"/>
              <w:bottom w:val="single" w:sz="4" w:space="0" w:color="auto"/>
              <w:right w:val="single" w:sz="4" w:space="0" w:color="auto"/>
            </w:tcBorders>
            <w:hideMark/>
          </w:tcPr>
          <w:p w:rsidR="000D3A67" w:rsidRPr="000D3A67" w:rsidP="000D3A67" w14:paraId="798EB111"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350</w:t>
            </w:r>
          </w:p>
        </w:tc>
        <w:tc>
          <w:tcPr>
            <w:tcW w:w="1170" w:type="dxa"/>
            <w:tcBorders>
              <w:top w:val="nil"/>
              <w:left w:val="nil"/>
              <w:bottom w:val="single" w:sz="4" w:space="0" w:color="auto"/>
              <w:right w:val="single" w:sz="4" w:space="0" w:color="auto"/>
            </w:tcBorders>
            <w:hideMark/>
          </w:tcPr>
          <w:p w:rsidR="000D3A67" w:rsidRPr="000D3A67" w:rsidP="000D3A67" w14:paraId="722BBF13"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15/60</w:t>
            </w:r>
          </w:p>
        </w:tc>
        <w:tc>
          <w:tcPr>
            <w:tcW w:w="1170" w:type="dxa"/>
            <w:tcBorders>
              <w:top w:val="nil"/>
              <w:left w:val="nil"/>
              <w:bottom w:val="single" w:sz="4" w:space="0" w:color="auto"/>
              <w:right w:val="single" w:sz="4" w:space="0" w:color="auto"/>
            </w:tcBorders>
            <w:hideMark/>
          </w:tcPr>
          <w:p w:rsidR="000D3A67" w:rsidRPr="000D3A67" w:rsidP="000D3A67" w14:paraId="134E3D4E"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87.5</w:t>
            </w:r>
          </w:p>
        </w:tc>
        <w:tc>
          <w:tcPr>
            <w:tcW w:w="995" w:type="dxa"/>
            <w:tcBorders>
              <w:top w:val="nil"/>
              <w:left w:val="nil"/>
              <w:bottom w:val="single" w:sz="4" w:space="0" w:color="auto"/>
              <w:right w:val="single" w:sz="4" w:space="0" w:color="auto"/>
            </w:tcBorders>
            <w:hideMark/>
          </w:tcPr>
          <w:p w:rsidR="000D3A67" w:rsidRPr="000D3A67" w:rsidP="000D3A67" w14:paraId="3B92A77D"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$87.86</w:t>
            </w:r>
          </w:p>
        </w:tc>
        <w:tc>
          <w:tcPr>
            <w:tcW w:w="1260" w:type="dxa"/>
            <w:tcBorders>
              <w:top w:val="nil"/>
              <w:left w:val="nil"/>
              <w:bottom w:val="single" w:sz="4" w:space="0" w:color="auto"/>
              <w:right w:val="single" w:sz="4" w:space="0" w:color="auto"/>
            </w:tcBorders>
            <w:hideMark/>
          </w:tcPr>
          <w:p w:rsidR="000D3A67" w:rsidRPr="000D3A67" w:rsidP="000D3A67" w14:paraId="04302B33"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$7,68</w:t>
            </w:r>
            <w:r w:rsidR="0062435C">
              <w:rPr>
                <w:rFonts w:ascii="Times New Roman" w:hAnsi="Times New Roman"/>
                <w:b/>
                <w:bCs/>
                <w:sz w:val="20"/>
                <w:szCs w:val="20"/>
              </w:rPr>
              <w:t>8</w:t>
            </w:r>
          </w:p>
        </w:tc>
      </w:tr>
      <w:tr w14:paraId="5EA9DAC1" w14:textId="77777777" w:rsidTr="000D3A67">
        <w:tblPrEx>
          <w:tblW w:w="11535" w:type="dxa"/>
          <w:jc w:val="center"/>
          <w:tblLayout w:type="fixed"/>
          <w:tblLook w:val="04A0"/>
        </w:tblPrEx>
        <w:trPr>
          <w:trHeight w:val="1691"/>
          <w:jc w:val="center"/>
        </w:trPr>
        <w:tc>
          <w:tcPr>
            <w:tcW w:w="1165" w:type="dxa"/>
            <w:tcBorders>
              <w:top w:val="nil"/>
              <w:left w:val="single" w:sz="4" w:space="0" w:color="auto"/>
              <w:bottom w:val="single" w:sz="4" w:space="0" w:color="auto"/>
              <w:right w:val="single" w:sz="4" w:space="0" w:color="auto"/>
            </w:tcBorders>
            <w:hideMark/>
          </w:tcPr>
          <w:p w:rsidR="000D3A67" w:rsidRPr="000D3A67" w:rsidP="000D3A67" w14:paraId="639C03D8"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B. Inform OSHA Compliance Officer there is a Consultation "Visit in Progress" (1908.7(b)(1))</w:t>
            </w:r>
          </w:p>
        </w:tc>
        <w:tc>
          <w:tcPr>
            <w:tcW w:w="1350" w:type="dxa"/>
            <w:tcBorders>
              <w:top w:val="nil"/>
              <w:left w:val="nil"/>
              <w:bottom w:val="single" w:sz="4" w:space="0" w:color="auto"/>
              <w:right w:val="single" w:sz="4" w:space="0" w:color="auto"/>
            </w:tcBorders>
            <w:hideMark/>
          </w:tcPr>
          <w:p w:rsidR="000D3A67" w:rsidRPr="000D3A67" w:rsidP="000D3A67" w14:paraId="734C73DF"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Employer/ Plant Manager</w:t>
            </w:r>
          </w:p>
        </w:tc>
        <w:tc>
          <w:tcPr>
            <w:tcW w:w="1620" w:type="dxa"/>
            <w:tcBorders>
              <w:top w:val="nil"/>
              <w:left w:val="nil"/>
              <w:bottom w:val="single" w:sz="4" w:space="0" w:color="auto"/>
              <w:right w:val="single" w:sz="4" w:space="0" w:color="auto"/>
            </w:tcBorders>
            <w:hideMark/>
          </w:tcPr>
          <w:p w:rsidR="000D3A67" w:rsidRPr="000D3A67" w:rsidP="000D3A67" w14:paraId="57061C42"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18</w:t>
            </w:r>
          </w:p>
        </w:tc>
        <w:tc>
          <w:tcPr>
            <w:tcW w:w="1630" w:type="dxa"/>
            <w:tcBorders>
              <w:top w:val="nil"/>
              <w:left w:val="nil"/>
              <w:bottom w:val="single" w:sz="4" w:space="0" w:color="auto"/>
              <w:right w:val="single" w:sz="4" w:space="0" w:color="auto"/>
            </w:tcBorders>
            <w:hideMark/>
          </w:tcPr>
          <w:p w:rsidR="000D3A67" w:rsidRPr="000D3A67" w:rsidP="000D3A67" w14:paraId="2076FFB2"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w:t>
            </w:r>
          </w:p>
        </w:tc>
        <w:tc>
          <w:tcPr>
            <w:tcW w:w="1170" w:type="dxa"/>
            <w:tcBorders>
              <w:top w:val="nil"/>
              <w:left w:val="nil"/>
              <w:bottom w:val="single" w:sz="4" w:space="0" w:color="auto"/>
              <w:right w:val="single" w:sz="4" w:space="0" w:color="auto"/>
            </w:tcBorders>
            <w:hideMark/>
          </w:tcPr>
          <w:p w:rsidR="000D3A67" w:rsidRPr="000D3A67" w:rsidP="000D3A67" w14:paraId="103C22D6"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18</w:t>
            </w:r>
          </w:p>
        </w:tc>
        <w:tc>
          <w:tcPr>
            <w:tcW w:w="1170" w:type="dxa"/>
            <w:tcBorders>
              <w:top w:val="nil"/>
              <w:left w:val="nil"/>
              <w:bottom w:val="single" w:sz="4" w:space="0" w:color="auto"/>
              <w:right w:val="single" w:sz="4" w:space="0" w:color="auto"/>
            </w:tcBorders>
            <w:hideMark/>
          </w:tcPr>
          <w:p w:rsidR="000D3A67" w:rsidRPr="000D3A67" w:rsidP="000D3A67" w14:paraId="6E11370B"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6/60</w:t>
            </w:r>
          </w:p>
        </w:tc>
        <w:tc>
          <w:tcPr>
            <w:tcW w:w="1170" w:type="dxa"/>
            <w:tcBorders>
              <w:top w:val="nil"/>
              <w:left w:val="nil"/>
              <w:bottom w:val="single" w:sz="4" w:space="0" w:color="auto"/>
              <w:right w:val="single" w:sz="4" w:space="0" w:color="auto"/>
            </w:tcBorders>
            <w:hideMark/>
          </w:tcPr>
          <w:p w:rsidR="000D3A67" w:rsidRPr="000D3A67" w:rsidP="000D3A67" w14:paraId="25798FE4"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1.8</w:t>
            </w:r>
          </w:p>
        </w:tc>
        <w:tc>
          <w:tcPr>
            <w:tcW w:w="995" w:type="dxa"/>
            <w:tcBorders>
              <w:top w:val="nil"/>
              <w:left w:val="nil"/>
              <w:bottom w:val="single" w:sz="4" w:space="0" w:color="auto"/>
              <w:right w:val="single" w:sz="4" w:space="0" w:color="auto"/>
            </w:tcBorders>
            <w:hideMark/>
          </w:tcPr>
          <w:p w:rsidR="000D3A67" w:rsidRPr="000D3A67" w:rsidP="000D3A67" w14:paraId="4391F113"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$87.86</w:t>
            </w:r>
          </w:p>
        </w:tc>
        <w:tc>
          <w:tcPr>
            <w:tcW w:w="1260" w:type="dxa"/>
            <w:tcBorders>
              <w:top w:val="nil"/>
              <w:left w:val="nil"/>
              <w:bottom w:val="single" w:sz="4" w:space="0" w:color="auto"/>
              <w:right w:val="single" w:sz="4" w:space="0" w:color="auto"/>
            </w:tcBorders>
            <w:hideMark/>
          </w:tcPr>
          <w:p w:rsidR="000D3A67" w:rsidRPr="000D3A67" w:rsidP="000D3A67" w14:paraId="50DA382C"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$158</w:t>
            </w:r>
          </w:p>
        </w:tc>
      </w:tr>
      <w:tr w14:paraId="6F7E090A" w14:textId="77777777" w:rsidTr="000D3A67">
        <w:tblPrEx>
          <w:tblW w:w="11535" w:type="dxa"/>
          <w:jc w:val="center"/>
          <w:tblLayout w:type="fixed"/>
          <w:tblLook w:val="04A0"/>
        </w:tblPrEx>
        <w:trPr>
          <w:trHeight w:val="300"/>
          <w:jc w:val="center"/>
        </w:trPr>
        <w:tc>
          <w:tcPr>
            <w:tcW w:w="1165" w:type="dxa"/>
            <w:tcBorders>
              <w:top w:val="nil"/>
              <w:left w:val="single" w:sz="4" w:space="0" w:color="auto"/>
              <w:bottom w:val="single" w:sz="4" w:space="0" w:color="auto"/>
              <w:right w:val="single" w:sz="4" w:space="0" w:color="auto"/>
            </w:tcBorders>
            <w:hideMark/>
          </w:tcPr>
          <w:p w:rsidR="000D3A67" w:rsidRPr="000D3A67" w:rsidP="000D3A67" w14:paraId="353A1819" w14:textId="77777777">
            <w:pPr>
              <w:widowControl/>
              <w:autoSpaceDE/>
              <w:adjustRightInd/>
              <w:rPr>
                <w:rFonts w:ascii="Times New Roman" w:hAnsi="Times New Roman"/>
                <w:sz w:val="20"/>
                <w:szCs w:val="20"/>
              </w:rPr>
            </w:pPr>
            <w:r w:rsidRPr="000D3A67">
              <w:rPr>
                <w:rFonts w:ascii="Times New Roman" w:hAnsi="Times New Roman"/>
                <w:sz w:val="20"/>
                <w:szCs w:val="20"/>
              </w:rPr>
              <w:t> C. Injury and Illness Data for Prospective Analysis</w:t>
            </w:r>
          </w:p>
        </w:tc>
        <w:tc>
          <w:tcPr>
            <w:tcW w:w="1350" w:type="dxa"/>
            <w:tcBorders>
              <w:top w:val="nil"/>
              <w:left w:val="nil"/>
              <w:bottom w:val="single" w:sz="4" w:space="0" w:color="auto"/>
              <w:right w:val="single" w:sz="4" w:space="0" w:color="auto"/>
            </w:tcBorders>
            <w:hideMark/>
          </w:tcPr>
          <w:p w:rsidR="000D3A67" w:rsidRPr="000D3A67" w:rsidP="000D3A67" w14:paraId="10BB45D6" w14:textId="77777777">
            <w:pPr>
              <w:widowControl/>
              <w:autoSpaceDE/>
              <w:adjustRightInd/>
              <w:rPr>
                <w:rFonts w:ascii="Times New Roman" w:hAnsi="Times New Roman"/>
                <w:sz w:val="20"/>
                <w:szCs w:val="20"/>
              </w:rPr>
            </w:pPr>
            <w:r w:rsidRPr="000D3A67">
              <w:rPr>
                <w:rFonts w:ascii="Times New Roman" w:hAnsi="Times New Roman"/>
                <w:sz w:val="20"/>
                <w:szCs w:val="20"/>
              </w:rPr>
              <w:t>Employer/ Plant Manager</w:t>
            </w:r>
          </w:p>
        </w:tc>
        <w:tc>
          <w:tcPr>
            <w:tcW w:w="1620" w:type="dxa"/>
            <w:tcBorders>
              <w:top w:val="nil"/>
              <w:left w:val="nil"/>
              <w:bottom w:val="single" w:sz="4" w:space="0" w:color="auto"/>
              <w:right w:val="single" w:sz="4" w:space="0" w:color="auto"/>
            </w:tcBorders>
            <w:hideMark/>
          </w:tcPr>
          <w:p w:rsidR="000D3A67" w:rsidRPr="000D3A67" w:rsidP="000D3A67" w14:paraId="7B72D28B"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300</w:t>
            </w:r>
          </w:p>
        </w:tc>
        <w:tc>
          <w:tcPr>
            <w:tcW w:w="1630" w:type="dxa"/>
            <w:tcBorders>
              <w:top w:val="nil"/>
              <w:left w:val="nil"/>
              <w:bottom w:val="single" w:sz="4" w:space="0" w:color="auto"/>
              <w:right w:val="single" w:sz="4" w:space="0" w:color="auto"/>
            </w:tcBorders>
            <w:hideMark/>
          </w:tcPr>
          <w:p w:rsidR="000D3A67" w:rsidRPr="000D3A67" w:rsidP="000D3A67" w14:paraId="7F041A59"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w:t>
            </w:r>
          </w:p>
        </w:tc>
        <w:tc>
          <w:tcPr>
            <w:tcW w:w="1170" w:type="dxa"/>
            <w:tcBorders>
              <w:top w:val="nil"/>
              <w:left w:val="nil"/>
              <w:bottom w:val="single" w:sz="4" w:space="0" w:color="auto"/>
              <w:right w:val="single" w:sz="4" w:space="0" w:color="auto"/>
            </w:tcBorders>
            <w:hideMark/>
          </w:tcPr>
          <w:p w:rsidR="000D3A67" w:rsidRPr="000D3A67" w:rsidP="000D3A67" w14:paraId="5B73D246"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300</w:t>
            </w:r>
          </w:p>
        </w:tc>
        <w:tc>
          <w:tcPr>
            <w:tcW w:w="1170" w:type="dxa"/>
            <w:tcBorders>
              <w:top w:val="nil"/>
              <w:left w:val="nil"/>
              <w:bottom w:val="single" w:sz="4" w:space="0" w:color="auto"/>
              <w:right w:val="single" w:sz="4" w:space="0" w:color="auto"/>
            </w:tcBorders>
            <w:hideMark/>
          </w:tcPr>
          <w:p w:rsidR="000D3A67" w:rsidRPr="000D3A67" w:rsidP="000D3A67" w14:paraId="0556B0B5"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15/60</w:t>
            </w:r>
          </w:p>
        </w:tc>
        <w:tc>
          <w:tcPr>
            <w:tcW w:w="1170" w:type="dxa"/>
            <w:tcBorders>
              <w:top w:val="nil"/>
              <w:left w:val="nil"/>
              <w:bottom w:val="single" w:sz="4" w:space="0" w:color="auto"/>
              <w:right w:val="single" w:sz="4" w:space="0" w:color="auto"/>
            </w:tcBorders>
            <w:hideMark/>
          </w:tcPr>
          <w:p w:rsidR="000D3A67" w:rsidRPr="000D3A67" w:rsidP="000D3A67" w14:paraId="69C5CB18" w14:textId="77777777">
            <w:pPr>
              <w:widowControl/>
              <w:autoSpaceDE/>
              <w:adjustRightInd/>
              <w:jc w:val="center"/>
              <w:rPr>
                <w:rFonts w:ascii="Times New Roman" w:hAnsi="Times New Roman"/>
                <w:b/>
                <w:sz w:val="20"/>
                <w:szCs w:val="20"/>
              </w:rPr>
            </w:pPr>
            <w:r w:rsidRPr="000D3A67">
              <w:rPr>
                <w:rFonts w:ascii="Times New Roman" w:hAnsi="Times New Roman"/>
                <w:b/>
                <w:sz w:val="20"/>
                <w:szCs w:val="20"/>
              </w:rPr>
              <w:t>75</w:t>
            </w:r>
          </w:p>
        </w:tc>
        <w:tc>
          <w:tcPr>
            <w:tcW w:w="995" w:type="dxa"/>
            <w:tcBorders>
              <w:top w:val="nil"/>
              <w:left w:val="nil"/>
              <w:bottom w:val="single" w:sz="4" w:space="0" w:color="auto"/>
              <w:right w:val="single" w:sz="4" w:space="0" w:color="auto"/>
            </w:tcBorders>
            <w:hideMark/>
          </w:tcPr>
          <w:p w:rsidR="000D3A67" w:rsidRPr="000D3A67" w:rsidP="000D3A67" w14:paraId="640D5286" w14:textId="77777777">
            <w:pPr>
              <w:widowControl/>
              <w:autoSpaceDE/>
              <w:adjustRightInd/>
              <w:jc w:val="center"/>
              <w:rPr>
                <w:rFonts w:ascii="Times New Roman" w:hAnsi="Times New Roman"/>
                <w:sz w:val="20"/>
                <w:szCs w:val="20"/>
              </w:rPr>
            </w:pPr>
            <w:r w:rsidRPr="000D3A67">
              <w:rPr>
                <w:rFonts w:ascii="Times New Roman" w:hAnsi="Times New Roman"/>
                <w:sz w:val="20"/>
                <w:szCs w:val="20"/>
              </w:rPr>
              <w:t>$87.86</w:t>
            </w:r>
          </w:p>
        </w:tc>
        <w:tc>
          <w:tcPr>
            <w:tcW w:w="1260" w:type="dxa"/>
            <w:tcBorders>
              <w:top w:val="nil"/>
              <w:left w:val="nil"/>
              <w:bottom w:val="single" w:sz="4" w:space="0" w:color="auto"/>
              <w:right w:val="single" w:sz="4" w:space="0" w:color="auto"/>
            </w:tcBorders>
            <w:hideMark/>
          </w:tcPr>
          <w:p w:rsidR="000D3A67" w:rsidRPr="000D3A67" w:rsidP="000D3A67" w14:paraId="6E23D3B7" w14:textId="77777777">
            <w:pPr>
              <w:widowControl/>
              <w:autoSpaceDE/>
              <w:adjustRightInd/>
              <w:rPr>
                <w:rFonts w:ascii="Times New Roman" w:hAnsi="Times New Roman"/>
                <w:sz w:val="20"/>
                <w:szCs w:val="20"/>
              </w:rPr>
            </w:pPr>
            <w:r w:rsidRPr="000D3A67">
              <w:rPr>
                <w:rFonts w:ascii="Times New Roman" w:hAnsi="Times New Roman"/>
                <w:sz w:val="20"/>
                <w:szCs w:val="20"/>
              </w:rPr>
              <w:t> $</w:t>
            </w:r>
            <w:r w:rsidRPr="000D3A67">
              <w:rPr>
                <w:rFonts w:ascii="Times New Roman" w:hAnsi="Times New Roman"/>
                <w:b/>
                <w:sz w:val="20"/>
                <w:szCs w:val="20"/>
              </w:rPr>
              <w:t>6,5</w:t>
            </w:r>
            <w:r w:rsidR="00AD35C5">
              <w:rPr>
                <w:rFonts w:ascii="Times New Roman" w:hAnsi="Times New Roman"/>
                <w:b/>
                <w:sz w:val="20"/>
                <w:szCs w:val="20"/>
              </w:rPr>
              <w:t>90</w:t>
            </w:r>
          </w:p>
        </w:tc>
      </w:tr>
      <w:tr w14:paraId="0AADCE05" w14:textId="77777777" w:rsidTr="000D3A67">
        <w:tblPrEx>
          <w:tblW w:w="11535" w:type="dxa"/>
          <w:jc w:val="center"/>
          <w:tblLayout w:type="fixed"/>
          <w:tblLook w:val="04A0"/>
        </w:tblPrEx>
        <w:trPr>
          <w:trHeight w:val="395"/>
          <w:jc w:val="center"/>
        </w:trPr>
        <w:tc>
          <w:tcPr>
            <w:tcW w:w="1165" w:type="dxa"/>
            <w:tcBorders>
              <w:top w:val="nil"/>
              <w:left w:val="single" w:sz="4" w:space="0" w:color="auto"/>
              <w:bottom w:val="single" w:sz="4" w:space="0" w:color="auto"/>
              <w:right w:val="single" w:sz="4" w:space="0" w:color="auto"/>
            </w:tcBorders>
            <w:hideMark/>
          </w:tcPr>
          <w:p w:rsidR="000D3A67" w:rsidRPr="000D3A67" w:rsidP="000D3A67" w14:paraId="512DC4AF"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TOTAL</w:t>
            </w:r>
          </w:p>
        </w:tc>
        <w:tc>
          <w:tcPr>
            <w:tcW w:w="1350" w:type="dxa"/>
            <w:tcBorders>
              <w:top w:val="nil"/>
              <w:left w:val="nil"/>
              <w:bottom w:val="single" w:sz="4" w:space="0" w:color="auto"/>
              <w:right w:val="single" w:sz="4" w:space="0" w:color="auto"/>
            </w:tcBorders>
            <w:shd w:val="clear" w:color="auto" w:fill="D0CECE"/>
            <w:hideMark/>
          </w:tcPr>
          <w:p w:rsidR="000D3A67" w:rsidRPr="000D3A67" w:rsidP="000D3A67" w14:paraId="63DF57BF" w14:textId="77777777">
            <w:pPr>
              <w:rPr>
                <w:rFonts w:ascii="Times New Roman" w:hAnsi="Times New Roman"/>
                <w:b/>
                <w:bCs/>
                <w:sz w:val="20"/>
                <w:szCs w:val="20"/>
              </w:rPr>
            </w:pPr>
          </w:p>
        </w:tc>
        <w:tc>
          <w:tcPr>
            <w:tcW w:w="1620" w:type="dxa"/>
            <w:tcBorders>
              <w:top w:val="nil"/>
              <w:left w:val="nil"/>
              <w:bottom w:val="single" w:sz="4" w:space="0" w:color="auto"/>
              <w:right w:val="single" w:sz="4" w:space="0" w:color="auto"/>
            </w:tcBorders>
            <w:hideMark/>
          </w:tcPr>
          <w:p w:rsidR="000D3A67" w:rsidRPr="000D3A67" w:rsidP="000D3A67" w14:paraId="0A3622FD"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350</w:t>
            </w:r>
          </w:p>
        </w:tc>
        <w:tc>
          <w:tcPr>
            <w:tcW w:w="1630" w:type="dxa"/>
            <w:tcBorders>
              <w:top w:val="nil"/>
              <w:left w:val="nil"/>
              <w:bottom w:val="single" w:sz="4" w:space="0" w:color="auto"/>
              <w:right w:val="single" w:sz="4" w:space="0" w:color="auto"/>
            </w:tcBorders>
            <w:shd w:val="clear" w:color="auto" w:fill="D0CECE"/>
            <w:hideMark/>
          </w:tcPr>
          <w:p w:rsidR="000D3A67" w:rsidRPr="000D3A67" w:rsidP="000D3A67" w14:paraId="59E90D44" w14:textId="77777777">
            <w:pPr>
              <w:rPr>
                <w:rFonts w:ascii="Times New Roman" w:hAnsi="Times New Roman"/>
                <w:b/>
                <w:bCs/>
                <w:sz w:val="20"/>
                <w:szCs w:val="20"/>
              </w:rPr>
            </w:pPr>
          </w:p>
        </w:tc>
        <w:tc>
          <w:tcPr>
            <w:tcW w:w="1170" w:type="dxa"/>
            <w:tcBorders>
              <w:top w:val="nil"/>
              <w:left w:val="nil"/>
              <w:bottom w:val="single" w:sz="4" w:space="0" w:color="auto"/>
              <w:right w:val="single" w:sz="4" w:space="0" w:color="auto"/>
            </w:tcBorders>
            <w:hideMark/>
          </w:tcPr>
          <w:p w:rsidR="000D3A67" w:rsidRPr="000D3A67" w:rsidP="000D3A67" w14:paraId="5CAEBCDF"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668</w:t>
            </w:r>
          </w:p>
        </w:tc>
        <w:tc>
          <w:tcPr>
            <w:tcW w:w="1170" w:type="dxa"/>
            <w:tcBorders>
              <w:top w:val="nil"/>
              <w:left w:val="nil"/>
              <w:bottom w:val="single" w:sz="4" w:space="0" w:color="auto"/>
              <w:right w:val="single" w:sz="4" w:space="0" w:color="auto"/>
            </w:tcBorders>
            <w:shd w:val="clear" w:color="auto" w:fill="D0CECE"/>
            <w:hideMark/>
          </w:tcPr>
          <w:p w:rsidR="000D3A67" w:rsidRPr="000D3A67" w:rsidP="000D3A67" w14:paraId="3690A8AE" w14:textId="77777777">
            <w:pPr>
              <w:rPr>
                <w:rFonts w:ascii="Times New Roman" w:hAnsi="Times New Roman"/>
                <w:b/>
                <w:bCs/>
                <w:sz w:val="20"/>
                <w:szCs w:val="20"/>
              </w:rPr>
            </w:pPr>
          </w:p>
        </w:tc>
        <w:tc>
          <w:tcPr>
            <w:tcW w:w="1170" w:type="dxa"/>
            <w:tcBorders>
              <w:top w:val="nil"/>
              <w:left w:val="nil"/>
              <w:bottom w:val="single" w:sz="4" w:space="0" w:color="auto"/>
              <w:right w:val="single" w:sz="4" w:space="0" w:color="auto"/>
            </w:tcBorders>
            <w:hideMark/>
          </w:tcPr>
          <w:p w:rsidR="000D3A67" w:rsidRPr="000D3A67" w:rsidP="000D3A67" w14:paraId="66A3E3BD"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164</w:t>
            </w:r>
          </w:p>
        </w:tc>
        <w:tc>
          <w:tcPr>
            <w:tcW w:w="995" w:type="dxa"/>
            <w:tcBorders>
              <w:top w:val="nil"/>
              <w:left w:val="nil"/>
              <w:bottom w:val="single" w:sz="4" w:space="0" w:color="auto"/>
              <w:right w:val="single" w:sz="4" w:space="0" w:color="auto"/>
            </w:tcBorders>
            <w:hideMark/>
          </w:tcPr>
          <w:p w:rsidR="000D3A67" w:rsidRPr="000D3A67" w:rsidP="000D3A67" w14:paraId="3864C345"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$87.86</w:t>
            </w:r>
          </w:p>
        </w:tc>
        <w:tc>
          <w:tcPr>
            <w:tcW w:w="1260" w:type="dxa"/>
            <w:tcBorders>
              <w:top w:val="nil"/>
              <w:left w:val="nil"/>
              <w:bottom w:val="single" w:sz="4" w:space="0" w:color="auto"/>
              <w:right w:val="single" w:sz="4" w:space="0" w:color="auto"/>
            </w:tcBorders>
            <w:hideMark/>
          </w:tcPr>
          <w:p w:rsidR="000D3A67" w:rsidRPr="000D3A67" w:rsidP="000D3A67" w14:paraId="0CA40057" w14:textId="77777777">
            <w:pPr>
              <w:widowControl/>
              <w:autoSpaceDE/>
              <w:adjustRightInd/>
              <w:jc w:val="center"/>
              <w:rPr>
                <w:rFonts w:ascii="Times New Roman" w:hAnsi="Times New Roman"/>
                <w:b/>
                <w:bCs/>
                <w:sz w:val="20"/>
                <w:szCs w:val="20"/>
              </w:rPr>
            </w:pPr>
            <w:r w:rsidRPr="000D3A67">
              <w:rPr>
                <w:rFonts w:ascii="Times New Roman" w:hAnsi="Times New Roman"/>
                <w:b/>
                <w:bCs/>
                <w:sz w:val="20"/>
                <w:szCs w:val="20"/>
              </w:rPr>
              <w:t>$14,409</w:t>
            </w:r>
          </w:p>
        </w:tc>
      </w:tr>
    </w:tbl>
    <w:p w:rsidR="000D3A67" w:rsidRPr="000D3A67" w:rsidP="000D3A67" w14:paraId="48C54313" w14:textId="77777777">
      <w:pPr>
        <w:widowControl/>
        <w:autoSpaceDE/>
        <w:adjustRightInd/>
        <w:rPr>
          <w:rFonts w:ascii="Times New Roman" w:hAnsi="Times New Roman"/>
        </w:rPr>
      </w:pPr>
    </w:p>
    <w:p w:rsidR="000D3A67" w14:paraId="52AAFEA7" w14:textId="77777777">
      <w:pPr>
        <w:rPr>
          <w:rFonts w:ascii="Times New Roman" w:hAnsi="Times New Roman"/>
        </w:rPr>
      </w:pPr>
    </w:p>
    <w:p w:rsidR="00F93E2B" w:rsidRPr="00A113D4" w:rsidP="00F93E2B" w14:paraId="04F822D7" w14:textId="77777777">
      <w:pPr>
        <w:rPr>
          <w:rFonts w:ascii="Times New Roman" w:hAnsi="Times New Roman"/>
          <w:i/>
        </w:rPr>
      </w:pPr>
      <w:r>
        <w:rPr>
          <w:rFonts w:ascii="Times New Roman" w:hAnsi="Times New Roman"/>
          <w:b/>
          <w:bCs/>
        </w:rPr>
        <w:t>Appendix D</w:t>
      </w:r>
      <w:r w:rsidRPr="00F93E2B">
        <w:rPr>
          <w:rFonts w:ascii="Times New Roman" w:hAnsi="Times New Roman"/>
          <w:b/>
          <w:bCs/>
        </w:rPr>
        <w:t xml:space="preserve">: </w:t>
      </w:r>
      <w:r>
        <w:rPr>
          <w:rFonts w:ascii="Times New Roman" w:hAnsi="Times New Roman"/>
          <w:b/>
          <w:bCs/>
        </w:rPr>
        <w:t xml:space="preserve">2022 </w:t>
      </w:r>
      <w:r w:rsidRPr="00F93E2B">
        <w:rPr>
          <w:rFonts w:ascii="Times New Roman" w:hAnsi="Times New Roman"/>
          <w:b/>
          <w:bCs/>
        </w:rPr>
        <w:t>Combined Costs and Burden Hours for States and Employers</w:t>
      </w:r>
      <w:r>
        <w:rPr>
          <w:rFonts w:ascii="Times New Roman" w:hAnsi="Times New Roman"/>
          <w:b/>
          <w:bCs/>
        </w:rPr>
        <w:t xml:space="preserve"> </w:t>
      </w:r>
      <w:r w:rsidRPr="009E7CB3">
        <w:rPr>
          <w:rFonts w:ascii="Times New Roman" w:hAnsi="Times New Roman"/>
          <w:bCs/>
        </w:rPr>
        <w:t>(OMB #1218-0280; Expiration Date: June 30, 2024)</w:t>
      </w:r>
    </w:p>
    <w:p w:rsidR="00F93E2B" w:rsidRPr="00F93E2B" w:rsidP="00F93E2B" w14:paraId="3E5D413C" w14:textId="77777777">
      <w:pPr>
        <w:keepNext/>
        <w:widowControl/>
        <w:autoSpaceDE/>
        <w:adjustRightInd/>
        <w:jc w:val="center"/>
        <w:rPr>
          <w:rFonts w:ascii="Times New Roman" w:hAnsi="Times New Roman"/>
          <w:b/>
          <w:bCs/>
        </w:rPr>
      </w:pPr>
    </w:p>
    <w:p w:rsidR="00F93E2B" w:rsidRPr="00F93E2B" w:rsidP="00F93E2B" w14:paraId="1A9C7E4E" w14:textId="77777777">
      <w:pPr>
        <w:keepNext/>
        <w:widowControl/>
        <w:autoSpaceDE/>
        <w:adjustRightInd/>
        <w:jc w:val="center"/>
        <w:rPr>
          <w:rFonts w:ascii="Times New Roman" w:hAnsi="Times New Roman"/>
          <w:b/>
          <w:bCs/>
        </w:rPr>
      </w:pPr>
    </w:p>
    <w:tbl>
      <w:tblPr>
        <w:tblStyle w:val="TableGrid"/>
        <w:tblW w:w="0" w:type="auto"/>
        <w:tblInd w:w="-455" w:type="dxa"/>
        <w:tblLook w:val="04A0"/>
      </w:tblPr>
      <w:tblGrid>
        <w:gridCol w:w="2325"/>
        <w:gridCol w:w="1870"/>
        <w:gridCol w:w="1870"/>
        <w:gridCol w:w="1870"/>
        <w:gridCol w:w="1870"/>
      </w:tblGrid>
      <w:tr w14:paraId="01C911FD" w14:textId="77777777" w:rsidTr="00F93E2B">
        <w:tblPrEx>
          <w:tblW w:w="0" w:type="auto"/>
          <w:tblInd w:w="-455" w:type="dxa"/>
          <w:tblLook w:val="04A0"/>
        </w:tblPrEx>
        <w:tc>
          <w:tcPr>
            <w:tcW w:w="232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F93E2B" w:rsidRPr="00F93E2B" w:rsidP="00F93E2B" w14:paraId="00A63235" w14:textId="77777777">
            <w:pPr>
              <w:keepNext/>
              <w:widowControl/>
              <w:autoSpaceDE/>
              <w:adjustRightInd/>
              <w:jc w:val="center"/>
              <w:rPr>
                <w:rFonts w:ascii="Times New Roman" w:hAnsi="Times New Roman"/>
                <w:b/>
                <w:bCs/>
              </w:rPr>
            </w:pPr>
            <w:r w:rsidRPr="00F93E2B">
              <w:rPr>
                <w:rFonts w:ascii="Times New Roman" w:hAnsi="Times New Roman"/>
                <w:b/>
                <w:bCs/>
              </w:rPr>
              <w:t>Table</w:t>
            </w:r>
          </w:p>
        </w:tc>
        <w:tc>
          <w:tcPr>
            <w:tcW w:w="187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F93E2B" w:rsidRPr="00F93E2B" w:rsidP="00F93E2B" w14:paraId="02E0D3C1" w14:textId="77777777">
            <w:pPr>
              <w:keepNext/>
              <w:widowControl/>
              <w:autoSpaceDE/>
              <w:adjustRightInd/>
              <w:jc w:val="center"/>
              <w:rPr>
                <w:rFonts w:ascii="Times New Roman" w:hAnsi="Times New Roman"/>
                <w:b/>
                <w:bCs/>
              </w:rPr>
            </w:pPr>
            <w:r w:rsidRPr="00F93E2B">
              <w:rPr>
                <w:rFonts w:ascii="Times New Roman" w:hAnsi="Times New Roman"/>
                <w:b/>
                <w:bCs/>
              </w:rPr>
              <w:t>Number of Respondents</w:t>
            </w:r>
          </w:p>
        </w:tc>
        <w:tc>
          <w:tcPr>
            <w:tcW w:w="187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F93E2B" w:rsidRPr="00F93E2B" w:rsidP="00F93E2B" w14:paraId="062844F2" w14:textId="77777777">
            <w:pPr>
              <w:keepNext/>
              <w:widowControl/>
              <w:autoSpaceDE/>
              <w:adjustRightInd/>
              <w:jc w:val="center"/>
              <w:rPr>
                <w:rFonts w:ascii="Times New Roman" w:hAnsi="Times New Roman"/>
                <w:b/>
                <w:bCs/>
              </w:rPr>
            </w:pPr>
            <w:r w:rsidRPr="00F93E2B">
              <w:rPr>
                <w:rFonts w:ascii="Times New Roman" w:hAnsi="Times New Roman"/>
                <w:b/>
                <w:bCs/>
              </w:rPr>
              <w:t>Total No. of Responses</w:t>
            </w:r>
          </w:p>
        </w:tc>
        <w:tc>
          <w:tcPr>
            <w:tcW w:w="187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F93E2B" w:rsidRPr="00F93E2B" w:rsidP="00F93E2B" w14:paraId="51E9AEDF" w14:textId="77777777">
            <w:pPr>
              <w:keepNext/>
              <w:widowControl/>
              <w:autoSpaceDE/>
              <w:adjustRightInd/>
              <w:jc w:val="center"/>
              <w:rPr>
                <w:rFonts w:ascii="Times New Roman" w:hAnsi="Times New Roman"/>
                <w:b/>
                <w:bCs/>
              </w:rPr>
            </w:pPr>
            <w:r w:rsidRPr="00F93E2B">
              <w:rPr>
                <w:rFonts w:ascii="Times New Roman" w:hAnsi="Times New Roman"/>
                <w:b/>
                <w:bCs/>
              </w:rPr>
              <w:t>Total Burden Hours (Rounded)</w:t>
            </w:r>
          </w:p>
        </w:tc>
        <w:tc>
          <w:tcPr>
            <w:tcW w:w="187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F93E2B" w:rsidRPr="00F93E2B" w:rsidP="00F93E2B" w14:paraId="0CE67FFF" w14:textId="77777777">
            <w:pPr>
              <w:keepNext/>
              <w:widowControl/>
              <w:autoSpaceDE/>
              <w:adjustRightInd/>
              <w:jc w:val="center"/>
              <w:rPr>
                <w:rFonts w:ascii="Times New Roman" w:hAnsi="Times New Roman"/>
                <w:b/>
                <w:bCs/>
              </w:rPr>
            </w:pPr>
            <w:r w:rsidRPr="00F93E2B">
              <w:rPr>
                <w:rFonts w:ascii="Times New Roman" w:hAnsi="Times New Roman"/>
                <w:b/>
                <w:bCs/>
              </w:rPr>
              <w:t>Total Burden Cost        (Under A13)</w:t>
            </w:r>
          </w:p>
        </w:tc>
      </w:tr>
      <w:tr w14:paraId="2E1DCBF6" w14:textId="77777777" w:rsidTr="00F93E2B">
        <w:tblPrEx>
          <w:tblW w:w="0" w:type="auto"/>
          <w:tblInd w:w="-455" w:type="dxa"/>
          <w:tblLook w:val="04A0"/>
        </w:tblPrEx>
        <w:tc>
          <w:tcPr>
            <w:tcW w:w="2325" w:type="dxa"/>
            <w:tcBorders>
              <w:top w:val="single" w:sz="4" w:space="0" w:color="auto"/>
              <w:left w:val="single" w:sz="4" w:space="0" w:color="auto"/>
              <w:bottom w:val="single" w:sz="4" w:space="0" w:color="auto"/>
              <w:right w:val="single" w:sz="4" w:space="0" w:color="auto"/>
            </w:tcBorders>
          </w:tcPr>
          <w:p w:rsidR="00F93E2B" w:rsidRPr="00F93E2B" w:rsidP="00F93E2B" w14:paraId="19C3BACE" w14:textId="77777777">
            <w:pPr>
              <w:widowControl/>
              <w:autoSpaceDE/>
              <w:adjustRightInd/>
              <w:rPr>
                <w:rFonts w:ascii="Times New Roman" w:hAnsi="Times New Roman"/>
                <w:i/>
              </w:rPr>
            </w:pPr>
            <w:r w:rsidRPr="00F93E2B">
              <w:rPr>
                <w:rFonts w:ascii="Times New Roman" w:hAnsi="Times New Roman"/>
              </w:rPr>
              <w:t>Table 1a: Estimated Respondent (State Consultation Programs) Hour and Cost Burden for Pilot Study</w:t>
            </w:r>
          </w:p>
          <w:p w:rsidR="00F93E2B" w:rsidRPr="00F93E2B" w:rsidP="00F93E2B" w14:paraId="04E2248B" w14:textId="77777777">
            <w:pPr>
              <w:keepNext/>
              <w:widowControl/>
              <w:autoSpaceDE/>
              <w:adjustRightInd/>
              <w:jc w:val="center"/>
              <w:rPr>
                <w:rFonts w:ascii="Times New Roman" w:hAnsi="Times New Roman"/>
                <w:b/>
                <w:bCs/>
              </w:rPr>
            </w:pP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72A09959" w14:textId="77777777">
            <w:pPr>
              <w:keepNext/>
              <w:widowControl/>
              <w:autoSpaceDE/>
              <w:adjustRightInd/>
              <w:jc w:val="center"/>
              <w:rPr>
                <w:rFonts w:ascii="Times New Roman" w:hAnsi="Times New Roman"/>
              </w:rPr>
            </w:pPr>
            <w:r w:rsidRPr="00F93E2B">
              <w:rPr>
                <w:rFonts w:ascii="Times New Roman" w:hAnsi="Times New Roman"/>
              </w:rPr>
              <w:t>200</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1627D5A8" w14:textId="77777777">
            <w:pPr>
              <w:keepNext/>
              <w:widowControl/>
              <w:autoSpaceDE/>
              <w:adjustRightInd/>
              <w:jc w:val="center"/>
              <w:rPr>
                <w:rFonts w:ascii="Times New Roman" w:hAnsi="Times New Roman"/>
                <w:bCs/>
              </w:rPr>
            </w:pPr>
            <w:r w:rsidRPr="00F93E2B">
              <w:rPr>
                <w:rFonts w:ascii="Times New Roman" w:hAnsi="Times New Roman"/>
              </w:rPr>
              <w:t>1,171</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113C5E48" w14:textId="77777777">
            <w:pPr>
              <w:keepNext/>
              <w:widowControl/>
              <w:autoSpaceDE/>
              <w:adjustRightInd/>
              <w:jc w:val="center"/>
              <w:rPr>
                <w:rFonts w:ascii="Times New Roman" w:hAnsi="Times New Roman"/>
                <w:b/>
                <w:bCs/>
              </w:rPr>
            </w:pPr>
            <w:r w:rsidRPr="00F93E2B">
              <w:rPr>
                <w:rFonts w:ascii="Times New Roman" w:hAnsi="Times New Roman"/>
                <w:bCs/>
              </w:rPr>
              <w:t>4,660</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53F9B83D" w14:textId="77777777">
            <w:pPr>
              <w:keepNext/>
              <w:widowControl/>
              <w:autoSpaceDE/>
              <w:adjustRightInd/>
              <w:jc w:val="center"/>
              <w:rPr>
                <w:rFonts w:ascii="Times New Roman" w:hAnsi="Times New Roman"/>
                <w:b/>
                <w:bCs/>
              </w:rPr>
            </w:pPr>
            <w:r w:rsidRPr="00F93E2B">
              <w:rPr>
                <w:rFonts w:ascii="Times New Roman" w:hAnsi="Times New Roman"/>
              </w:rPr>
              <w:t xml:space="preserve">$0 </w:t>
            </w:r>
          </w:p>
        </w:tc>
      </w:tr>
      <w:tr w14:paraId="40BE1184" w14:textId="77777777" w:rsidTr="00F93E2B">
        <w:tblPrEx>
          <w:tblW w:w="0" w:type="auto"/>
          <w:tblInd w:w="-455" w:type="dxa"/>
          <w:tblLook w:val="04A0"/>
        </w:tblPrEx>
        <w:tc>
          <w:tcPr>
            <w:tcW w:w="2325" w:type="dxa"/>
            <w:tcBorders>
              <w:top w:val="single" w:sz="4" w:space="0" w:color="auto"/>
              <w:left w:val="single" w:sz="4" w:space="0" w:color="auto"/>
              <w:bottom w:val="single" w:sz="4" w:space="0" w:color="auto"/>
              <w:right w:val="single" w:sz="4" w:space="0" w:color="auto"/>
            </w:tcBorders>
          </w:tcPr>
          <w:p w:rsidR="00F93E2B" w:rsidRPr="00F93E2B" w:rsidP="00F93E2B" w14:paraId="48266100" w14:textId="77777777">
            <w:pPr>
              <w:widowControl/>
              <w:autoSpaceDE/>
              <w:adjustRightInd/>
              <w:rPr>
                <w:rFonts w:ascii="Times New Roman" w:hAnsi="Times New Roman"/>
                <w:bCs/>
                <w:i/>
              </w:rPr>
            </w:pPr>
            <w:r w:rsidRPr="00F93E2B">
              <w:rPr>
                <w:rFonts w:ascii="Times New Roman" w:hAnsi="Times New Roman"/>
                <w:bCs/>
              </w:rPr>
              <w:t>Table 1b: Estimated Respondent (State Consultation Programs) Hour and Cost Burden for the Prospective Analysis</w:t>
            </w:r>
          </w:p>
          <w:p w:rsidR="00F93E2B" w:rsidRPr="00F93E2B" w:rsidP="00F93E2B" w14:paraId="03642587" w14:textId="77777777">
            <w:pPr>
              <w:keepNext/>
              <w:widowControl/>
              <w:autoSpaceDE/>
              <w:adjustRightInd/>
              <w:jc w:val="center"/>
              <w:rPr>
                <w:rFonts w:ascii="Times New Roman" w:hAnsi="Times New Roman"/>
                <w:b/>
                <w:bCs/>
              </w:rPr>
            </w:pP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34006E6E" w14:textId="77777777">
            <w:pPr>
              <w:keepNext/>
              <w:widowControl/>
              <w:autoSpaceDE/>
              <w:adjustRightInd/>
              <w:jc w:val="center"/>
              <w:rPr>
                <w:rFonts w:ascii="Times New Roman" w:hAnsi="Times New Roman"/>
              </w:rPr>
            </w:pPr>
            <w:r w:rsidRPr="00F93E2B">
              <w:rPr>
                <w:rFonts w:ascii="Times New Roman" w:hAnsi="Times New Roman"/>
              </w:rPr>
              <w:t>200</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0F994941" w14:textId="77777777">
            <w:pPr>
              <w:keepNext/>
              <w:widowControl/>
              <w:autoSpaceDE/>
              <w:adjustRightInd/>
              <w:jc w:val="center"/>
              <w:rPr>
                <w:rFonts w:ascii="Times New Roman" w:hAnsi="Times New Roman"/>
                <w:bCs/>
              </w:rPr>
            </w:pPr>
            <w:r w:rsidRPr="00F93E2B">
              <w:rPr>
                <w:rFonts w:ascii="Times New Roman" w:hAnsi="Times New Roman"/>
              </w:rPr>
              <w:t>300</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069C0D8C" w14:textId="77777777">
            <w:pPr>
              <w:keepNext/>
              <w:widowControl/>
              <w:autoSpaceDE/>
              <w:adjustRightInd/>
              <w:jc w:val="center"/>
              <w:rPr>
                <w:rFonts w:ascii="Times New Roman" w:hAnsi="Times New Roman"/>
                <w:b/>
                <w:bCs/>
              </w:rPr>
            </w:pPr>
            <w:r w:rsidRPr="00F93E2B">
              <w:rPr>
                <w:rFonts w:ascii="Times New Roman" w:hAnsi="Times New Roman"/>
                <w:bCs/>
              </w:rPr>
              <w:t>150</w:t>
            </w:r>
          </w:p>
        </w:tc>
        <w:tc>
          <w:tcPr>
            <w:tcW w:w="1870" w:type="dxa"/>
            <w:tcBorders>
              <w:top w:val="single" w:sz="4" w:space="0" w:color="auto"/>
              <w:left w:val="single" w:sz="4" w:space="0" w:color="auto"/>
              <w:bottom w:val="single" w:sz="4" w:space="0" w:color="auto"/>
              <w:right w:val="single" w:sz="4" w:space="0" w:color="auto"/>
            </w:tcBorders>
          </w:tcPr>
          <w:p w:rsidR="00F93E2B" w:rsidRPr="00F93E2B" w:rsidP="00F93E2B" w14:paraId="2BC0598D" w14:textId="77777777">
            <w:pPr>
              <w:widowControl/>
              <w:autoSpaceDE/>
              <w:adjustRightInd/>
              <w:jc w:val="center"/>
              <w:rPr>
                <w:rFonts w:ascii="Times New Roman" w:hAnsi="Times New Roman"/>
              </w:rPr>
            </w:pPr>
            <w:r w:rsidRPr="00F93E2B">
              <w:rPr>
                <w:rFonts w:ascii="Times New Roman" w:hAnsi="Times New Roman"/>
              </w:rPr>
              <w:t>$0</w:t>
            </w:r>
          </w:p>
          <w:p w:rsidR="00F93E2B" w:rsidRPr="00F93E2B" w:rsidP="00F93E2B" w14:paraId="0D3837B7" w14:textId="77777777">
            <w:pPr>
              <w:keepNext/>
              <w:widowControl/>
              <w:autoSpaceDE/>
              <w:adjustRightInd/>
              <w:jc w:val="center"/>
              <w:rPr>
                <w:rFonts w:ascii="Times New Roman" w:hAnsi="Times New Roman"/>
                <w:b/>
                <w:bCs/>
              </w:rPr>
            </w:pPr>
          </w:p>
        </w:tc>
      </w:tr>
      <w:tr w14:paraId="19A2E232" w14:textId="77777777" w:rsidTr="00F93E2B">
        <w:tblPrEx>
          <w:tblW w:w="0" w:type="auto"/>
          <w:tblInd w:w="-455" w:type="dxa"/>
          <w:tblLook w:val="04A0"/>
        </w:tblPrEx>
        <w:tc>
          <w:tcPr>
            <w:tcW w:w="2325" w:type="dxa"/>
            <w:tcBorders>
              <w:top w:val="single" w:sz="4" w:space="0" w:color="auto"/>
              <w:left w:val="single" w:sz="4" w:space="0" w:color="auto"/>
              <w:bottom w:val="single" w:sz="4" w:space="0" w:color="auto"/>
              <w:right w:val="single" w:sz="4" w:space="0" w:color="auto"/>
            </w:tcBorders>
          </w:tcPr>
          <w:p w:rsidR="00F93E2B" w:rsidRPr="00F93E2B" w:rsidP="00F93E2B" w14:paraId="56B2CAF8" w14:textId="77777777">
            <w:pPr>
              <w:widowControl/>
              <w:autoSpaceDE/>
              <w:adjustRightInd/>
              <w:rPr>
                <w:rFonts w:ascii="Times New Roman" w:hAnsi="Times New Roman"/>
              </w:rPr>
            </w:pPr>
            <w:r w:rsidRPr="00F93E2B">
              <w:rPr>
                <w:rFonts w:ascii="Times New Roman" w:hAnsi="Times New Roman"/>
              </w:rPr>
              <w:t>Table 2: Summary of Estimated Respondent (Employer) Hour and Cost Burden</w:t>
            </w:r>
          </w:p>
          <w:p w:rsidR="00F93E2B" w:rsidRPr="00F93E2B" w:rsidP="00F93E2B" w14:paraId="24217A04" w14:textId="77777777">
            <w:pPr>
              <w:keepNext/>
              <w:widowControl/>
              <w:autoSpaceDE/>
              <w:adjustRightInd/>
              <w:jc w:val="center"/>
              <w:rPr>
                <w:rFonts w:ascii="Times New Roman" w:hAnsi="Times New Roman"/>
                <w:b/>
                <w:bCs/>
              </w:rPr>
            </w:pP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3352B0D6" w14:textId="77777777">
            <w:pPr>
              <w:keepNext/>
              <w:widowControl/>
              <w:autoSpaceDE/>
              <w:adjustRightInd/>
              <w:jc w:val="center"/>
              <w:rPr>
                <w:rFonts w:ascii="Times New Roman" w:hAnsi="Times New Roman"/>
              </w:rPr>
            </w:pPr>
            <w:r w:rsidRPr="00F93E2B">
              <w:rPr>
                <w:rFonts w:ascii="Times New Roman" w:hAnsi="Times New Roman"/>
              </w:rPr>
              <w:t>350</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0656E33A" w14:textId="77777777">
            <w:pPr>
              <w:keepNext/>
              <w:widowControl/>
              <w:autoSpaceDE/>
              <w:adjustRightInd/>
              <w:jc w:val="center"/>
              <w:rPr>
                <w:rFonts w:ascii="Times New Roman" w:hAnsi="Times New Roman"/>
                <w:bCs/>
              </w:rPr>
            </w:pPr>
            <w:r w:rsidRPr="00F93E2B">
              <w:rPr>
                <w:rFonts w:ascii="Times New Roman" w:hAnsi="Times New Roman"/>
                <w:bCs/>
              </w:rPr>
              <w:t>668</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4E57E79C" w14:textId="77777777">
            <w:pPr>
              <w:keepNext/>
              <w:widowControl/>
              <w:autoSpaceDE/>
              <w:adjustRightInd/>
              <w:jc w:val="center"/>
              <w:rPr>
                <w:rFonts w:ascii="Times New Roman" w:hAnsi="Times New Roman"/>
                <w:b/>
                <w:bCs/>
              </w:rPr>
            </w:pPr>
            <w:r w:rsidRPr="00F93E2B">
              <w:rPr>
                <w:rFonts w:ascii="Times New Roman" w:hAnsi="Times New Roman"/>
                <w:bCs/>
              </w:rPr>
              <w:t>164</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1D5D26B6" w14:textId="77777777">
            <w:pPr>
              <w:keepNext/>
              <w:widowControl/>
              <w:autoSpaceDE/>
              <w:adjustRightInd/>
              <w:jc w:val="center"/>
              <w:rPr>
                <w:rFonts w:ascii="Times New Roman" w:hAnsi="Times New Roman"/>
                <w:b/>
                <w:bCs/>
              </w:rPr>
            </w:pPr>
            <w:r w:rsidRPr="00F93E2B">
              <w:rPr>
                <w:rFonts w:ascii="Times New Roman" w:hAnsi="Times New Roman"/>
              </w:rPr>
              <w:t>$0</w:t>
            </w:r>
          </w:p>
        </w:tc>
      </w:tr>
      <w:tr w14:paraId="5CE8E6D0" w14:textId="77777777" w:rsidTr="00F93E2B">
        <w:tblPrEx>
          <w:tblW w:w="0" w:type="auto"/>
          <w:tblInd w:w="-455" w:type="dxa"/>
          <w:tblLook w:val="04A0"/>
        </w:tblPrEx>
        <w:tc>
          <w:tcPr>
            <w:tcW w:w="2325" w:type="dxa"/>
            <w:tcBorders>
              <w:top w:val="single" w:sz="4" w:space="0" w:color="auto"/>
              <w:left w:val="single" w:sz="4" w:space="0" w:color="auto"/>
              <w:bottom w:val="single" w:sz="4" w:space="0" w:color="auto"/>
              <w:right w:val="single" w:sz="4" w:space="0" w:color="auto"/>
            </w:tcBorders>
            <w:hideMark/>
          </w:tcPr>
          <w:p w:rsidR="00F93E2B" w:rsidRPr="00F93E2B" w:rsidP="00F93E2B" w14:paraId="18CC55FC" w14:textId="77777777">
            <w:pPr>
              <w:keepNext/>
              <w:widowControl/>
              <w:autoSpaceDE/>
              <w:adjustRightInd/>
              <w:jc w:val="center"/>
              <w:rPr>
                <w:rFonts w:ascii="Times New Roman" w:hAnsi="Times New Roman"/>
                <w:b/>
                <w:bCs/>
              </w:rPr>
            </w:pPr>
            <w:r w:rsidRPr="00F93E2B">
              <w:rPr>
                <w:rFonts w:ascii="Times New Roman" w:hAnsi="Times New Roman"/>
                <w:b/>
                <w:bCs/>
              </w:rPr>
              <w:t>Totals</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720B5266" w14:textId="77777777">
            <w:pPr>
              <w:keepNext/>
              <w:widowControl/>
              <w:autoSpaceDE/>
              <w:adjustRightInd/>
              <w:jc w:val="center"/>
              <w:rPr>
                <w:rFonts w:ascii="Times New Roman" w:hAnsi="Times New Roman"/>
                <w:b/>
                <w:bCs/>
              </w:rPr>
            </w:pPr>
            <w:r w:rsidRPr="00F93E2B">
              <w:rPr>
                <w:rFonts w:ascii="Times New Roman" w:hAnsi="Times New Roman"/>
                <w:b/>
                <w:bCs/>
              </w:rPr>
              <w:t>550*</w:t>
            </w:r>
            <w:r>
              <w:rPr>
                <w:rFonts w:ascii="Times New Roman" w:hAnsi="Times New Roman"/>
                <w:b/>
                <w:bCs/>
                <w:vertAlign w:val="superscript"/>
              </w:rPr>
              <w:footnoteReference w:id="24"/>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3765198D" w14:textId="77777777">
            <w:pPr>
              <w:keepNext/>
              <w:widowControl/>
              <w:autoSpaceDE/>
              <w:adjustRightInd/>
              <w:jc w:val="center"/>
              <w:rPr>
                <w:rFonts w:ascii="Times New Roman" w:hAnsi="Times New Roman"/>
                <w:b/>
              </w:rPr>
            </w:pPr>
            <w:r w:rsidRPr="00F93E2B">
              <w:rPr>
                <w:rFonts w:ascii="Times New Roman" w:hAnsi="Times New Roman"/>
                <w:b/>
                <w:bCs/>
              </w:rPr>
              <w:t>2,139*</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3C9211DC" w14:textId="77777777">
            <w:pPr>
              <w:keepNext/>
              <w:widowControl/>
              <w:autoSpaceDE/>
              <w:adjustRightInd/>
              <w:jc w:val="center"/>
              <w:rPr>
                <w:rFonts w:ascii="Times New Roman" w:hAnsi="Times New Roman"/>
                <w:b/>
                <w:bCs/>
              </w:rPr>
            </w:pPr>
            <w:r w:rsidRPr="00F93E2B">
              <w:rPr>
                <w:rFonts w:ascii="Times New Roman" w:hAnsi="Times New Roman"/>
                <w:b/>
              </w:rPr>
              <w:t>4,974*</w:t>
            </w:r>
          </w:p>
        </w:tc>
        <w:tc>
          <w:tcPr>
            <w:tcW w:w="1870" w:type="dxa"/>
            <w:tcBorders>
              <w:top w:val="single" w:sz="4" w:space="0" w:color="auto"/>
              <w:left w:val="single" w:sz="4" w:space="0" w:color="auto"/>
              <w:bottom w:val="single" w:sz="4" w:space="0" w:color="auto"/>
              <w:right w:val="single" w:sz="4" w:space="0" w:color="auto"/>
            </w:tcBorders>
            <w:hideMark/>
          </w:tcPr>
          <w:p w:rsidR="00F93E2B" w:rsidRPr="00F93E2B" w:rsidP="00F93E2B" w14:paraId="4AC40461" w14:textId="77777777">
            <w:pPr>
              <w:keepNext/>
              <w:widowControl/>
              <w:autoSpaceDE/>
              <w:adjustRightInd/>
              <w:jc w:val="center"/>
              <w:rPr>
                <w:rFonts w:ascii="Times New Roman" w:hAnsi="Times New Roman"/>
                <w:b/>
                <w:bCs/>
              </w:rPr>
            </w:pPr>
            <w:r w:rsidRPr="00F93E2B">
              <w:rPr>
                <w:rFonts w:ascii="Times New Roman" w:hAnsi="Times New Roman"/>
                <w:b/>
                <w:bCs/>
              </w:rPr>
              <w:t>$0</w:t>
            </w:r>
          </w:p>
        </w:tc>
      </w:tr>
    </w:tbl>
    <w:p w:rsidR="00F93E2B" w14:paraId="6DEB90C7" w14:textId="77777777">
      <w:pPr>
        <w:rPr>
          <w:rFonts w:ascii="Times New Roman" w:hAnsi="Times New Roman"/>
        </w:rPr>
      </w:pPr>
    </w:p>
    <w:p w:rsidR="00F34D42" w:rsidRPr="0082260A" w14:paraId="011E0C9F" w14:textId="77777777">
      <w:pPr>
        <w:rPr>
          <w:rFonts w:ascii="Times New Roman" w:hAnsi="Times New Roman"/>
          <w:b/>
          <w:bCs/>
        </w:rPr>
      </w:pPr>
      <w:r w:rsidRPr="0082260A">
        <w:rPr>
          <w:rFonts w:ascii="Times New Roman" w:hAnsi="Times New Roman"/>
          <w:b/>
          <w:bCs/>
        </w:rPr>
        <w:t>Appendix E: 10 Regions of the DRF33 Pilot Study</w:t>
      </w:r>
    </w:p>
    <w:p w:rsidR="0079516E" w14:paraId="78D6D9A5" w14:textId="77777777">
      <w:pPr>
        <w:rPr>
          <w:rFonts w:ascii="Times New Roman" w:hAnsi="Times New Roman"/>
        </w:rPr>
      </w:pPr>
    </w:p>
    <w:p w:rsidR="0079516E" w:rsidRPr="0079516E" w:rsidP="0082260A" w14:paraId="65687D63" w14:textId="77777777">
      <w:pPr>
        <w:spacing w:after="120" w:line="360" w:lineRule="auto"/>
        <w:rPr>
          <w:rFonts w:ascii="Times New Roman" w:hAnsi="Times New Roman"/>
        </w:rPr>
      </w:pPr>
      <w:r w:rsidRPr="0079516E">
        <w:rPr>
          <w:rFonts w:ascii="Times New Roman" w:hAnsi="Times New Roman"/>
          <w:b/>
          <w:bCs/>
        </w:rPr>
        <w:t>Region 1</w:t>
      </w:r>
      <w:r w:rsidRPr="0079516E">
        <w:rPr>
          <w:rFonts w:ascii="Times New Roman" w:hAnsi="Times New Roman"/>
        </w:rPr>
        <w:t>: Connecticut, Maine, Massachusetts, New Hampshire, Rhode Island, Vermont</w:t>
      </w:r>
    </w:p>
    <w:p w:rsidR="0079516E" w:rsidRPr="0079516E" w:rsidP="0082260A" w14:paraId="749F1A4D" w14:textId="77777777">
      <w:pPr>
        <w:spacing w:after="120" w:line="360" w:lineRule="auto"/>
        <w:rPr>
          <w:rFonts w:ascii="Times New Roman" w:hAnsi="Times New Roman"/>
        </w:rPr>
      </w:pPr>
      <w:r w:rsidRPr="0079516E">
        <w:rPr>
          <w:rFonts w:ascii="Times New Roman" w:hAnsi="Times New Roman"/>
          <w:b/>
          <w:bCs/>
        </w:rPr>
        <w:t>Region 2</w:t>
      </w:r>
      <w:r w:rsidRPr="0079516E">
        <w:rPr>
          <w:rFonts w:ascii="Times New Roman" w:hAnsi="Times New Roman"/>
        </w:rPr>
        <w:t xml:space="preserve">: New Jersey, New York, </w:t>
      </w:r>
      <w:r w:rsidRPr="0079516E" w:rsidR="00497D43">
        <w:rPr>
          <w:rFonts w:ascii="Times New Roman" w:hAnsi="Times New Roman"/>
        </w:rPr>
        <w:t>Puerto</w:t>
      </w:r>
      <w:r w:rsidRPr="0079516E">
        <w:rPr>
          <w:rFonts w:ascii="Times New Roman" w:hAnsi="Times New Roman"/>
        </w:rPr>
        <w:t xml:space="preserve"> Rico, Virgin Islands (U.S.)</w:t>
      </w:r>
    </w:p>
    <w:p w:rsidR="0079516E" w:rsidRPr="0079516E" w:rsidP="0082260A" w14:paraId="16C0E5ED" w14:textId="77777777">
      <w:pPr>
        <w:spacing w:after="120" w:line="360" w:lineRule="auto"/>
        <w:rPr>
          <w:rFonts w:ascii="Times New Roman" w:hAnsi="Times New Roman"/>
        </w:rPr>
      </w:pPr>
      <w:r w:rsidRPr="0079516E">
        <w:rPr>
          <w:rFonts w:ascii="Times New Roman" w:hAnsi="Times New Roman"/>
          <w:b/>
          <w:bCs/>
        </w:rPr>
        <w:t>Region 3</w:t>
      </w:r>
      <w:r w:rsidRPr="0079516E">
        <w:rPr>
          <w:rFonts w:ascii="Times New Roman" w:hAnsi="Times New Roman"/>
        </w:rPr>
        <w:t xml:space="preserve">:  </w:t>
      </w:r>
      <w:r w:rsidR="001546E8">
        <w:rPr>
          <w:rFonts w:ascii="Times New Roman" w:hAnsi="Times New Roman"/>
        </w:rPr>
        <w:t>District of Columbia</w:t>
      </w:r>
      <w:r w:rsidRPr="0079516E">
        <w:rPr>
          <w:rFonts w:ascii="Times New Roman" w:hAnsi="Times New Roman"/>
        </w:rPr>
        <w:t>, Delaware, Maryland, Pennsylvania, Virginia, West Virginia</w:t>
      </w:r>
    </w:p>
    <w:p w:rsidR="0079516E" w:rsidRPr="0079516E" w:rsidP="0082260A" w14:paraId="01416295" w14:textId="77777777">
      <w:pPr>
        <w:spacing w:after="120" w:line="360" w:lineRule="auto"/>
        <w:rPr>
          <w:rFonts w:ascii="Times New Roman" w:hAnsi="Times New Roman"/>
        </w:rPr>
      </w:pPr>
      <w:r w:rsidRPr="0079516E">
        <w:rPr>
          <w:rFonts w:ascii="Times New Roman" w:hAnsi="Times New Roman"/>
          <w:b/>
          <w:bCs/>
        </w:rPr>
        <w:t>Region 4</w:t>
      </w:r>
      <w:r w:rsidRPr="0079516E">
        <w:rPr>
          <w:rFonts w:ascii="Times New Roman" w:hAnsi="Times New Roman"/>
        </w:rPr>
        <w:t>: Alabama, Florida, Georgia, Kentucky, Mississippi, North Carolina, South Carolina, Tennessee</w:t>
      </w:r>
    </w:p>
    <w:p w:rsidR="0079516E" w:rsidRPr="0079516E" w:rsidP="0082260A" w14:paraId="446FAB6C" w14:textId="77777777">
      <w:pPr>
        <w:spacing w:after="120" w:line="360" w:lineRule="auto"/>
        <w:rPr>
          <w:rFonts w:ascii="Times New Roman" w:hAnsi="Times New Roman"/>
        </w:rPr>
      </w:pPr>
      <w:r w:rsidRPr="0079516E">
        <w:rPr>
          <w:rFonts w:ascii="Times New Roman" w:hAnsi="Times New Roman"/>
          <w:b/>
          <w:bCs/>
        </w:rPr>
        <w:t>Region 5</w:t>
      </w:r>
      <w:r w:rsidRPr="0079516E">
        <w:rPr>
          <w:rFonts w:ascii="Times New Roman" w:hAnsi="Times New Roman"/>
        </w:rPr>
        <w:t>: Illinois, Indiana, Michigan, Minnesota, Ohio, Wisconsin</w:t>
      </w:r>
    </w:p>
    <w:p w:rsidR="0079516E" w:rsidRPr="0079516E" w:rsidP="0082260A" w14:paraId="0B10180B" w14:textId="77777777">
      <w:pPr>
        <w:spacing w:after="120" w:line="360" w:lineRule="auto"/>
        <w:rPr>
          <w:rFonts w:ascii="Times New Roman" w:hAnsi="Times New Roman"/>
        </w:rPr>
      </w:pPr>
      <w:r w:rsidRPr="0079516E">
        <w:rPr>
          <w:rFonts w:ascii="Times New Roman" w:hAnsi="Times New Roman"/>
          <w:b/>
          <w:bCs/>
        </w:rPr>
        <w:t>Region 6</w:t>
      </w:r>
      <w:r w:rsidRPr="0079516E">
        <w:rPr>
          <w:rFonts w:ascii="Times New Roman" w:hAnsi="Times New Roman"/>
        </w:rPr>
        <w:t>: Arkansas, Louisiana, New Mexico, Oklahoma, Texas</w:t>
      </w:r>
    </w:p>
    <w:p w:rsidR="0079516E" w:rsidRPr="0079516E" w:rsidP="0082260A" w14:paraId="037719B8" w14:textId="77777777">
      <w:pPr>
        <w:spacing w:after="120" w:line="360" w:lineRule="auto"/>
        <w:rPr>
          <w:rFonts w:ascii="Times New Roman" w:hAnsi="Times New Roman"/>
        </w:rPr>
      </w:pPr>
      <w:r w:rsidRPr="0079516E">
        <w:rPr>
          <w:rFonts w:ascii="Times New Roman" w:hAnsi="Times New Roman"/>
          <w:b/>
          <w:bCs/>
        </w:rPr>
        <w:t>Region 7</w:t>
      </w:r>
      <w:r w:rsidRPr="0079516E">
        <w:rPr>
          <w:rFonts w:ascii="Times New Roman" w:hAnsi="Times New Roman"/>
        </w:rPr>
        <w:t>: Iowa, Kansas, Missouri, Nebraska</w:t>
      </w:r>
    </w:p>
    <w:p w:rsidR="0079516E" w:rsidRPr="0079516E" w:rsidP="0082260A" w14:paraId="0B225268" w14:textId="77777777">
      <w:pPr>
        <w:spacing w:after="120" w:line="360" w:lineRule="auto"/>
        <w:rPr>
          <w:rFonts w:ascii="Times New Roman" w:hAnsi="Times New Roman"/>
        </w:rPr>
      </w:pPr>
      <w:r w:rsidRPr="0079516E">
        <w:rPr>
          <w:rFonts w:ascii="Times New Roman" w:hAnsi="Times New Roman"/>
          <w:b/>
          <w:bCs/>
        </w:rPr>
        <w:t>Region 8</w:t>
      </w:r>
      <w:r w:rsidRPr="0079516E">
        <w:rPr>
          <w:rFonts w:ascii="Times New Roman" w:hAnsi="Times New Roman"/>
        </w:rPr>
        <w:t>: Colorado, Montana, North Dakota, South Dakota, Uta</w:t>
      </w:r>
      <w:r w:rsidR="00C42BAE">
        <w:rPr>
          <w:rFonts w:ascii="Times New Roman" w:hAnsi="Times New Roman"/>
        </w:rPr>
        <w:t>h</w:t>
      </w:r>
      <w:r w:rsidRPr="0079516E">
        <w:rPr>
          <w:rFonts w:ascii="Times New Roman" w:hAnsi="Times New Roman"/>
        </w:rPr>
        <w:t>, Wyoming</w:t>
      </w:r>
    </w:p>
    <w:p w:rsidR="0079516E" w:rsidRPr="0079516E" w:rsidP="0082260A" w14:paraId="3EC019DA" w14:textId="77777777">
      <w:pPr>
        <w:spacing w:after="120" w:line="360" w:lineRule="auto"/>
        <w:rPr>
          <w:rFonts w:ascii="Times New Roman" w:hAnsi="Times New Roman"/>
        </w:rPr>
      </w:pPr>
      <w:r w:rsidRPr="0079516E">
        <w:rPr>
          <w:rFonts w:ascii="Times New Roman" w:hAnsi="Times New Roman"/>
          <w:b/>
          <w:bCs/>
        </w:rPr>
        <w:t>Region 9</w:t>
      </w:r>
      <w:r w:rsidRPr="0079516E">
        <w:rPr>
          <w:rFonts w:ascii="Times New Roman" w:hAnsi="Times New Roman"/>
        </w:rPr>
        <w:t xml:space="preserve">: Arizona, California, </w:t>
      </w:r>
      <w:r w:rsidR="002C4C60">
        <w:rPr>
          <w:rFonts w:ascii="Times New Roman" w:hAnsi="Times New Roman"/>
        </w:rPr>
        <w:t xml:space="preserve">Guam, </w:t>
      </w:r>
      <w:r w:rsidRPr="0079516E">
        <w:rPr>
          <w:rFonts w:ascii="Times New Roman" w:hAnsi="Times New Roman"/>
        </w:rPr>
        <w:t>Hawaii, Nevada, Northern Mariana Islands (MP)</w:t>
      </w:r>
    </w:p>
    <w:p w:rsidR="0079516E" w:rsidRPr="0079516E" w:rsidP="0082260A" w14:paraId="6AAC9144" w14:textId="77777777">
      <w:pPr>
        <w:spacing w:after="120" w:line="360" w:lineRule="auto"/>
        <w:rPr>
          <w:rFonts w:ascii="Times New Roman" w:hAnsi="Times New Roman"/>
        </w:rPr>
      </w:pPr>
      <w:r w:rsidRPr="0079516E">
        <w:rPr>
          <w:rFonts w:ascii="Times New Roman" w:hAnsi="Times New Roman"/>
          <w:b/>
          <w:bCs/>
        </w:rPr>
        <w:t>Region 10</w:t>
      </w:r>
      <w:r w:rsidRPr="0079516E">
        <w:rPr>
          <w:rFonts w:ascii="Times New Roman" w:hAnsi="Times New Roman"/>
        </w:rPr>
        <w:t>: Alaska, Idaho, Oregon, Washington</w:t>
      </w:r>
    </w:p>
    <w:p w:rsidR="0079516E" w14:paraId="794DCC12" w14:textId="77777777">
      <w:pPr>
        <w:rPr>
          <w:rFonts w:ascii="Times New Roman" w:hAnsi="Times New Roman"/>
        </w:rPr>
      </w:pPr>
    </w:p>
    <w:p w:rsidR="00425CA6" w:rsidRPr="00D53DEB" w14:paraId="389ABDBC" w14:textId="77777777">
      <w:pPr>
        <w:rPr>
          <w:rFonts w:ascii="Times New Roman" w:hAnsi="Times New Roman"/>
        </w:rPr>
      </w:pPr>
    </w:p>
    <w:sectPr w:rsidSect="00C07F7F">
      <w:headerReference w:type="default" r:id="rId19"/>
      <w:footerReference w:type="even" r:id="rId20"/>
      <w:footerReference w:type="default" r:id="rId21"/>
      <w:headerReference w:type="first" r:id="rId2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6FE" w:rsidP="00A21F98" w14:paraId="4B3B87C7"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76FE" w:rsidP="00A21F98" w14:paraId="45D4CD3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6FE" w:rsidRPr="00B26E3E" w:rsidP="00A21F98" w14:paraId="148E7651"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F76A3">
      <w:rPr>
        <w:rStyle w:val="PageNumber"/>
        <w:rFonts w:ascii="Times New Roman" w:hAnsi="Times New Roman"/>
        <w:noProof/>
      </w:rPr>
      <w:t>38</w:t>
    </w:r>
    <w:r w:rsidRPr="00B26E3E">
      <w:rPr>
        <w:rStyle w:val="PageNumber"/>
        <w:rFonts w:ascii="Times New Roman" w:hAnsi="Times New Roman"/>
      </w:rPr>
      <w:fldChar w:fldCharType="end"/>
    </w:r>
  </w:p>
  <w:p w:rsidR="00B276FE" w:rsidP="00A21F98" w14:paraId="385DCB1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3AA0" w14:paraId="454741AB" w14:textId="77777777">
      <w:r>
        <w:separator/>
      </w:r>
    </w:p>
  </w:footnote>
  <w:footnote w:type="continuationSeparator" w:id="1">
    <w:p w:rsidR="001B3AA0" w14:paraId="2F63B245" w14:textId="77777777">
      <w:r>
        <w:continuationSeparator/>
      </w:r>
    </w:p>
  </w:footnote>
  <w:footnote w:type="continuationNotice" w:id="2">
    <w:p w:rsidR="001B3AA0" w14:paraId="7FFFB860" w14:textId="77777777"/>
  </w:footnote>
  <w:footnote w:id="3">
    <w:p w:rsidR="00B276FE" w:rsidRPr="007D00E8" w14:paraId="180BD9CC" w14:textId="77777777">
      <w:pPr>
        <w:pStyle w:val="FootnoteText"/>
        <w:rPr>
          <w:rFonts w:ascii="Times New Roman" w:hAnsi="Times New Roman" w:cs="Times New Roman"/>
        </w:rPr>
      </w:pPr>
      <w:r w:rsidRPr="00BE378B">
        <w:rPr>
          <w:rStyle w:val="FootnoteReference"/>
          <w:rFonts w:ascii="Times New Roman" w:hAnsi="Times New Roman" w:cs="Times New Roman"/>
        </w:rPr>
        <w:footnoteRef/>
      </w:r>
      <w:r w:rsidRPr="00BE378B">
        <w:rPr>
          <w:rFonts w:ascii="Times New Roman" w:hAnsi="Times New Roman" w:cs="Times New Roman"/>
        </w:rPr>
        <w:t xml:space="preserve"> Reference to state On-Site Consultation programs</w:t>
      </w:r>
      <w:r>
        <w:rPr>
          <w:rFonts w:ascii="Times New Roman" w:hAnsi="Times New Roman" w:cs="Times New Roman"/>
        </w:rPr>
        <w:t xml:space="preserve"> in this document</w:t>
      </w:r>
      <w:r w:rsidRPr="00BE378B">
        <w:rPr>
          <w:rFonts w:ascii="Times New Roman" w:hAnsi="Times New Roman" w:cs="Times New Roman"/>
        </w:rPr>
        <w:t xml:space="preserve"> also includes Consultation programs in United States territories.</w:t>
      </w:r>
    </w:p>
  </w:footnote>
  <w:footnote w:id="4">
    <w:p w:rsidR="00B276FE" w:rsidRPr="00425F01" w:rsidP="008F4868" w14:paraId="19AF2D9F" w14:textId="77777777">
      <w:pPr>
        <w:pStyle w:val="FootnoteText"/>
        <w:rPr>
          <w:rFonts w:ascii="Times New Roman" w:hAnsi="Times New Roman" w:cs="Times New Roman"/>
        </w:rPr>
      </w:pPr>
      <w:r w:rsidRPr="00425F01">
        <w:rPr>
          <w:rStyle w:val="FootnoteReference"/>
          <w:rFonts w:ascii="Times New Roman" w:hAnsi="Times New Roman" w:cs="Times New Roman"/>
        </w:rPr>
        <w:footnoteRef/>
      </w:r>
      <w:r w:rsidRPr="00425F01">
        <w:rPr>
          <w:rFonts w:ascii="Times New Roman" w:hAnsi="Times New Roman" w:cs="Times New Roman"/>
        </w:rPr>
        <w:t xml:space="preserve"> “Leading indicators are measures intended to predict the occurrence of events in the future.  Leading indicators are proactive, preventative and predictive measures that provide information about the effective performance of safety and health program activities that can drive the control of workplace hazards.  While lagging indicators are measures of the occurrence and frequency of events in the past such as the number and rates of injuries, illnesses, and fatalities” (- </w:t>
      </w:r>
      <w:hyperlink r:id="rId1" w:history="1">
        <w:r w:rsidRPr="00425F01">
          <w:rPr>
            <w:rStyle w:val="Hyperlink"/>
            <w:rFonts w:ascii="Times New Roman" w:hAnsi="Times New Roman" w:cs="Times New Roman"/>
          </w:rPr>
          <w:t>OSHA’s Recommended Practices for Safety and Health Programs</w:t>
        </w:r>
      </w:hyperlink>
      <w:r w:rsidRPr="00425F01">
        <w:rPr>
          <w:rFonts w:ascii="Times New Roman" w:hAnsi="Times New Roman" w:cs="Times New Roman"/>
        </w:rPr>
        <w:t>).</w:t>
      </w:r>
    </w:p>
  </w:footnote>
  <w:footnote w:id="5">
    <w:p w:rsidR="00BE1832" w:rsidRPr="003479EC" w:rsidP="00BE1832" w14:paraId="7075DD50" w14:textId="77777777">
      <w:pPr>
        <w:pStyle w:val="FootnoteText"/>
        <w:rPr>
          <w:rFonts w:ascii="Times New Roman" w:hAnsi="Times New Roman" w:cs="Times New Roman"/>
        </w:rPr>
      </w:pPr>
      <w:r w:rsidRPr="00831496">
        <w:rPr>
          <w:rStyle w:val="FootnoteReference"/>
          <w:rFonts w:ascii="Times New Roman" w:hAnsi="Times New Roman" w:cs="Times New Roman"/>
        </w:rPr>
        <w:footnoteRef/>
      </w:r>
      <w:r w:rsidRPr="00831496">
        <w:rPr>
          <w:rFonts w:ascii="Times New Roman" w:hAnsi="Times New Roman" w:cs="Times New Roman"/>
        </w:rPr>
        <w:t xml:space="preserve"> The Prospective Analysis will not involve a list of hazards because </w:t>
      </w:r>
      <w:r>
        <w:rPr>
          <w:rFonts w:ascii="Times New Roman" w:hAnsi="Times New Roman" w:cs="Times New Roman"/>
        </w:rPr>
        <w:t>it will</w:t>
      </w:r>
      <w:r w:rsidRPr="00831496">
        <w:rPr>
          <w:rFonts w:ascii="Times New Roman" w:hAnsi="Times New Roman" w:cs="Times New Roman"/>
        </w:rPr>
        <w:t xml:space="preserve"> not include consultation visits to assess </w:t>
      </w:r>
      <w:r w:rsidRPr="003479EC">
        <w:rPr>
          <w:rFonts w:ascii="Times New Roman" w:hAnsi="Times New Roman" w:cs="Times New Roman"/>
        </w:rPr>
        <w:t xml:space="preserve">workplaces.  </w:t>
      </w:r>
    </w:p>
  </w:footnote>
  <w:footnote w:id="6">
    <w:p w:rsidR="00991FB8" w14:paraId="74B83ADF" w14:textId="77777777">
      <w:pPr>
        <w:pStyle w:val="FootnoteText"/>
      </w:pPr>
      <w:r w:rsidRPr="00C7580B">
        <w:rPr>
          <w:rStyle w:val="FootnoteReference"/>
          <w:rFonts w:ascii="Times New Roman" w:hAnsi="Times New Roman" w:cs="Times New Roman"/>
        </w:rPr>
        <w:footnoteRef/>
      </w:r>
      <w:r w:rsidRPr="00C7580B">
        <w:rPr>
          <w:rFonts w:ascii="Times New Roman" w:hAnsi="Times New Roman" w:cs="Times New Roman"/>
        </w:rPr>
        <w:t xml:space="preserve"> OSHA has On-Site Consultation programs established by the 50 U.S. States and 3 U.S. Territories.</w:t>
      </w:r>
    </w:p>
  </w:footnote>
  <w:footnote w:id="7">
    <w:p w:rsidR="003A12BC" w:rsidRPr="00831496" w:rsidP="00831496" w14:paraId="5AB7841B" w14:textId="77777777">
      <w:pPr>
        <w:pStyle w:val="FootnoteText"/>
        <w:rPr>
          <w:rFonts w:ascii="Times New Roman" w:hAnsi="Times New Roman" w:cs="Times New Roman"/>
          <w:bCs/>
        </w:rPr>
      </w:pPr>
      <w:r w:rsidRPr="00831496">
        <w:rPr>
          <w:rStyle w:val="FootnoteReference"/>
          <w:rFonts w:ascii="Times New Roman" w:hAnsi="Times New Roman" w:cs="Times New Roman"/>
        </w:rPr>
        <w:footnoteRef/>
      </w:r>
      <w:r w:rsidRPr="00831496">
        <w:rPr>
          <w:rFonts w:ascii="Times New Roman" w:hAnsi="Times New Roman" w:cs="Times New Roman"/>
        </w:rPr>
        <w:t xml:space="preserve"> </w:t>
      </w:r>
      <w:r w:rsidRPr="00831496">
        <w:rPr>
          <w:rFonts w:ascii="Times New Roman" w:hAnsi="Times New Roman" w:cs="Times New Roman"/>
          <w:bCs/>
        </w:rPr>
        <w:t xml:space="preserve">The Agency categorizes respondents reflected in Table 1 as “State, Local and Tribal Governments” (i.e., consultants that will complete the DRF33 using information collected from employers’ workplaces).   </w:t>
      </w:r>
    </w:p>
    <w:p w:rsidR="003A12BC" w:rsidRPr="00831496" w14:paraId="4D53ECD4" w14:textId="77777777">
      <w:pPr>
        <w:pStyle w:val="FootnoteText"/>
        <w:rPr>
          <w:rFonts w:ascii="Times New Roman" w:hAnsi="Times New Roman" w:cs="Times New Roman"/>
        </w:rPr>
      </w:pPr>
    </w:p>
  </w:footnote>
  <w:footnote w:id="8">
    <w:p w:rsidR="0000168F" w:rsidRPr="00831496" w:rsidP="0000168F" w14:paraId="27B165DF" w14:textId="77777777">
      <w:pPr>
        <w:pStyle w:val="FootnoteText"/>
        <w:rPr>
          <w:rFonts w:ascii="Times New Roman" w:hAnsi="Times New Roman" w:cs="Times New Roman"/>
          <w:bCs/>
        </w:rPr>
      </w:pPr>
      <w:r w:rsidRPr="00831496">
        <w:rPr>
          <w:rStyle w:val="FootnoteReference"/>
          <w:rFonts w:ascii="Times New Roman" w:hAnsi="Times New Roman" w:cs="Times New Roman"/>
        </w:rPr>
        <w:footnoteRef/>
      </w:r>
      <w:r w:rsidRPr="00831496">
        <w:rPr>
          <w:rFonts w:ascii="Times New Roman" w:hAnsi="Times New Roman" w:cs="Times New Roman"/>
        </w:rPr>
        <w:t xml:space="preserve"> </w:t>
      </w:r>
      <w:r>
        <w:rPr>
          <w:rFonts w:ascii="Times New Roman" w:hAnsi="Times New Roman" w:cs="Times New Roman"/>
        </w:rPr>
        <w:t xml:space="preserve">Originally, OSHA estimated engaging 200 consultants to conduct 300 pilot workplace consultation visits </w:t>
      </w:r>
      <w:r>
        <w:rPr>
          <w:rFonts w:ascii="Times New Roman" w:hAnsi="Times New Roman" w:cs="Times New Roman"/>
          <w:bCs/>
        </w:rPr>
        <w:t xml:space="preserve">(i.e., an estimate of 20 consultants from each of the 10 regions), </w:t>
      </w:r>
      <w:r w:rsidR="009A7CBB">
        <w:rPr>
          <w:rFonts w:ascii="Times New Roman" w:hAnsi="Times New Roman" w:cs="Times New Roman"/>
          <w:bCs/>
        </w:rPr>
        <w:t xml:space="preserve">which </w:t>
      </w:r>
      <w:r>
        <w:rPr>
          <w:rFonts w:ascii="Times New Roman" w:hAnsi="Times New Roman" w:cs="Times New Roman"/>
          <w:bCs/>
        </w:rPr>
        <w:t>would result in 350 SHP assessments</w:t>
      </w:r>
      <w:r w:rsidRPr="00831496">
        <w:rPr>
          <w:rFonts w:ascii="Times New Roman" w:hAnsi="Times New Roman" w:cs="Times New Roman"/>
          <w:bCs/>
        </w:rPr>
        <w:t xml:space="preserve">; consultants participating in </w:t>
      </w:r>
      <w:r>
        <w:rPr>
          <w:rFonts w:ascii="Times New Roman" w:hAnsi="Times New Roman" w:cs="Times New Roman"/>
          <w:bCs/>
        </w:rPr>
        <w:t>the studies</w:t>
      </w:r>
      <w:r w:rsidRPr="00831496">
        <w:rPr>
          <w:rFonts w:ascii="Times New Roman" w:hAnsi="Times New Roman" w:cs="Times New Roman"/>
          <w:bCs/>
        </w:rPr>
        <w:t xml:space="preserve"> </w:t>
      </w:r>
      <w:r>
        <w:rPr>
          <w:rFonts w:ascii="Times New Roman" w:hAnsi="Times New Roman" w:cs="Times New Roman"/>
          <w:bCs/>
        </w:rPr>
        <w:t>were</w:t>
      </w:r>
      <w:r w:rsidRPr="00831496">
        <w:rPr>
          <w:rFonts w:ascii="Times New Roman" w:hAnsi="Times New Roman" w:cs="Times New Roman"/>
          <w:bCs/>
        </w:rPr>
        <w:t xml:space="preserve"> selected from </w:t>
      </w:r>
      <w:r>
        <w:rPr>
          <w:rFonts w:ascii="Times New Roman" w:hAnsi="Times New Roman" w:cs="Times New Roman"/>
          <w:bCs/>
        </w:rPr>
        <w:t>a pool of trained consultants</w:t>
      </w:r>
      <w:r w:rsidRPr="00831496">
        <w:rPr>
          <w:rFonts w:ascii="Times New Roman" w:hAnsi="Times New Roman" w:cs="Times New Roman"/>
          <w:bCs/>
        </w:rPr>
        <w:t>.</w:t>
      </w:r>
      <w:r>
        <w:rPr>
          <w:rFonts w:ascii="Times New Roman" w:hAnsi="Times New Roman" w:cs="Times New Roman"/>
          <w:bCs/>
        </w:rPr>
        <w:t xml:space="preserve">  OSHA estimates engaging an average of 20 consultants to conduct the remaining pilot consultation visits (with 19 workplace consultation visits allocated to 1 region).</w:t>
      </w:r>
    </w:p>
    <w:p w:rsidR="0000168F" w:rsidRPr="0054195D" w:rsidP="0000168F" w14:paraId="5B9DE238" w14:textId="77777777">
      <w:pPr>
        <w:pStyle w:val="FootnoteText"/>
        <w:rPr>
          <w:rFonts w:ascii="Times New Roman" w:hAnsi="Times New Roman" w:cs="Times New Roman"/>
        </w:rPr>
      </w:pPr>
    </w:p>
  </w:footnote>
  <w:footnote w:id="9">
    <w:p w:rsidR="003A12BC" w14:paraId="52FC5FC0" w14:textId="77777777">
      <w:pPr>
        <w:pStyle w:val="FootnoteText"/>
      </w:pPr>
      <w:r w:rsidRPr="0054195D">
        <w:rPr>
          <w:rStyle w:val="FootnoteReference"/>
          <w:rFonts w:ascii="Times New Roman" w:hAnsi="Times New Roman" w:cs="Times New Roman"/>
        </w:rPr>
        <w:footnoteRef/>
      </w:r>
      <w:r w:rsidRPr="0054195D">
        <w:rPr>
          <w:rFonts w:ascii="Times New Roman" w:hAnsi="Times New Roman" w:cs="Times New Roman"/>
        </w:rPr>
        <w:t xml:space="preserve"> Although </w:t>
      </w:r>
      <w:r>
        <w:rPr>
          <w:rFonts w:ascii="Times New Roman" w:hAnsi="Times New Roman" w:cs="Times New Roman"/>
        </w:rPr>
        <w:t xml:space="preserve">a total of </w:t>
      </w:r>
      <w:r w:rsidR="001B7C46">
        <w:rPr>
          <w:rFonts w:ascii="Times New Roman" w:hAnsi="Times New Roman" w:cs="Times New Roman"/>
        </w:rPr>
        <w:t>20</w:t>
      </w:r>
      <w:r w:rsidR="00227582">
        <w:rPr>
          <w:rFonts w:ascii="Times New Roman" w:hAnsi="Times New Roman" w:cs="Times New Roman"/>
        </w:rPr>
        <w:t xml:space="preserve"> pilot</w:t>
      </w:r>
      <w:r w:rsidRPr="0054195D" w:rsidR="001B7C46">
        <w:rPr>
          <w:rFonts w:ascii="Times New Roman" w:hAnsi="Times New Roman" w:cs="Times New Roman"/>
        </w:rPr>
        <w:t xml:space="preserve"> </w:t>
      </w:r>
      <w:r w:rsidRPr="0054195D">
        <w:rPr>
          <w:rFonts w:ascii="Times New Roman" w:hAnsi="Times New Roman" w:cs="Times New Roman"/>
        </w:rPr>
        <w:t>workplace</w:t>
      </w:r>
      <w:r w:rsidR="00227582">
        <w:rPr>
          <w:rFonts w:ascii="Times New Roman" w:hAnsi="Times New Roman" w:cs="Times New Roman"/>
        </w:rPr>
        <w:t xml:space="preserve"> consultation visits</w:t>
      </w:r>
      <w:r w:rsidRPr="0054195D">
        <w:rPr>
          <w:rFonts w:ascii="Times New Roman" w:hAnsi="Times New Roman" w:cs="Times New Roman"/>
        </w:rPr>
        <w:t xml:space="preserve"> will be </w:t>
      </w:r>
      <w:r w:rsidR="00227582">
        <w:rPr>
          <w:rFonts w:ascii="Times New Roman" w:hAnsi="Times New Roman" w:cs="Times New Roman"/>
        </w:rPr>
        <w:t>conducted</w:t>
      </w:r>
      <w:r w:rsidRPr="0054195D">
        <w:rPr>
          <w:rFonts w:ascii="Times New Roman" w:hAnsi="Times New Roman" w:cs="Times New Roman"/>
        </w:rPr>
        <w:t>,</w:t>
      </w:r>
      <w:r w:rsidR="00227582">
        <w:rPr>
          <w:rFonts w:ascii="Times New Roman" w:hAnsi="Times New Roman" w:cs="Times New Roman"/>
        </w:rPr>
        <w:t xml:space="preserve"> 4 of those workplaces will result in 2 SHP assessments each for the inter-rater study</w:t>
      </w:r>
      <w:r w:rsidR="00F24D1B">
        <w:rPr>
          <w:rFonts w:ascii="Times New Roman" w:hAnsi="Times New Roman" w:cs="Times New Roman"/>
        </w:rPr>
        <w:t xml:space="preserve"> (instead of 1 each)</w:t>
      </w:r>
      <w:r w:rsidR="00227582">
        <w:rPr>
          <w:rFonts w:ascii="Times New Roman" w:hAnsi="Times New Roman" w:cs="Times New Roman"/>
        </w:rPr>
        <w:t xml:space="preserve">, yielding a total of 24 SHP assessments; and there will be 30 follow-up workplace consultation visits that will result in 30 SHP assessments from 30 workplaces.  Therefore, a total of 50 workplace consultation visits will result </w:t>
      </w:r>
      <w:r w:rsidR="009A7CBB">
        <w:rPr>
          <w:rFonts w:ascii="Times New Roman" w:hAnsi="Times New Roman" w:cs="Times New Roman"/>
        </w:rPr>
        <w:t xml:space="preserve">in </w:t>
      </w:r>
      <w:r w:rsidRPr="0054195D" w:rsidR="009A7CBB">
        <w:rPr>
          <w:rFonts w:ascii="Times New Roman" w:hAnsi="Times New Roman" w:cs="Times New Roman"/>
        </w:rPr>
        <w:t>54</w:t>
      </w:r>
      <w:r w:rsidR="00227582">
        <w:rPr>
          <w:rFonts w:ascii="Times New Roman" w:hAnsi="Times New Roman" w:cs="Times New Roman"/>
        </w:rPr>
        <w:t xml:space="preserve"> </w:t>
      </w:r>
      <w:r w:rsidRPr="007B1A6E">
        <w:rPr>
          <w:rFonts w:ascii="Times New Roman" w:hAnsi="Times New Roman" w:cs="Times New Roman"/>
          <w:u w:val="single"/>
        </w:rPr>
        <w:t>SHP assessments</w:t>
      </w:r>
      <w:r w:rsidRPr="0054195D">
        <w:rPr>
          <w:rFonts w:ascii="Times New Roman" w:hAnsi="Times New Roman" w:cs="Times New Roman"/>
        </w:rPr>
        <w:t>.</w:t>
      </w:r>
    </w:p>
  </w:footnote>
  <w:footnote w:id="10">
    <w:p w:rsidR="006D49AD" w:rsidRPr="00831496" w:rsidP="00A04C23" w14:paraId="36F227AF" w14:textId="77777777">
      <w:pPr>
        <w:pStyle w:val="FootnoteText"/>
        <w:rPr>
          <w:rFonts w:ascii="Times New Roman" w:hAnsi="Times New Roman" w:cs="Times New Roman"/>
          <w:bCs/>
        </w:rPr>
      </w:pPr>
      <w:r w:rsidRPr="00831496">
        <w:rPr>
          <w:rStyle w:val="FootnoteReference"/>
          <w:rFonts w:ascii="Times New Roman" w:hAnsi="Times New Roman" w:cs="Times New Roman"/>
        </w:rPr>
        <w:footnoteRef/>
      </w:r>
      <w:r w:rsidRPr="00831496">
        <w:rPr>
          <w:rFonts w:ascii="Times New Roman" w:hAnsi="Times New Roman" w:cs="Times New Roman"/>
        </w:rPr>
        <w:t xml:space="preserve"> </w:t>
      </w:r>
      <w:r w:rsidRPr="00831496">
        <w:rPr>
          <w:rFonts w:ascii="Times New Roman" w:hAnsi="Times New Roman" w:cs="Times New Roman"/>
          <w:bCs/>
        </w:rPr>
        <w:t>OSHA estimates that only 5% of the total 350 workplaces that will be visited will receive compliance inspections.</w:t>
      </w:r>
    </w:p>
    <w:p w:rsidR="006D49AD" w14:paraId="02E943BD" w14:textId="77777777">
      <w:pPr>
        <w:pStyle w:val="FootnoteText"/>
      </w:pPr>
    </w:p>
  </w:footnote>
  <w:footnote w:id="11">
    <w:p w:rsidR="00B276FE" w:rsidRPr="00831496" w:rsidP="00AA2D32" w14:paraId="49D850FF" w14:textId="77777777">
      <w:pPr>
        <w:pStyle w:val="FootnoteText"/>
        <w:rPr>
          <w:rFonts w:ascii="Times New Roman" w:hAnsi="Times New Roman" w:cs="Times New Roman"/>
          <w:bCs/>
        </w:rPr>
      </w:pPr>
      <w:r w:rsidRPr="00831496">
        <w:rPr>
          <w:rStyle w:val="FootnoteReference"/>
          <w:rFonts w:ascii="Times New Roman" w:hAnsi="Times New Roman" w:cs="Times New Roman"/>
        </w:rPr>
        <w:footnoteRef/>
      </w:r>
      <w:r w:rsidRPr="00831496">
        <w:rPr>
          <w:rFonts w:ascii="Times New Roman" w:hAnsi="Times New Roman" w:cs="Times New Roman"/>
        </w:rPr>
        <w:t xml:space="preserve"> </w:t>
      </w:r>
      <w:r w:rsidRPr="00831496">
        <w:rPr>
          <w:rFonts w:ascii="Times New Roman" w:hAnsi="Times New Roman" w:cs="Times New Roman"/>
          <w:bCs/>
        </w:rPr>
        <w:t xml:space="preserve">The Agency categorizes respondents reflected in Table 1 as “State, Local and Tribal Governments” (i.e., consultants that will complete the DRF33 using information collected from employers’ workplaces).   </w:t>
      </w:r>
    </w:p>
    <w:p w:rsidR="00B276FE" w:rsidRPr="00831496" w:rsidP="00AA2D32" w14:paraId="0AA82E58" w14:textId="77777777">
      <w:pPr>
        <w:pStyle w:val="FootnoteText"/>
        <w:rPr>
          <w:rFonts w:ascii="Times New Roman" w:hAnsi="Times New Roman" w:cs="Times New Roman"/>
        </w:rPr>
      </w:pPr>
    </w:p>
  </w:footnote>
  <w:footnote w:id="12">
    <w:p w:rsidR="00B276FE" w:rsidRPr="00831496" w:rsidP="00AA2D32" w14:paraId="71069911" w14:textId="77777777">
      <w:pPr>
        <w:pStyle w:val="FootnoteText"/>
        <w:rPr>
          <w:rFonts w:ascii="Times New Roman" w:hAnsi="Times New Roman" w:cs="Times New Roman"/>
          <w:bCs/>
        </w:rPr>
      </w:pPr>
      <w:r w:rsidRPr="00831496">
        <w:rPr>
          <w:rStyle w:val="FootnoteReference"/>
          <w:rFonts w:ascii="Times New Roman" w:hAnsi="Times New Roman" w:cs="Times New Roman"/>
        </w:rPr>
        <w:footnoteRef/>
      </w:r>
      <w:r w:rsidRPr="00831496">
        <w:rPr>
          <w:rFonts w:ascii="Times New Roman" w:hAnsi="Times New Roman" w:cs="Times New Roman"/>
        </w:rPr>
        <w:t xml:space="preserve"> </w:t>
      </w:r>
      <w:r w:rsidRPr="00831496">
        <w:rPr>
          <w:rFonts w:ascii="Times New Roman" w:hAnsi="Times New Roman" w:cs="Times New Roman"/>
          <w:bCs/>
        </w:rPr>
        <w:t xml:space="preserve">OSHA will engage </w:t>
      </w:r>
      <w:r>
        <w:rPr>
          <w:rFonts w:ascii="Times New Roman" w:hAnsi="Times New Roman" w:cs="Times New Roman"/>
          <w:bCs/>
        </w:rPr>
        <w:t>a minimum of</w:t>
      </w:r>
      <w:r w:rsidRPr="00831496">
        <w:rPr>
          <w:rFonts w:ascii="Times New Roman" w:hAnsi="Times New Roman" w:cs="Times New Roman"/>
          <w:bCs/>
        </w:rPr>
        <w:t xml:space="preserve"> 200 consultants</w:t>
      </w:r>
      <w:r w:rsidR="005A21B0">
        <w:rPr>
          <w:rFonts w:ascii="Times New Roman" w:hAnsi="Times New Roman" w:cs="Times New Roman"/>
          <w:bCs/>
        </w:rPr>
        <w:t xml:space="preserve"> selected from a pool of trained consultants</w:t>
      </w:r>
      <w:r w:rsidRPr="00831496">
        <w:rPr>
          <w:rFonts w:ascii="Times New Roman" w:hAnsi="Times New Roman" w:cs="Times New Roman"/>
          <w:bCs/>
        </w:rPr>
        <w:t xml:space="preserve"> to participate in the </w:t>
      </w:r>
      <w:r w:rsidR="002B2A8A">
        <w:rPr>
          <w:rFonts w:ascii="Times New Roman" w:hAnsi="Times New Roman" w:cs="Times New Roman"/>
          <w:bCs/>
        </w:rPr>
        <w:t>Prospective Analysis</w:t>
      </w:r>
      <w:r w:rsidR="005A21B0">
        <w:rPr>
          <w:rFonts w:ascii="Times New Roman" w:hAnsi="Times New Roman" w:cs="Times New Roman"/>
          <w:bCs/>
        </w:rPr>
        <w:t>;</w:t>
      </w:r>
      <w:r w:rsidR="003327D2">
        <w:rPr>
          <w:rFonts w:ascii="Times New Roman" w:hAnsi="Times New Roman" w:cs="Times New Roman"/>
          <w:bCs/>
        </w:rPr>
        <w:t xml:space="preserve"> consultants participat</w:t>
      </w:r>
      <w:r w:rsidR="00A65AE7">
        <w:rPr>
          <w:rFonts w:ascii="Times New Roman" w:hAnsi="Times New Roman" w:cs="Times New Roman"/>
          <w:bCs/>
        </w:rPr>
        <w:t>ing</w:t>
      </w:r>
      <w:r w:rsidR="003327D2">
        <w:rPr>
          <w:rFonts w:ascii="Times New Roman" w:hAnsi="Times New Roman" w:cs="Times New Roman"/>
          <w:bCs/>
        </w:rPr>
        <w:t xml:space="preserve"> in other aspects of the study will be</w:t>
      </w:r>
      <w:r w:rsidR="00A65AE7">
        <w:rPr>
          <w:rFonts w:ascii="Times New Roman" w:hAnsi="Times New Roman" w:cs="Times New Roman"/>
          <w:bCs/>
        </w:rPr>
        <w:t xml:space="preserve"> selected from this pool</w:t>
      </w:r>
      <w:r w:rsidRPr="00831496">
        <w:rPr>
          <w:rFonts w:ascii="Times New Roman" w:hAnsi="Times New Roman" w:cs="Times New Roman"/>
          <w:bCs/>
        </w:rPr>
        <w:t>.</w:t>
      </w:r>
    </w:p>
    <w:p w:rsidR="00B276FE" w:rsidRPr="00831496" w:rsidP="00AA2D32" w14:paraId="252B1CBC" w14:textId="77777777">
      <w:pPr>
        <w:pStyle w:val="FootnoteText"/>
        <w:rPr>
          <w:rFonts w:ascii="Times New Roman" w:hAnsi="Times New Roman" w:cs="Times New Roman"/>
        </w:rPr>
      </w:pPr>
    </w:p>
  </w:footnote>
  <w:footnote w:id="13">
    <w:p w:rsidR="00B617ED" w14:paraId="01FA2002" w14:textId="77777777"/>
  </w:footnote>
  <w:footnote w:id="14">
    <w:p w:rsidR="0064235A" w:rsidP="0064235A" w14:paraId="73AA99AE" w14:textId="77777777">
      <w:pPr>
        <w:pStyle w:val="FootnoteText"/>
      </w:pPr>
      <w:r w:rsidRPr="00902DF7">
        <w:rPr>
          <w:rStyle w:val="FootnoteReference"/>
          <w:rFonts w:ascii="Times New Roman" w:hAnsi="Times New Roman" w:cs="Times New Roman"/>
        </w:rPr>
        <w:footnoteRef/>
      </w:r>
      <w:r w:rsidRPr="00902DF7">
        <w:rPr>
          <w:rFonts w:ascii="Times New Roman" w:hAnsi="Times New Roman" w:cs="Times New Roman"/>
        </w:rPr>
        <w:t xml:space="preserve"> Total </w:t>
      </w:r>
      <w:r w:rsidR="00005AB6">
        <w:rPr>
          <w:rFonts w:ascii="Times New Roman" w:hAnsi="Times New Roman" w:cs="Times New Roman"/>
        </w:rPr>
        <w:t xml:space="preserve">estimated </w:t>
      </w:r>
      <w:r w:rsidRPr="00902DF7">
        <w:rPr>
          <w:rFonts w:ascii="Times New Roman" w:hAnsi="Times New Roman" w:cs="Times New Roman"/>
        </w:rPr>
        <w:t>pool of consultants that will participate in the Pilot Study is 200</w:t>
      </w:r>
      <w:r w:rsidR="00F958FE">
        <w:rPr>
          <w:rFonts w:ascii="Times New Roman" w:hAnsi="Times New Roman" w:cs="Times New Roman"/>
        </w:rPr>
        <w:t xml:space="preserve"> (i.e., to collect data for the Prospective Analysis and SHP assessments)</w:t>
      </w:r>
      <w:r w:rsidR="004774E5">
        <w:rPr>
          <w:rFonts w:ascii="Times New Roman" w:hAnsi="Times New Roman" w:cs="Times New Roman"/>
        </w:rPr>
        <w:t>, with a maximum of 3 consultation program managers</w:t>
      </w:r>
      <w:r w:rsidR="00037A1C">
        <w:rPr>
          <w:rFonts w:ascii="Times New Roman" w:hAnsi="Times New Roman" w:cs="Times New Roman"/>
        </w:rPr>
        <w:t xml:space="preserve"> (CPMs) responding to “visit in progress” inquiry</w:t>
      </w:r>
      <w:r>
        <w:rPr>
          <w:rFonts w:ascii="Times New Roman" w:hAnsi="Times New Roman" w:cs="Times New Roman"/>
        </w:rPr>
        <w:t xml:space="preserve">; and a </w:t>
      </w:r>
      <w:r w:rsidR="00274A3C">
        <w:rPr>
          <w:rFonts w:ascii="Times New Roman" w:hAnsi="Times New Roman" w:cs="Times New Roman"/>
        </w:rPr>
        <w:t>t</w:t>
      </w:r>
      <w:r w:rsidRPr="00144816">
        <w:rPr>
          <w:rFonts w:ascii="Times New Roman" w:hAnsi="Times New Roman" w:cs="Times New Roman"/>
        </w:rPr>
        <w:t>otal pool of 300 employers based on 300 workplaces that will receive pilot study consultation visits</w:t>
      </w:r>
      <w:r>
        <w:rPr>
          <w:rFonts w:ascii="Times New Roman" w:hAnsi="Times New Roman" w:cs="Times New Roman"/>
        </w:rPr>
        <w:t>.</w:t>
      </w:r>
    </w:p>
    <w:p w:rsidR="00C24C15" w14:paraId="72D6A7D0" w14:textId="77777777">
      <w:pPr>
        <w:pStyle w:val="FootnoteText"/>
      </w:pPr>
    </w:p>
  </w:footnote>
  <w:footnote w:id="15">
    <w:p w:rsidR="005C65D9" w:rsidRPr="00F25ED7" w:rsidP="005C65D9" w14:paraId="2FF0D438" w14:textId="77777777">
      <w:pPr>
        <w:pStyle w:val="FootnoteText"/>
        <w:rPr>
          <w:rFonts w:cstheme="minorHAnsi"/>
        </w:rPr>
      </w:pPr>
      <w:r>
        <w:rPr>
          <w:rStyle w:val="FootnoteReference"/>
        </w:rPr>
        <w:footnoteRef/>
      </w:r>
      <w:r>
        <w:t xml:space="preserve"> </w:t>
      </w:r>
      <w:r w:rsidRPr="00F25ED7">
        <w:rPr>
          <w:rFonts w:cstheme="minorHAnsi"/>
        </w:rPr>
        <w:t xml:space="preserve">Note that because this is a linear transformation of each traditional core element score, it will not affect any of the analyses of DRF33 core element scores proposed herein in a fundamental way. The statistical significance and interpretation of such analytical results will be identical to those that would be obtained had this standardization not been done.  However, the standardization will allow interested parties to more readily interpret and compare results across core elements.  Thus, it allows for </w:t>
      </w:r>
      <w:r>
        <w:rPr>
          <w:rFonts w:cstheme="minorHAnsi"/>
        </w:rPr>
        <w:t>comparing</w:t>
      </w:r>
      <w:r w:rsidRPr="00F25ED7">
        <w:rPr>
          <w:rFonts w:cstheme="minorHAnsi"/>
        </w:rPr>
        <w:t xml:space="preserve"> a core element “profile” among workplaces.  </w:t>
      </w:r>
    </w:p>
    <w:p w:rsidR="005C65D9" w:rsidP="005C65D9" w14:paraId="450A3359" w14:textId="77777777">
      <w:pPr>
        <w:pStyle w:val="FootnoteText"/>
      </w:pPr>
    </w:p>
  </w:footnote>
  <w:footnote w:id="16">
    <w:p w:rsidR="0008353D" w:rsidP="0008353D" w14:paraId="3360B05B" w14:textId="77777777">
      <w:pPr>
        <w:pStyle w:val="FootnoteText"/>
        <w:rPr>
          <w:rFonts w:ascii="Times New Roman" w:hAnsi="Times New Roman"/>
          <w:bCs/>
        </w:rPr>
      </w:pPr>
      <w:r>
        <w:rPr>
          <w:rStyle w:val="FootnoteReference"/>
          <w:rFonts w:ascii="Times New Roman" w:hAnsi="Times New Roman"/>
        </w:rPr>
        <w:footnoteRef/>
      </w:r>
      <w:r>
        <w:rPr>
          <w:rFonts w:ascii="Times New Roman" w:hAnsi="Times New Roman"/>
        </w:rPr>
        <w:t xml:space="preserve"> </w:t>
      </w:r>
      <w:r>
        <w:rPr>
          <w:rFonts w:ascii="Times New Roman" w:hAnsi="Times New Roman"/>
          <w:bCs/>
        </w:rPr>
        <w:t xml:space="preserve">The Agency categorizes respondents reflected in Table 1 as “State, Local and Tribal Governments” (i.e., consultants that will complete the DRF33 using information collected from employers’ workplaces).   </w:t>
      </w:r>
    </w:p>
    <w:p w:rsidR="0008353D" w:rsidP="0008353D" w14:paraId="1F5A506D" w14:textId="77777777">
      <w:pPr>
        <w:pStyle w:val="FootnoteText"/>
        <w:rPr>
          <w:rFonts w:ascii="Times New Roman" w:hAnsi="Times New Roman"/>
        </w:rPr>
      </w:pPr>
    </w:p>
  </w:footnote>
  <w:footnote w:id="17">
    <w:p w:rsidR="0008353D" w:rsidP="0008353D" w14:paraId="66CC365E" w14:textId="77777777">
      <w:pPr>
        <w:pStyle w:val="FootnoteText"/>
        <w:rPr>
          <w:rFonts w:ascii="Times New Roman" w:hAnsi="Times New Roman"/>
          <w:bCs/>
        </w:rPr>
      </w:pPr>
      <w:r>
        <w:rPr>
          <w:rStyle w:val="FootnoteReference"/>
          <w:rFonts w:ascii="Times New Roman" w:hAnsi="Times New Roman"/>
        </w:rPr>
        <w:footnoteRef/>
      </w:r>
      <w:r>
        <w:rPr>
          <w:rFonts w:ascii="Times New Roman" w:hAnsi="Times New Roman"/>
        </w:rPr>
        <w:t xml:space="preserve"> </w:t>
      </w:r>
      <w:r>
        <w:rPr>
          <w:rFonts w:ascii="Times New Roman" w:hAnsi="Times New Roman"/>
          <w:bCs/>
        </w:rPr>
        <w:t>OSHA will engage 200 consultants to participate in the studies; consultants participating in the studies will be selected from a pool of trained consultants.</w:t>
      </w:r>
    </w:p>
    <w:p w:rsidR="0008353D" w:rsidP="0008353D" w14:paraId="434EAD02" w14:textId="77777777">
      <w:pPr>
        <w:pStyle w:val="FootnoteText"/>
        <w:rPr>
          <w:rFonts w:ascii="Times New Roman" w:hAnsi="Times New Roman"/>
        </w:rPr>
      </w:pPr>
    </w:p>
  </w:footnote>
  <w:footnote w:id="18">
    <w:p w:rsidR="0008353D" w:rsidP="0008353D" w14:paraId="3C4FFF0B" w14:textId="77777777">
      <w:pPr>
        <w:pStyle w:val="FootnoteText"/>
        <w:rPr>
          <w:rFonts w:ascii="Calibri" w:hAnsi="Calibri"/>
        </w:rPr>
      </w:pPr>
      <w:r>
        <w:rPr>
          <w:rStyle w:val="FootnoteReference"/>
          <w:rFonts w:ascii="Times New Roman" w:hAnsi="Times New Roman"/>
        </w:rPr>
        <w:footnoteRef/>
      </w:r>
      <w:r>
        <w:rPr>
          <w:rFonts w:ascii="Times New Roman" w:hAnsi="Times New Roman"/>
        </w:rPr>
        <w:t xml:space="preserve"> Although a total of 300 workplaces will be visited for the Pilot Study, 50 of those workplaces will involve two (2) consultants conducting SHP assessments for the inter-rater reliability evaluation resulting in </w:t>
      </w:r>
      <w:r>
        <w:rPr>
          <w:rFonts w:ascii="Times New Roman" w:hAnsi="Times New Roman"/>
          <w:u w:val="single"/>
        </w:rPr>
        <w:t>350 SHP assessments</w:t>
      </w:r>
      <w:r>
        <w:rPr>
          <w:rFonts w:ascii="Times New Roman" w:hAnsi="Times New Roman"/>
        </w:rPr>
        <w:t xml:space="preserve"> for the 300 workplaces that will be visited.</w:t>
      </w:r>
    </w:p>
  </w:footnote>
  <w:footnote w:id="19">
    <w:p w:rsidR="0008353D" w:rsidP="0008353D" w14:paraId="63F81040"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 total of 300 workplaces will be visited for the Pilot Study resulting in a total of </w:t>
      </w:r>
      <w:r>
        <w:rPr>
          <w:rFonts w:ascii="Times New Roman" w:hAnsi="Times New Roman"/>
          <w:u w:val="single"/>
        </w:rPr>
        <w:t>300 Written Reports to the Employer</w:t>
      </w:r>
      <w:r>
        <w:rPr>
          <w:rFonts w:ascii="Times New Roman" w:hAnsi="Times New Roman"/>
        </w:rPr>
        <w:t xml:space="preserve"> (although 50 of those workplaces will involve two (2) consultants conducting SHP assessments for the inter-rater reliability evaluation, resulting in 350 SHP assessments for the 300 workplaces that will be visited).</w:t>
      </w:r>
      <w:r>
        <w:t xml:space="preserve">  </w:t>
      </w:r>
      <w:r>
        <w:rPr>
          <w:rFonts w:ascii="Times New Roman" w:hAnsi="Times New Roman"/>
        </w:rPr>
        <w:t xml:space="preserve">The inter-rater reliability study will </w:t>
      </w:r>
      <w:r>
        <w:rPr>
          <w:rFonts w:ascii="Times New Roman" w:hAnsi="Times New Roman"/>
          <w:u w:val="single"/>
        </w:rPr>
        <w:t>not</w:t>
      </w:r>
      <w:r>
        <w:rPr>
          <w:rFonts w:ascii="Times New Roman" w:hAnsi="Times New Roman"/>
        </w:rPr>
        <w:t xml:space="preserve"> be performed for the pre-test and follow-up.</w:t>
      </w:r>
    </w:p>
  </w:footnote>
  <w:footnote w:id="20">
    <w:p w:rsidR="0008353D" w:rsidP="0008353D" w14:paraId="3E945D7D" w14:textId="77777777">
      <w:pPr>
        <w:pStyle w:val="FootnoteText"/>
        <w:rPr>
          <w:rFonts w:ascii="Times New Roman" w:hAnsi="Times New Roman"/>
          <w:bCs/>
        </w:rPr>
      </w:pPr>
      <w:r>
        <w:rPr>
          <w:rStyle w:val="FootnoteReference"/>
          <w:rFonts w:ascii="Times New Roman" w:hAnsi="Times New Roman"/>
        </w:rPr>
        <w:footnoteRef/>
      </w:r>
      <w:r>
        <w:rPr>
          <w:rFonts w:ascii="Times New Roman" w:hAnsi="Times New Roman"/>
        </w:rPr>
        <w:t xml:space="preserve"> </w:t>
      </w:r>
      <w:r>
        <w:rPr>
          <w:rFonts w:ascii="Times New Roman" w:hAnsi="Times New Roman"/>
          <w:bCs/>
        </w:rPr>
        <w:t>OSHA estimates that only 5% of the total 350 workplaces that will be visited will receive compliance inspections.</w:t>
      </w:r>
    </w:p>
    <w:p w:rsidR="0008353D" w:rsidP="0008353D" w14:paraId="5CD35003" w14:textId="77777777">
      <w:pPr>
        <w:pStyle w:val="FootnoteText"/>
        <w:rPr>
          <w:rFonts w:ascii="Calibri" w:hAnsi="Calibri"/>
        </w:rPr>
      </w:pPr>
    </w:p>
  </w:footnote>
  <w:footnote w:id="21">
    <w:p w:rsidR="00A113D4" w:rsidP="00A113D4" w14:paraId="31B1677F" w14:textId="77777777">
      <w:pPr>
        <w:pStyle w:val="FootnoteText"/>
        <w:rPr>
          <w:rFonts w:ascii="Times New Roman" w:hAnsi="Times New Roman" w:cs="Times New Roman"/>
          <w:bC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 xml:space="preserve">The Agency categorizes respondents reflected in Table 1 as “State, Local and Tribal Governments” (i.e., consultants that will complete the DRF33 using information collected from employers’ workplaces).   </w:t>
      </w:r>
    </w:p>
    <w:p w:rsidR="00A113D4" w:rsidP="00A113D4" w14:paraId="7DDC35E5" w14:textId="77777777">
      <w:pPr>
        <w:pStyle w:val="FootnoteText"/>
        <w:rPr>
          <w:rFonts w:ascii="Times New Roman" w:hAnsi="Times New Roman" w:cs="Times New Roman"/>
        </w:rPr>
      </w:pPr>
    </w:p>
  </w:footnote>
  <w:footnote w:id="22">
    <w:p w:rsidR="00A113D4" w:rsidP="00A113D4" w14:paraId="040C8C54" w14:textId="77777777">
      <w:pPr>
        <w:pStyle w:val="FootnoteText"/>
        <w:rPr>
          <w:rFonts w:ascii="Times New Roman" w:hAnsi="Times New Roman" w:cs="Times New Roman"/>
          <w:bC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rPr>
        <w:t>OSHA will engage a minimum of 200 consultants to participate in the studies; consultants participating in the studies will be selected from a pool of trained consultants.</w:t>
      </w:r>
    </w:p>
    <w:p w:rsidR="00A113D4" w:rsidP="00A113D4" w14:paraId="707028FC" w14:textId="77777777">
      <w:pPr>
        <w:pStyle w:val="FootnoteText"/>
        <w:rPr>
          <w:rFonts w:ascii="Times New Roman" w:hAnsi="Times New Roman" w:cs="Times New Roman"/>
        </w:rPr>
      </w:pPr>
    </w:p>
  </w:footnote>
  <w:footnote w:id="23">
    <w:p w:rsidR="000D3A67" w:rsidP="000D3A67" w14:paraId="19E14DC6" w14:textId="77777777">
      <w:pPr>
        <w:pStyle w:val="FootnoteText"/>
        <w:rPr>
          <w:rFonts w:ascii="Times New Roman" w:hAnsi="Times New Roman"/>
        </w:rPr>
      </w:pPr>
      <w:r>
        <w:rPr>
          <w:rStyle w:val="FootnoteReference"/>
          <w:rFonts w:ascii="Times New Roman" w:hAnsi="Times New Roman"/>
          <w:sz w:val="22"/>
        </w:rPr>
        <w:footnoteRef/>
      </w:r>
      <w:r>
        <w:rPr>
          <w:rFonts w:ascii="Times New Roman" w:hAnsi="Times New Roman"/>
          <w:sz w:val="22"/>
          <w:vertAlign w:val="superscript"/>
        </w:rPr>
        <w:t xml:space="preserve"> </w:t>
      </w:r>
      <w:r>
        <w:rPr>
          <w:rFonts w:ascii="Times New Roman" w:hAnsi="Times New Roman"/>
        </w:rPr>
        <w:t>The Agency categorizes respondents reflected in Table 2 as “Private Sector – businesses or other for-profits.”</w:t>
      </w:r>
    </w:p>
    <w:p w:rsidR="000D3A67" w:rsidP="000D3A67" w14:paraId="73717314" w14:textId="77777777">
      <w:pPr>
        <w:pStyle w:val="FootnoteText"/>
        <w:rPr>
          <w:rFonts w:ascii="Calibri" w:hAnsi="Calibri"/>
        </w:rPr>
      </w:pPr>
    </w:p>
  </w:footnote>
  <w:footnote w:id="24">
    <w:p w:rsidR="00F93E2B" w:rsidP="00F93E2B" w14:paraId="6258B169"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This total represents the universe of 200 consultants plus the universe of 350 employers, resulting in a total of 550 respondents.</w:t>
      </w:r>
    </w:p>
    <w:p w:rsidR="00F34D42" w:rsidP="00F93E2B" w14:paraId="7F9AFFC1" w14:textId="77777777">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FA5" w14:paraId="28D41C82" w14:textId="77777777">
    <w:pPr>
      <w:pStyle w:val="Header"/>
      <w:rPr>
        <w:rFonts w:ascii="Times New Roman" w:hAnsi="Times New Roman"/>
        <w:sz w:val="20"/>
        <w:szCs w:val="20"/>
      </w:rPr>
    </w:pPr>
    <w:r>
      <w:rPr>
        <w:rFonts w:ascii="Times New Roman" w:hAnsi="Times New Roman"/>
        <w:sz w:val="20"/>
        <w:szCs w:val="20"/>
      </w:rPr>
      <w:t>Pilot Study and Prospective Analysis of the Draft Revised form 33, Safety and Health Program Assessment Worksheet</w:t>
    </w:r>
  </w:p>
  <w:p w:rsidR="008F37BD" w14:paraId="6C566C02" w14:textId="77777777">
    <w:pPr>
      <w:pStyle w:val="Header"/>
      <w:rPr>
        <w:rFonts w:ascii="Times New Roman" w:hAnsi="Times New Roman"/>
        <w:sz w:val="20"/>
        <w:szCs w:val="20"/>
      </w:rPr>
    </w:pPr>
    <w:r>
      <w:rPr>
        <w:rFonts w:ascii="Times New Roman" w:hAnsi="Times New Roman"/>
        <w:sz w:val="20"/>
        <w:szCs w:val="20"/>
      </w:rPr>
      <w:t>OMB Control Number 1218-0280</w:t>
    </w:r>
  </w:p>
  <w:p w:rsidR="008F37BD" w14:paraId="4A7A7F30" w14:textId="77777777">
    <w:pPr>
      <w:pStyle w:val="Header"/>
      <w:rPr>
        <w:rFonts w:ascii="Times New Roman" w:hAnsi="Times New Roman"/>
        <w:sz w:val="20"/>
        <w:szCs w:val="20"/>
      </w:rPr>
    </w:pPr>
    <w:r>
      <w:rPr>
        <w:rFonts w:ascii="Times New Roman" w:hAnsi="Times New Roman"/>
        <w:sz w:val="20"/>
        <w:szCs w:val="20"/>
      </w:rPr>
      <w:t>Expiration Date:  June 30, 2025</w:t>
    </w:r>
  </w:p>
  <w:p w:rsidR="00F80FA5" w14:paraId="586E350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6FE" w14:paraId="42B990E2" w14:textId="77777777">
    <w:pPr>
      <w:pStyle w:val="Header"/>
    </w:pPr>
    <w:r>
      <w:t>[Type text]</w:t>
    </w:r>
  </w:p>
  <w:p w:rsidR="00B276FE" w14:paraId="63F7F8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D4180"/>
    <w:multiLevelType w:val="hybridMultilevel"/>
    <w:tmpl w:val="4AB20148"/>
    <w:lvl w:ilvl="0">
      <w:start w:val="1"/>
      <w:numFmt w:val="decimal"/>
      <w:lvlText w:val="%1."/>
      <w:lvlJc w:val="left"/>
      <w:pPr>
        <w:ind w:left="2160" w:hanging="360"/>
      </w:pPr>
      <w:rPr>
        <w:rFonts w:hint="default"/>
      </w:rPr>
    </w:lvl>
    <w:lvl w:ilvl="1">
      <w:start w:val="1"/>
      <w:numFmt w:val="decimal"/>
      <w:lvlText w:val="%2."/>
      <w:lvlJc w:val="left"/>
      <w:pPr>
        <w:ind w:left="2880" w:hanging="360"/>
      </w:pPr>
      <w:rPr>
        <w:b w:val="0"/>
      </w:rPr>
    </w:lvl>
    <w:lvl w:ilvl="2">
      <w:start w:val="1"/>
      <w:numFmt w:val="lowerRoman"/>
      <w:lvlText w:val="%3."/>
      <w:lvlJc w:val="right"/>
      <w:pPr>
        <w:ind w:left="3600" w:hanging="180"/>
      </w:pPr>
    </w:lvl>
    <w:lvl w:ilvl="3">
      <w:start w:val="1"/>
      <w:numFmt w:val="lowerLetter"/>
      <w:lvlText w:val="%4."/>
      <w:lvlJc w:val="left"/>
      <w:pPr>
        <w:ind w:left="4320" w:hanging="360"/>
      </w:pPr>
      <w:rPr>
        <w:rFonts w:hint="default"/>
        <w:b w:val="0"/>
      </w:r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D373109"/>
    <w:multiLevelType w:val="hybridMultilevel"/>
    <w:tmpl w:val="2D428CA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8E619F"/>
    <w:multiLevelType w:val="hybridMultilevel"/>
    <w:tmpl w:val="5010E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22BBE"/>
    <w:multiLevelType w:val="hybridMultilevel"/>
    <w:tmpl w:val="179AC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14268F"/>
    <w:multiLevelType w:val="hybridMultilevel"/>
    <w:tmpl w:val="F40654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F66069"/>
    <w:multiLevelType w:val="hybridMultilevel"/>
    <w:tmpl w:val="E8721CC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1">
    <w:nsid w:val="2132448B"/>
    <w:multiLevelType w:val="hybridMultilevel"/>
    <w:tmpl w:val="83980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F06DBB"/>
    <w:multiLevelType w:val="hybridMultilevel"/>
    <w:tmpl w:val="CCA2E6D4"/>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359F4B59"/>
    <w:multiLevelType w:val="hybridMultilevel"/>
    <w:tmpl w:val="BA1C37CA"/>
    <w:lvl w:ilvl="0">
      <w:start w:val="2"/>
      <w:numFmt w:val="upperLetter"/>
      <w:lvlText w:val="%1."/>
      <w:lvlJc w:val="left"/>
      <w:pPr>
        <w:tabs>
          <w:tab w:val="num" w:pos="1440"/>
        </w:tabs>
        <w:ind w:left="1440" w:hanging="720"/>
      </w:pPr>
      <w:rPr>
        <w:rFonts w:hint="default"/>
        <w:u w:val="none"/>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A8B1E7E"/>
    <w:multiLevelType w:val="hybridMultilevel"/>
    <w:tmpl w:val="4AC27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B143ADA"/>
    <w:multiLevelType w:val="hybridMultilevel"/>
    <w:tmpl w:val="FC32CB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E65881"/>
    <w:multiLevelType w:val="hybridMultilevel"/>
    <w:tmpl w:val="9180574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631C76"/>
    <w:multiLevelType w:val="hybridMultilevel"/>
    <w:tmpl w:val="47A298A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A5A787F"/>
    <w:multiLevelType w:val="hybridMultilevel"/>
    <w:tmpl w:val="F3C8D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D2C1B93"/>
    <w:multiLevelType w:val="hybridMultilevel"/>
    <w:tmpl w:val="F656E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5">
    <w:nsid w:val="682236F3"/>
    <w:multiLevelType w:val="hybridMultilevel"/>
    <w:tmpl w:val="80DE4A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583CB8"/>
    <w:multiLevelType w:val="hybridMultilevel"/>
    <w:tmpl w:val="5010E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8235DC"/>
    <w:multiLevelType w:val="hybridMultilevel"/>
    <w:tmpl w:val="95EAB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191368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61236917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04417580">
    <w:abstractNumId w:val="8"/>
  </w:num>
  <w:num w:numId="4" w16cid:durableId="1237134117">
    <w:abstractNumId w:val="23"/>
  </w:num>
  <w:num w:numId="5" w16cid:durableId="1423793833">
    <w:abstractNumId w:val="6"/>
  </w:num>
  <w:num w:numId="6" w16cid:durableId="85735328">
    <w:abstractNumId w:val="9"/>
  </w:num>
  <w:num w:numId="7" w16cid:durableId="186332281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57585933">
    <w:abstractNumId w:val="26"/>
  </w:num>
  <w:num w:numId="9" w16cid:durableId="723917288">
    <w:abstractNumId w:val="1"/>
  </w:num>
  <w:num w:numId="10" w16cid:durableId="161706787">
    <w:abstractNumId w:val="24"/>
  </w:num>
  <w:num w:numId="11" w16cid:durableId="1067920005">
    <w:abstractNumId w:val="14"/>
  </w:num>
  <w:num w:numId="12" w16cid:durableId="160856360">
    <w:abstractNumId w:val="20"/>
  </w:num>
  <w:num w:numId="13" w16cid:durableId="1592011447">
    <w:abstractNumId w:val="13"/>
  </w:num>
  <w:num w:numId="14" w16cid:durableId="2071807937">
    <w:abstractNumId w:val="18"/>
  </w:num>
  <w:num w:numId="15" w16cid:durableId="621308751">
    <w:abstractNumId w:val="2"/>
  </w:num>
  <w:num w:numId="16" w16cid:durableId="234972688">
    <w:abstractNumId w:val="11"/>
  </w:num>
  <w:num w:numId="17" w16cid:durableId="574706113">
    <w:abstractNumId w:val="3"/>
  </w:num>
  <w:num w:numId="18" w16cid:durableId="229077874">
    <w:abstractNumId w:val="15"/>
  </w:num>
  <w:num w:numId="19" w16cid:durableId="1577084620">
    <w:abstractNumId w:val="12"/>
  </w:num>
  <w:num w:numId="20" w16cid:durableId="1823159285">
    <w:abstractNumId w:val="17"/>
  </w:num>
  <w:num w:numId="21" w16cid:durableId="1520119826">
    <w:abstractNumId w:val="16"/>
  </w:num>
  <w:num w:numId="22" w16cid:durableId="1306159392">
    <w:abstractNumId w:val="10"/>
  </w:num>
  <w:num w:numId="23" w16cid:durableId="822046464">
    <w:abstractNumId w:val="28"/>
  </w:num>
  <w:num w:numId="24" w16cid:durableId="1589919716">
    <w:abstractNumId w:val="25"/>
  </w:num>
  <w:num w:numId="25" w16cid:durableId="1455446788">
    <w:abstractNumId w:val="22"/>
  </w:num>
  <w:num w:numId="26" w16cid:durableId="817192655">
    <w:abstractNumId w:val="5"/>
  </w:num>
  <w:num w:numId="27" w16cid:durableId="2137601643">
    <w:abstractNumId w:val="21"/>
  </w:num>
  <w:num w:numId="28" w16cid:durableId="464465203">
    <w:abstractNumId w:val="19"/>
  </w:num>
  <w:num w:numId="29" w16cid:durableId="1135564675">
    <w:abstractNumId w:val="7"/>
  </w:num>
  <w:num w:numId="30" w16cid:durableId="1126704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241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68F"/>
    <w:rsid w:val="000017A6"/>
    <w:rsid w:val="00002950"/>
    <w:rsid w:val="00002B72"/>
    <w:rsid w:val="00005AB6"/>
    <w:rsid w:val="00006CA0"/>
    <w:rsid w:val="00006F3A"/>
    <w:rsid w:val="00007CBD"/>
    <w:rsid w:val="00011F66"/>
    <w:rsid w:val="00012800"/>
    <w:rsid w:val="000133FD"/>
    <w:rsid w:val="00013526"/>
    <w:rsid w:val="00014158"/>
    <w:rsid w:val="00014A31"/>
    <w:rsid w:val="00020F69"/>
    <w:rsid w:val="00021C76"/>
    <w:rsid w:val="00022303"/>
    <w:rsid w:val="00026743"/>
    <w:rsid w:val="00026C61"/>
    <w:rsid w:val="000305BB"/>
    <w:rsid w:val="00030E92"/>
    <w:rsid w:val="000312B1"/>
    <w:rsid w:val="000322E5"/>
    <w:rsid w:val="00032DE9"/>
    <w:rsid w:val="00034405"/>
    <w:rsid w:val="00034F74"/>
    <w:rsid w:val="00036F63"/>
    <w:rsid w:val="00037A1C"/>
    <w:rsid w:val="00040448"/>
    <w:rsid w:val="0004107F"/>
    <w:rsid w:val="00042C2C"/>
    <w:rsid w:val="00042CBD"/>
    <w:rsid w:val="000463E9"/>
    <w:rsid w:val="00046664"/>
    <w:rsid w:val="00046A8C"/>
    <w:rsid w:val="000505BE"/>
    <w:rsid w:val="00050A1E"/>
    <w:rsid w:val="00051EF8"/>
    <w:rsid w:val="00052174"/>
    <w:rsid w:val="0005448E"/>
    <w:rsid w:val="0005468B"/>
    <w:rsid w:val="0005554A"/>
    <w:rsid w:val="0005573E"/>
    <w:rsid w:val="000565F3"/>
    <w:rsid w:val="0005665A"/>
    <w:rsid w:val="00056829"/>
    <w:rsid w:val="00056915"/>
    <w:rsid w:val="000605E7"/>
    <w:rsid w:val="00060C3A"/>
    <w:rsid w:val="00061F6C"/>
    <w:rsid w:val="00064E28"/>
    <w:rsid w:val="0006652C"/>
    <w:rsid w:val="00073527"/>
    <w:rsid w:val="0007383F"/>
    <w:rsid w:val="00076102"/>
    <w:rsid w:val="00077BFC"/>
    <w:rsid w:val="00083217"/>
    <w:rsid w:val="0008353D"/>
    <w:rsid w:val="00083D0D"/>
    <w:rsid w:val="000840C1"/>
    <w:rsid w:val="00085565"/>
    <w:rsid w:val="00087CF9"/>
    <w:rsid w:val="000916AE"/>
    <w:rsid w:val="00091A20"/>
    <w:rsid w:val="00091E84"/>
    <w:rsid w:val="00095C30"/>
    <w:rsid w:val="00095EDE"/>
    <w:rsid w:val="00096548"/>
    <w:rsid w:val="000965A1"/>
    <w:rsid w:val="00097A17"/>
    <w:rsid w:val="000A3426"/>
    <w:rsid w:val="000A5040"/>
    <w:rsid w:val="000A5B68"/>
    <w:rsid w:val="000A68AE"/>
    <w:rsid w:val="000A7853"/>
    <w:rsid w:val="000B0391"/>
    <w:rsid w:val="000B0805"/>
    <w:rsid w:val="000B1427"/>
    <w:rsid w:val="000B3600"/>
    <w:rsid w:val="000B4748"/>
    <w:rsid w:val="000B4875"/>
    <w:rsid w:val="000B5D22"/>
    <w:rsid w:val="000B6FB6"/>
    <w:rsid w:val="000B7C47"/>
    <w:rsid w:val="000C1413"/>
    <w:rsid w:val="000C1849"/>
    <w:rsid w:val="000C20E1"/>
    <w:rsid w:val="000C257C"/>
    <w:rsid w:val="000C35B1"/>
    <w:rsid w:val="000C3A92"/>
    <w:rsid w:val="000C3B14"/>
    <w:rsid w:val="000C4AD6"/>
    <w:rsid w:val="000C585A"/>
    <w:rsid w:val="000C63C7"/>
    <w:rsid w:val="000C738A"/>
    <w:rsid w:val="000C74FB"/>
    <w:rsid w:val="000C7535"/>
    <w:rsid w:val="000C767F"/>
    <w:rsid w:val="000D0633"/>
    <w:rsid w:val="000D07F3"/>
    <w:rsid w:val="000D1F95"/>
    <w:rsid w:val="000D3363"/>
    <w:rsid w:val="000D3A67"/>
    <w:rsid w:val="000D4DA2"/>
    <w:rsid w:val="000D5195"/>
    <w:rsid w:val="000D51DF"/>
    <w:rsid w:val="000D5E72"/>
    <w:rsid w:val="000D62D1"/>
    <w:rsid w:val="000D635F"/>
    <w:rsid w:val="000D7F4B"/>
    <w:rsid w:val="000D7F95"/>
    <w:rsid w:val="000E01FA"/>
    <w:rsid w:val="000E0C7A"/>
    <w:rsid w:val="000E157B"/>
    <w:rsid w:val="000E1C64"/>
    <w:rsid w:val="000E612A"/>
    <w:rsid w:val="000E7A47"/>
    <w:rsid w:val="000F0359"/>
    <w:rsid w:val="000F0970"/>
    <w:rsid w:val="000F4B81"/>
    <w:rsid w:val="000F4DED"/>
    <w:rsid w:val="000F5BC2"/>
    <w:rsid w:val="000F6836"/>
    <w:rsid w:val="000F7F61"/>
    <w:rsid w:val="00100120"/>
    <w:rsid w:val="001019A8"/>
    <w:rsid w:val="00102981"/>
    <w:rsid w:val="001040D4"/>
    <w:rsid w:val="00104BCC"/>
    <w:rsid w:val="001052B5"/>
    <w:rsid w:val="001052C2"/>
    <w:rsid w:val="00106C56"/>
    <w:rsid w:val="001078BB"/>
    <w:rsid w:val="00110631"/>
    <w:rsid w:val="00111532"/>
    <w:rsid w:val="00116CD5"/>
    <w:rsid w:val="00117C32"/>
    <w:rsid w:val="00121F15"/>
    <w:rsid w:val="001226CE"/>
    <w:rsid w:val="0012274A"/>
    <w:rsid w:val="001242E4"/>
    <w:rsid w:val="00124371"/>
    <w:rsid w:val="00125BE7"/>
    <w:rsid w:val="0012623F"/>
    <w:rsid w:val="00126E1A"/>
    <w:rsid w:val="0012789B"/>
    <w:rsid w:val="001301C3"/>
    <w:rsid w:val="00131910"/>
    <w:rsid w:val="00131E44"/>
    <w:rsid w:val="00132349"/>
    <w:rsid w:val="00132699"/>
    <w:rsid w:val="001337BD"/>
    <w:rsid w:val="00133A7D"/>
    <w:rsid w:val="00133C47"/>
    <w:rsid w:val="0013767B"/>
    <w:rsid w:val="00137EB9"/>
    <w:rsid w:val="00140DBF"/>
    <w:rsid w:val="00143BDD"/>
    <w:rsid w:val="00144438"/>
    <w:rsid w:val="00144816"/>
    <w:rsid w:val="0014556E"/>
    <w:rsid w:val="001470AC"/>
    <w:rsid w:val="001470B7"/>
    <w:rsid w:val="00150946"/>
    <w:rsid w:val="00150DB2"/>
    <w:rsid w:val="0015168F"/>
    <w:rsid w:val="00152135"/>
    <w:rsid w:val="001531A6"/>
    <w:rsid w:val="0015322B"/>
    <w:rsid w:val="0015325A"/>
    <w:rsid w:val="0015365E"/>
    <w:rsid w:val="001546E8"/>
    <w:rsid w:val="00155731"/>
    <w:rsid w:val="0015627A"/>
    <w:rsid w:val="0015650D"/>
    <w:rsid w:val="00157A90"/>
    <w:rsid w:val="0016102F"/>
    <w:rsid w:val="00162B16"/>
    <w:rsid w:val="00163700"/>
    <w:rsid w:val="00163BA9"/>
    <w:rsid w:val="00163CD8"/>
    <w:rsid w:val="0016401C"/>
    <w:rsid w:val="001646CF"/>
    <w:rsid w:val="00164B9E"/>
    <w:rsid w:val="00170A23"/>
    <w:rsid w:val="00172681"/>
    <w:rsid w:val="001739DE"/>
    <w:rsid w:val="00174C14"/>
    <w:rsid w:val="0017702A"/>
    <w:rsid w:val="00180E5A"/>
    <w:rsid w:val="00181175"/>
    <w:rsid w:val="00181263"/>
    <w:rsid w:val="00182367"/>
    <w:rsid w:val="00182B04"/>
    <w:rsid w:val="00183E80"/>
    <w:rsid w:val="00185066"/>
    <w:rsid w:val="00186327"/>
    <w:rsid w:val="001866A5"/>
    <w:rsid w:val="001869D6"/>
    <w:rsid w:val="00190D80"/>
    <w:rsid w:val="00191C43"/>
    <w:rsid w:val="001926BF"/>
    <w:rsid w:val="0019307C"/>
    <w:rsid w:val="00193EAF"/>
    <w:rsid w:val="00195849"/>
    <w:rsid w:val="001A318B"/>
    <w:rsid w:val="001A47D9"/>
    <w:rsid w:val="001A5B85"/>
    <w:rsid w:val="001A6BA1"/>
    <w:rsid w:val="001A7804"/>
    <w:rsid w:val="001B0474"/>
    <w:rsid w:val="001B060F"/>
    <w:rsid w:val="001B1BAF"/>
    <w:rsid w:val="001B3047"/>
    <w:rsid w:val="001B308E"/>
    <w:rsid w:val="001B358F"/>
    <w:rsid w:val="001B3AA0"/>
    <w:rsid w:val="001B4325"/>
    <w:rsid w:val="001B5641"/>
    <w:rsid w:val="001B5D6B"/>
    <w:rsid w:val="001B62E0"/>
    <w:rsid w:val="001B7076"/>
    <w:rsid w:val="001B7C46"/>
    <w:rsid w:val="001C3CDF"/>
    <w:rsid w:val="001C3DB0"/>
    <w:rsid w:val="001C4720"/>
    <w:rsid w:val="001C4AA9"/>
    <w:rsid w:val="001C5485"/>
    <w:rsid w:val="001C58B8"/>
    <w:rsid w:val="001C631A"/>
    <w:rsid w:val="001C7D2F"/>
    <w:rsid w:val="001D10ED"/>
    <w:rsid w:val="001D2D09"/>
    <w:rsid w:val="001D4740"/>
    <w:rsid w:val="001D5DBA"/>
    <w:rsid w:val="001D67BB"/>
    <w:rsid w:val="001D6AAD"/>
    <w:rsid w:val="001D7C29"/>
    <w:rsid w:val="001E036C"/>
    <w:rsid w:val="001E0E7F"/>
    <w:rsid w:val="001E1604"/>
    <w:rsid w:val="001E258C"/>
    <w:rsid w:val="001E2932"/>
    <w:rsid w:val="001E3596"/>
    <w:rsid w:val="001E5213"/>
    <w:rsid w:val="001E56B7"/>
    <w:rsid w:val="001E5716"/>
    <w:rsid w:val="001E7E5D"/>
    <w:rsid w:val="001F2E8E"/>
    <w:rsid w:val="001F3401"/>
    <w:rsid w:val="001F36D3"/>
    <w:rsid w:val="001F3D5F"/>
    <w:rsid w:val="001F5020"/>
    <w:rsid w:val="00200527"/>
    <w:rsid w:val="0020059F"/>
    <w:rsid w:val="00201717"/>
    <w:rsid w:val="0020242A"/>
    <w:rsid w:val="002036A1"/>
    <w:rsid w:val="00210B8E"/>
    <w:rsid w:val="002121A0"/>
    <w:rsid w:val="002134B4"/>
    <w:rsid w:val="00213D23"/>
    <w:rsid w:val="002144FC"/>
    <w:rsid w:val="002165A5"/>
    <w:rsid w:val="00216C34"/>
    <w:rsid w:val="002203C9"/>
    <w:rsid w:val="00221164"/>
    <w:rsid w:val="00221676"/>
    <w:rsid w:val="00221A40"/>
    <w:rsid w:val="0022216C"/>
    <w:rsid w:val="0022238A"/>
    <w:rsid w:val="002236E8"/>
    <w:rsid w:val="002249CA"/>
    <w:rsid w:val="002272EF"/>
    <w:rsid w:val="00227582"/>
    <w:rsid w:val="0022763A"/>
    <w:rsid w:val="00227AB8"/>
    <w:rsid w:val="0023172B"/>
    <w:rsid w:val="002331E4"/>
    <w:rsid w:val="00236015"/>
    <w:rsid w:val="00237691"/>
    <w:rsid w:val="0024091D"/>
    <w:rsid w:val="0024183D"/>
    <w:rsid w:val="00242B84"/>
    <w:rsid w:val="00242CA0"/>
    <w:rsid w:val="00243432"/>
    <w:rsid w:val="0024438F"/>
    <w:rsid w:val="00245175"/>
    <w:rsid w:val="0024522D"/>
    <w:rsid w:val="002453DA"/>
    <w:rsid w:val="00245560"/>
    <w:rsid w:val="00246B13"/>
    <w:rsid w:val="00247146"/>
    <w:rsid w:val="0025042F"/>
    <w:rsid w:val="00250D17"/>
    <w:rsid w:val="00250DED"/>
    <w:rsid w:val="002526D9"/>
    <w:rsid w:val="00253615"/>
    <w:rsid w:val="0025464E"/>
    <w:rsid w:val="00254B98"/>
    <w:rsid w:val="00256B26"/>
    <w:rsid w:val="0026238F"/>
    <w:rsid w:val="00262AF9"/>
    <w:rsid w:val="002634A0"/>
    <w:rsid w:val="002713A4"/>
    <w:rsid w:val="00273D58"/>
    <w:rsid w:val="00273E2A"/>
    <w:rsid w:val="00274165"/>
    <w:rsid w:val="002747AA"/>
    <w:rsid w:val="00274A3C"/>
    <w:rsid w:val="00274A75"/>
    <w:rsid w:val="00276225"/>
    <w:rsid w:val="0027775E"/>
    <w:rsid w:val="00277C1F"/>
    <w:rsid w:val="002816A9"/>
    <w:rsid w:val="00281738"/>
    <w:rsid w:val="00281B0F"/>
    <w:rsid w:val="00281EDF"/>
    <w:rsid w:val="0028375D"/>
    <w:rsid w:val="00284C11"/>
    <w:rsid w:val="002866A4"/>
    <w:rsid w:val="002866AD"/>
    <w:rsid w:val="00286BE3"/>
    <w:rsid w:val="00287BB9"/>
    <w:rsid w:val="0029135D"/>
    <w:rsid w:val="00292155"/>
    <w:rsid w:val="00292951"/>
    <w:rsid w:val="00293289"/>
    <w:rsid w:val="00293CD1"/>
    <w:rsid w:val="00294EBB"/>
    <w:rsid w:val="00297968"/>
    <w:rsid w:val="00297FA6"/>
    <w:rsid w:val="002A3962"/>
    <w:rsid w:val="002A5972"/>
    <w:rsid w:val="002A5DE3"/>
    <w:rsid w:val="002A605D"/>
    <w:rsid w:val="002A709F"/>
    <w:rsid w:val="002A750E"/>
    <w:rsid w:val="002B1055"/>
    <w:rsid w:val="002B132B"/>
    <w:rsid w:val="002B15B8"/>
    <w:rsid w:val="002B18DB"/>
    <w:rsid w:val="002B2A8A"/>
    <w:rsid w:val="002B2F94"/>
    <w:rsid w:val="002B3797"/>
    <w:rsid w:val="002B668C"/>
    <w:rsid w:val="002B7449"/>
    <w:rsid w:val="002C0BC5"/>
    <w:rsid w:val="002C1A5B"/>
    <w:rsid w:val="002C290E"/>
    <w:rsid w:val="002C3FC8"/>
    <w:rsid w:val="002C408E"/>
    <w:rsid w:val="002C4C60"/>
    <w:rsid w:val="002C5294"/>
    <w:rsid w:val="002D144D"/>
    <w:rsid w:val="002D1453"/>
    <w:rsid w:val="002D184F"/>
    <w:rsid w:val="002D1F2A"/>
    <w:rsid w:val="002D5794"/>
    <w:rsid w:val="002D6EA4"/>
    <w:rsid w:val="002D7822"/>
    <w:rsid w:val="002E016B"/>
    <w:rsid w:val="002E182B"/>
    <w:rsid w:val="002E1AB5"/>
    <w:rsid w:val="002E1F12"/>
    <w:rsid w:val="002E238B"/>
    <w:rsid w:val="002E23E5"/>
    <w:rsid w:val="002E288C"/>
    <w:rsid w:val="002E4200"/>
    <w:rsid w:val="002E4666"/>
    <w:rsid w:val="002E521E"/>
    <w:rsid w:val="002E560D"/>
    <w:rsid w:val="002E6267"/>
    <w:rsid w:val="002E74BA"/>
    <w:rsid w:val="002E75CD"/>
    <w:rsid w:val="002E768A"/>
    <w:rsid w:val="002E7A57"/>
    <w:rsid w:val="002F0A24"/>
    <w:rsid w:val="002F1221"/>
    <w:rsid w:val="002F19A9"/>
    <w:rsid w:val="002F1AE2"/>
    <w:rsid w:val="002F3AEF"/>
    <w:rsid w:val="002F7DFC"/>
    <w:rsid w:val="00300AC4"/>
    <w:rsid w:val="00301EAD"/>
    <w:rsid w:val="003026BA"/>
    <w:rsid w:val="0030295B"/>
    <w:rsid w:val="00304132"/>
    <w:rsid w:val="0030453F"/>
    <w:rsid w:val="00304857"/>
    <w:rsid w:val="00306A0B"/>
    <w:rsid w:val="0030742D"/>
    <w:rsid w:val="00307EA9"/>
    <w:rsid w:val="0031122A"/>
    <w:rsid w:val="00311D25"/>
    <w:rsid w:val="00312124"/>
    <w:rsid w:val="003136CA"/>
    <w:rsid w:val="00313820"/>
    <w:rsid w:val="00313E1B"/>
    <w:rsid w:val="00314D8A"/>
    <w:rsid w:val="00316F74"/>
    <w:rsid w:val="00317A5C"/>
    <w:rsid w:val="00321915"/>
    <w:rsid w:val="00321B39"/>
    <w:rsid w:val="003229D8"/>
    <w:rsid w:val="003234C4"/>
    <w:rsid w:val="00323FC9"/>
    <w:rsid w:val="00324BDD"/>
    <w:rsid w:val="003253EC"/>
    <w:rsid w:val="0032649A"/>
    <w:rsid w:val="00327DF0"/>
    <w:rsid w:val="00331508"/>
    <w:rsid w:val="003327D2"/>
    <w:rsid w:val="00332F98"/>
    <w:rsid w:val="003332A5"/>
    <w:rsid w:val="00334190"/>
    <w:rsid w:val="00334273"/>
    <w:rsid w:val="0033477D"/>
    <w:rsid w:val="0033794E"/>
    <w:rsid w:val="00337FFB"/>
    <w:rsid w:val="00340647"/>
    <w:rsid w:val="00340C3C"/>
    <w:rsid w:val="0034173C"/>
    <w:rsid w:val="003430A6"/>
    <w:rsid w:val="00343694"/>
    <w:rsid w:val="003448FC"/>
    <w:rsid w:val="003479EC"/>
    <w:rsid w:val="00347F7F"/>
    <w:rsid w:val="003504E5"/>
    <w:rsid w:val="003512F0"/>
    <w:rsid w:val="003518C1"/>
    <w:rsid w:val="00352519"/>
    <w:rsid w:val="00353453"/>
    <w:rsid w:val="003548D8"/>
    <w:rsid w:val="00354B5D"/>
    <w:rsid w:val="00354EC9"/>
    <w:rsid w:val="0035517D"/>
    <w:rsid w:val="003579D7"/>
    <w:rsid w:val="00360356"/>
    <w:rsid w:val="00360909"/>
    <w:rsid w:val="00360E92"/>
    <w:rsid w:val="003617CF"/>
    <w:rsid w:val="00361858"/>
    <w:rsid w:val="00361941"/>
    <w:rsid w:val="003631FD"/>
    <w:rsid w:val="00363CC2"/>
    <w:rsid w:val="00364DE5"/>
    <w:rsid w:val="0036573C"/>
    <w:rsid w:val="00367B11"/>
    <w:rsid w:val="00370333"/>
    <w:rsid w:val="0037197C"/>
    <w:rsid w:val="00371EEC"/>
    <w:rsid w:val="00375490"/>
    <w:rsid w:val="003805F2"/>
    <w:rsid w:val="00380658"/>
    <w:rsid w:val="00380C85"/>
    <w:rsid w:val="00380D78"/>
    <w:rsid w:val="00381E7D"/>
    <w:rsid w:val="00382D6E"/>
    <w:rsid w:val="003876F3"/>
    <w:rsid w:val="00390135"/>
    <w:rsid w:val="00390426"/>
    <w:rsid w:val="0039075A"/>
    <w:rsid w:val="00390B62"/>
    <w:rsid w:val="0039300F"/>
    <w:rsid w:val="00393FDD"/>
    <w:rsid w:val="00394AEB"/>
    <w:rsid w:val="0039654F"/>
    <w:rsid w:val="00396CFF"/>
    <w:rsid w:val="003974B7"/>
    <w:rsid w:val="003A12BC"/>
    <w:rsid w:val="003A1542"/>
    <w:rsid w:val="003A27A3"/>
    <w:rsid w:val="003A4C6D"/>
    <w:rsid w:val="003A60DE"/>
    <w:rsid w:val="003A6353"/>
    <w:rsid w:val="003A6BA4"/>
    <w:rsid w:val="003A79A7"/>
    <w:rsid w:val="003B1307"/>
    <w:rsid w:val="003B3114"/>
    <w:rsid w:val="003B7589"/>
    <w:rsid w:val="003B75D2"/>
    <w:rsid w:val="003B7EA8"/>
    <w:rsid w:val="003C13C6"/>
    <w:rsid w:val="003C152E"/>
    <w:rsid w:val="003C261F"/>
    <w:rsid w:val="003C2EAE"/>
    <w:rsid w:val="003C50CB"/>
    <w:rsid w:val="003C5166"/>
    <w:rsid w:val="003D3229"/>
    <w:rsid w:val="003D544B"/>
    <w:rsid w:val="003D5540"/>
    <w:rsid w:val="003D5958"/>
    <w:rsid w:val="003D62BA"/>
    <w:rsid w:val="003D6AC7"/>
    <w:rsid w:val="003E074F"/>
    <w:rsid w:val="003E08CC"/>
    <w:rsid w:val="003E23E3"/>
    <w:rsid w:val="003E3FF4"/>
    <w:rsid w:val="003E49A6"/>
    <w:rsid w:val="003E4C14"/>
    <w:rsid w:val="003E4E27"/>
    <w:rsid w:val="003E5081"/>
    <w:rsid w:val="003E52F8"/>
    <w:rsid w:val="003E5E34"/>
    <w:rsid w:val="003E60A7"/>
    <w:rsid w:val="003E62F7"/>
    <w:rsid w:val="003E63C7"/>
    <w:rsid w:val="003E68E7"/>
    <w:rsid w:val="003F09F6"/>
    <w:rsid w:val="003F0F88"/>
    <w:rsid w:val="003F1A1F"/>
    <w:rsid w:val="003F301B"/>
    <w:rsid w:val="003F4600"/>
    <w:rsid w:val="003F53FB"/>
    <w:rsid w:val="003F55F4"/>
    <w:rsid w:val="003F59F2"/>
    <w:rsid w:val="003F5A3E"/>
    <w:rsid w:val="003F61CC"/>
    <w:rsid w:val="003F6F76"/>
    <w:rsid w:val="003F7022"/>
    <w:rsid w:val="00400574"/>
    <w:rsid w:val="00400B4D"/>
    <w:rsid w:val="00401452"/>
    <w:rsid w:val="00401F18"/>
    <w:rsid w:val="004025D7"/>
    <w:rsid w:val="00402DB8"/>
    <w:rsid w:val="00404486"/>
    <w:rsid w:val="004056B7"/>
    <w:rsid w:val="0040631A"/>
    <w:rsid w:val="00406FFC"/>
    <w:rsid w:val="00407390"/>
    <w:rsid w:val="00407425"/>
    <w:rsid w:val="00407A14"/>
    <w:rsid w:val="00410AC8"/>
    <w:rsid w:val="004119ED"/>
    <w:rsid w:val="00411C8A"/>
    <w:rsid w:val="00411F5B"/>
    <w:rsid w:val="00411F87"/>
    <w:rsid w:val="00414664"/>
    <w:rsid w:val="00414C3D"/>
    <w:rsid w:val="00415128"/>
    <w:rsid w:val="0041616B"/>
    <w:rsid w:val="004169D2"/>
    <w:rsid w:val="00420E37"/>
    <w:rsid w:val="004218D8"/>
    <w:rsid w:val="004223DC"/>
    <w:rsid w:val="0042257A"/>
    <w:rsid w:val="004232CF"/>
    <w:rsid w:val="00423F94"/>
    <w:rsid w:val="00425CA6"/>
    <w:rsid w:val="00425F01"/>
    <w:rsid w:val="004269DE"/>
    <w:rsid w:val="00427455"/>
    <w:rsid w:val="0043145F"/>
    <w:rsid w:val="004330BA"/>
    <w:rsid w:val="00434450"/>
    <w:rsid w:val="0043647F"/>
    <w:rsid w:val="0044005C"/>
    <w:rsid w:val="00440062"/>
    <w:rsid w:val="00440DEC"/>
    <w:rsid w:val="0044195D"/>
    <w:rsid w:val="00442AB0"/>
    <w:rsid w:val="00442C67"/>
    <w:rsid w:val="00443460"/>
    <w:rsid w:val="0044392A"/>
    <w:rsid w:val="004447C1"/>
    <w:rsid w:val="0044482E"/>
    <w:rsid w:val="00445DD5"/>
    <w:rsid w:val="00446D3F"/>
    <w:rsid w:val="0044773C"/>
    <w:rsid w:val="00450B6C"/>
    <w:rsid w:val="00452142"/>
    <w:rsid w:val="00455C5B"/>
    <w:rsid w:val="00457176"/>
    <w:rsid w:val="00457941"/>
    <w:rsid w:val="00461567"/>
    <w:rsid w:val="00462BAA"/>
    <w:rsid w:val="00462F32"/>
    <w:rsid w:val="00462FBF"/>
    <w:rsid w:val="00464C5F"/>
    <w:rsid w:val="00465C1E"/>
    <w:rsid w:val="00465D54"/>
    <w:rsid w:val="004672B5"/>
    <w:rsid w:val="0047184B"/>
    <w:rsid w:val="00472E07"/>
    <w:rsid w:val="0047502C"/>
    <w:rsid w:val="00475F03"/>
    <w:rsid w:val="00476087"/>
    <w:rsid w:val="004774E5"/>
    <w:rsid w:val="004805AE"/>
    <w:rsid w:val="00480CA5"/>
    <w:rsid w:val="00483666"/>
    <w:rsid w:val="00483FB3"/>
    <w:rsid w:val="004844D1"/>
    <w:rsid w:val="00484787"/>
    <w:rsid w:val="00484B58"/>
    <w:rsid w:val="0048559D"/>
    <w:rsid w:val="00486554"/>
    <w:rsid w:val="00486A36"/>
    <w:rsid w:val="004877E9"/>
    <w:rsid w:val="00490286"/>
    <w:rsid w:val="00491144"/>
    <w:rsid w:val="004911C3"/>
    <w:rsid w:val="004923E7"/>
    <w:rsid w:val="00492661"/>
    <w:rsid w:val="00493F0E"/>
    <w:rsid w:val="00494A93"/>
    <w:rsid w:val="00494D75"/>
    <w:rsid w:val="00496A9C"/>
    <w:rsid w:val="00497AC7"/>
    <w:rsid w:val="00497D43"/>
    <w:rsid w:val="004A1763"/>
    <w:rsid w:val="004A1A29"/>
    <w:rsid w:val="004A1E60"/>
    <w:rsid w:val="004A3356"/>
    <w:rsid w:val="004A3574"/>
    <w:rsid w:val="004A495E"/>
    <w:rsid w:val="004A5247"/>
    <w:rsid w:val="004A5C7D"/>
    <w:rsid w:val="004A5F9D"/>
    <w:rsid w:val="004A5FE0"/>
    <w:rsid w:val="004A70CD"/>
    <w:rsid w:val="004A7736"/>
    <w:rsid w:val="004A7909"/>
    <w:rsid w:val="004A7AD9"/>
    <w:rsid w:val="004B1E83"/>
    <w:rsid w:val="004B41B2"/>
    <w:rsid w:val="004B4242"/>
    <w:rsid w:val="004B4275"/>
    <w:rsid w:val="004C08EB"/>
    <w:rsid w:val="004C2178"/>
    <w:rsid w:val="004C2F81"/>
    <w:rsid w:val="004C315B"/>
    <w:rsid w:val="004C3E4F"/>
    <w:rsid w:val="004C58C6"/>
    <w:rsid w:val="004C5FD9"/>
    <w:rsid w:val="004C611E"/>
    <w:rsid w:val="004C63B6"/>
    <w:rsid w:val="004C72E3"/>
    <w:rsid w:val="004C75D8"/>
    <w:rsid w:val="004D1C78"/>
    <w:rsid w:val="004D1F08"/>
    <w:rsid w:val="004D20AA"/>
    <w:rsid w:val="004D271B"/>
    <w:rsid w:val="004D2E99"/>
    <w:rsid w:val="004D312A"/>
    <w:rsid w:val="004D3966"/>
    <w:rsid w:val="004D3E65"/>
    <w:rsid w:val="004D441E"/>
    <w:rsid w:val="004D46D1"/>
    <w:rsid w:val="004D4C7C"/>
    <w:rsid w:val="004E04CC"/>
    <w:rsid w:val="004E05B1"/>
    <w:rsid w:val="004E1D9E"/>
    <w:rsid w:val="004E3816"/>
    <w:rsid w:val="004F066E"/>
    <w:rsid w:val="004F1A45"/>
    <w:rsid w:val="004F1E58"/>
    <w:rsid w:val="004F25E6"/>
    <w:rsid w:val="004F327A"/>
    <w:rsid w:val="004F3369"/>
    <w:rsid w:val="004F4BAD"/>
    <w:rsid w:val="00500DA1"/>
    <w:rsid w:val="005030D4"/>
    <w:rsid w:val="00505332"/>
    <w:rsid w:val="00506367"/>
    <w:rsid w:val="00506EC7"/>
    <w:rsid w:val="0051071A"/>
    <w:rsid w:val="00510D0A"/>
    <w:rsid w:val="00511313"/>
    <w:rsid w:val="00512715"/>
    <w:rsid w:val="00512AD7"/>
    <w:rsid w:val="00513320"/>
    <w:rsid w:val="005137B7"/>
    <w:rsid w:val="005152F6"/>
    <w:rsid w:val="005156B5"/>
    <w:rsid w:val="00515C34"/>
    <w:rsid w:val="005164DC"/>
    <w:rsid w:val="00516928"/>
    <w:rsid w:val="00516D1D"/>
    <w:rsid w:val="00517F9C"/>
    <w:rsid w:val="005247B0"/>
    <w:rsid w:val="00524B80"/>
    <w:rsid w:val="00525A88"/>
    <w:rsid w:val="00530EBD"/>
    <w:rsid w:val="00531B24"/>
    <w:rsid w:val="0053256F"/>
    <w:rsid w:val="00532843"/>
    <w:rsid w:val="00532F9F"/>
    <w:rsid w:val="00534208"/>
    <w:rsid w:val="0053607F"/>
    <w:rsid w:val="005367B8"/>
    <w:rsid w:val="00541298"/>
    <w:rsid w:val="0054195D"/>
    <w:rsid w:val="00542D16"/>
    <w:rsid w:val="00542F5E"/>
    <w:rsid w:val="00543168"/>
    <w:rsid w:val="00544771"/>
    <w:rsid w:val="005478ED"/>
    <w:rsid w:val="00550F8E"/>
    <w:rsid w:val="00551685"/>
    <w:rsid w:val="0055288D"/>
    <w:rsid w:val="0055298B"/>
    <w:rsid w:val="00553801"/>
    <w:rsid w:val="00553B8A"/>
    <w:rsid w:val="005559F6"/>
    <w:rsid w:val="0055660F"/>
    <w:rsid w:val="00560DAD"/>
    <w:rsid w:val="00562ADF"/>
    <w:rsid w:val="00563C76"/>
    <w:rsid w:val="005661B8"/>
    <w:rsid w:val="00566436"/>
    <w:rsid w:val="0056787F"/>
    <w:rsid w:val="00567912"/>
    <w:rsid w:val="00567C7A"/>
    <w:rsid w:val="00570098"/>
    <w:rsid w:val="00570366"/>
    <w:rsid w:val="00570F22"/>
    <w:rsid w:val="00572109"/>
    <w:rsid w:val="005729A7"/>
    <w:rsid w:val="00573D81"/>
    <w:rsid w:val="0057408B"/>
    <w:rsid w:val="00574357"/>
    <w:rsid w:val="00574EEF"/>
    <w:rsid w:val="0057792C"/>
    <w:rsid w:val="005805E7"/>
    <w:rsid w:val="0058107B"/>
    <w:rsid w:val="00582238"/>
    <w:rsid w:val="005838B5"/>
    <w:rsid w:val="00583ACD"/>
    <w:rsid w:val="00583EBC"/>
    <w:rsid w:val="00583F5D"/>
    <w:rsid w:val="0058424C"/>
    <w:rsid w:val="005842E4"/>
    <w:rsid w:val="00584F8D"/>
    <w:rsid w:val="00585E0E"/>
    <w:rsid w:val="005869CC"/>
    <w:rsid w:val="0058726D"/>
    <w:rsid w:val="00587ADE"/>
    <w:rsid w:val="0059191B"/>
    <w:rsid w:val="00591EB8"/>
    <w:rsid w:val="00592C87"/>
    <w:rsid w:val="005937FE"/>
    <w:rsid w:val="00594469"/>
    <w:rsid w:val="005944E0"/>
    <w:rsid w:val="005951AC"/>
    <w:rsid w:val="00595C62"/>
    <w:rsid w:val="00595E94"/>
    <w:rsid w:val="005962BB"/>
    <w:rsid w:val="00596B16"/>
    <w:rsid w:val="00596E25"/>
    <w:rsid w:val="005A0350"/>
    <w:rsid w:val="005A05CF"/>
    <w:rsid w:val="005A1009"/>
    <w:rsid w:val="005A10B8"/>
    <w:rsid w:val="005A21B0"/>
    <w:rsid w:val="005A27A4"/>
    <w:rsid w:val="005A31AB"/>
    <w:rsid w:val="005A3D2E"/>
    <w:rsid w:val="005A3D33"/>
    <w:rsid w:val="005A3DB0"/>
    <w:rsid w:val="005A42ED"/>
    <w:rsid w:val="005A501C"/>
    <w:rsid w:val="005A5405"/>
    <w:rsid w:val="005A67EE"/>
    <w:rsid w:val="005A72C1"/>
    <w:rsid w:val="005A7E58"/>
    <w:rsid w:val="005B0343"/>
    <w:rsid w:val="005B2021"/>
    <w:rsid w:val="005B2627"/>
    <w:rsid w:val="005B3140"/>
    <w:rsid w:val="005B47DE"/>
    <w:rsid w:val="005B5990"/>
    <w:rsid w:val="005B5BC0"/>
    <w:rsid w:val="005B5D35"/>
    <w:rsid w:val="005B6B4C"/>
    <w:rsid w:val="005C008A"/>
    <w:rsid w:val="005C1461"/>
    <w:rsid w:val="005C273F"/>
    <w:rsid w:val="005C2D9E"/>
    <w:rsid w:val="005C30E8"/>
    <w:rsid w:val="005C34E7"/>
    <w:rsid w:val="005C3AE0"/>
    <w:rsid w:val="005C469D"/>
    <w:rsid w:val="005C4D38"/>
    <w:rsid w:val="005C59BB"/>
    <w:rsid w:val="005C5C01"/>
    <w:rsid w:val="005C6147"/>
    <w:rsid w:val="005C65D9"/>
    <w:rsid w:val="005D0D4A"/>
    <w:rsid w:val="005D0FF7"/>
    <w:rsid w:val="005D1090"/>
    <w:rsid w:val="005D1916"/>
    <w:rsid w:val="005D1983"/>
    <w:rsid w:val="005D1DDD"/>
    <w:rsid w:val="005D20D8"/>
    <w:rsid w:val="005D245A"/>
    <w:rsid w:val="005D5F8C"/>
    <w:rsid w:val="005D7192"/>
    <w:rsid w:val="005D7A60"/>
    <w:rsid w:val="005E0D6B"/>
    <w:rsid w:val="005E12C8"/>
    <w:rsid w:val="005E2189"/>
    <w:rsid w:val="005E37BA"/>
    <w:rsid w:val="005E38CD"/>
    <w:rsid w:val="005E4BC3"/>
    <w:rsid w:val="005E5148"/>
    <w:rsid w:val="005E648E"/>
    <w:rsid w:val="005E7675"/>
    <w:rsid w:val="005F02B2"/>
    <w:rsid w:val="005F24BF"/>
    <w:rsid w:val="005F39B8"/>
    <w:rsid w:val="005F4A95"/>
    <w:rsid w:val="005F53EF"/>
    <w:rsid w:val="005F6570"/>
    <w:rsid w:val="005F6B70"/>
    <w:rsid w:val="006002CC"/>
    <w:rsid w:val="00600B4E"/>
    <w:rsid w:val="0060114B"/>
    <w:rsid w:val="00601C27"/>
    <w:rsid w:val="00602969"/>
    <w:rsid w:val="00602EE6"/>
    <w:rsid w:val="00603AA1"/>
    <w:rsid w:val="00603FF1"/>
    <w:rsid w:val="006043D4"/>
    <w:rsid w:val="00606851"/>
    <w:rsid w:val="006071D6"/>
    <w:rsid w:val="006077AA"/>
    <w:rsid w:val="00607CDA"/>
    <w:rsid w:val="00611DE2"/>
    <w:rsid w:val="0061358A"/>
    <w:rsid w:val="006155A6"/>
    <w:rsid w:val="00615712"/>
    <w:rsid w:val="00615F67"/>
    <w:rsid w:val="00616F6C"/>
    <w:rsid w:val="006179E0"/>
    <w:rsid w:val="00617AA9"/>
    <w:rsid w:val="00620337"/>
    <w:rsid w:val="00620E2B"/>
    <w:rsid w:val="00621808"/>
    <w:rsid w:val="006218DB"/>
    <w:rsid w:val="006227B3"/>
    <w:rsid w:val="00622DCA"/>
    <w:rsid w:val="00622DE6"/>
    <w:rsid w:val="0062435C"/>
    <w:rsid w:val="0062600B"/>
    <w:rsid w:val="00626076"/>
    <w:rsid w:val="00630113"/>
    <w:rsid w:val="00631471"/>
    <w:rsid w:val="0063201D"/>
    <w:rsid w:val="00634616"/>
    <w:rsid w:val="006359FD"/>
    <w:rsid w:val="00636EE1"/>
    <w:rsid w:val="00636F2E"/>
    <w:rsid w:val="00636F44"/>
    <w:rsid w:val="006372A6"/>
    <w:rsid w:val="0064049E"/>
    <w:rsid w:val="00640CC6"/>
    <w:rsid w:val="006415B8"/>
    <w:rsid w:val="00642220"/>
    <w:rsid w:val="0064235A"/>
    <w:rsid w:val="00642E9B"/>
    <w:rsid w:val="00643EE6"/>
    <w:rsid w:val="006442BE"/>
    <w:rsid w:val="0064458F"/>
    <w:rsid w:val="006454A8"/>
    <w:rsid w:val="006463C3"/>
    <w:rsid w:val="00646669"/>
    <w:rsid w:val="00647738"/>
    <w:rsid w:val="00647C9E"/>
    <w:rsid w:val="006503D7"/>
    <w:rsid w:val="00650A7E"/>
    <w:rsid w:val="00650B37"/>
    <w:rsid w:val="0065115A"/>
    <w:rsid w:val="00651235"/>
    <w:rsid w:val="00651292"/>
    <w:rsid w:val="00652ED1"/>
    <w:rsid w:val="006537F2"/>
    <w:rsid w:val="0065427E"/>
    <w:rsid w:val="006551CB"/>
    <w:rsid w:val="00661C33"/>
    <w:rsid w:val="006626FF"/>
    <w:rsid w:val="00664D5F"/>
    <w:rsid w:val="006650A8"/>
    <w:rsid w:val="006656BE"/>
    <w:rsid w:val="00670DE6"/>
    <w:rsid w:val="00671E75"/>
    <w:rsid w:val="006728E0"/>
    <w:rsid w:val="00673377"/>
    <w:rsid w:val="00673A13"/>
    <w:rsid w:val="00674E90"/>
    <w:rsid w:val="00675CB7"/>
    <w:rsid w:val="006765D6"/>
    <w:rsid w:val="00677413"/>
    <w:rsid w:val="00677640"/>
    <w:rsid w:val="0067772C"/>
    <w:rsid w:val="00681248"/>
    <w:rsid w:val="00681891"/>
    <w:rsid w:val="00682348"/>
    <w:rsid w:val="00684DDD"/>
    <w:rsid w:val="00685435"/>
    <w:rsid w:val="00685463"/>
    <w:rsid w:val="00685877"/>
    <w:rsid w:val="006865AD"/>
    <w:rsid w:val="00686CA7"/>
    <w:rsid w:val="00687913"/>
    <w:rsid w:val="00687CA4"/>
    <w:rsid w:val="0069034C"/>
    <w:rsid w:val="00690F56"/>
    <w:rsid w:val="0069377C"/>
    <w:rsid w:val="00693D26"/>
    <w:rsid w:val="00693E6E"/>
    <w:rsid w:val="00696D4B"/>
    <w:rsid w:val="006972A5"/>
    <w:rsid w:val="006A0644"/>
    <w:rsid w:val="006A0695"/>
    <w:rsid w:val="006A0E9E"/>
    <w:rsid w:val="006A12A3"/>
    <w:rsid w:val="006A3F69"/>
    <w:rsid w:val="006A4524"/>
    <w:rsid w:val="006A4637"/>
    <w:rsid w:val="006A4B9A"/>
    <w:rsid w:val="006A61DC"/>
    <w:rsid w:val="006B0802"/>
    <w:rsid w:val="006B2A93"/>
    <w:rsid w:val="006B2CB2"/>
    <w:rsid w:val="006B3251"/>
    <w:rsid w:val="006B3ED3"/>
    <w:rsid w:val="006B4B97"/>
    <w:rsid w:val="006B6430"/>
    <w:rsid w:val="006B73E1"/>
    <w:rsid w:val="006B7C9B"/>
    <w:rsid w:val="006C1B74"/>
    <w:rsid w:val="006C212A"/>
    <w:rsid w:val="006C3226"/>
    <w:rsid w:val="006C39BC"/>
    <w:rsid w:val="006C39F8"/>
    <w:rsid w:val="006C4547"/>
    <w:rsid w:val="006C5922"/>
    <w:rsid w:val="006C5A4D"/>
    <w:rsid w:val="006C6E6B"/>
    <w:rsid w:val="006C7BC8"/>
    <w:rsid w:val="006D03A9"/>
    <w:rsid w:val="006D07B8"/>
    <w:rsid w:val="006D3B97"/>
    <w:rsid w:val="006D49AD"/>
    <w:rsid w:val="006D4A5A"/>
    <w:rsid w:val="006D6150"/>
    <w:rsid w:val="006E0496"/>
    <w:rsid w:val="006E1A08"/>
    <w:rsid w:val="006E1C3D"/>
    <w:rsid w:val="006E2BAA"/>
    <w:rsid w:val="006E2DA2"/>
    <w:rsid w:val="006E3115"/>
    <w:rsid w:val="006F0B8C"/>
    <w:rsid w:val="006F1EA1"/>
    <w:rsid w:val="006F3D0B"/>
    <w:rsid w:val="006F582E"/>
    <w:rsid w:val="006F5D72"/>
    <w:rsid w:val="006F6354"/>
    <w:rsid w:val="006F66F9"/>
    <w:rsid w:val="006F6DC2"/>
    <w:rsid w:val="006F6E13"/>
    <w:rsid w:val="006F6FAE"/>
    <w:rsid w:val="007010C5"/>
    <w:rsid w:val="007011F1"/>
    <w:rsid w:val="0070144E"/>
    <w:rsid w:val="007024E9"/>
    <w:rsid w:val="00702690"/>
    <w:rsid w:val="00702A90"/>
    <w:rsid w:val="0070323E"/>
    <w:rsid w:val="007074F5"/>
    <w:rsid w:val="00710980"/>
    <w:rsid w:val="007127A1"/>
    <w:rsid w:val="00713ACE"/>
    <w:rsid w:val="0071413E"/>
    <w:rsid w:val="007153DE"/>
    <w:rsid w:val="0071577A"/>
    <w:rsid w:val="00715F82"/>
    <w:rsid w:val="00716921"/>
    <w:rsid w:val="00716C42"/>
    <w:rsid w:val="0071749C"/>
    <w:rsid w:val="00720AFD"/>
    <w:rsid w:val="00721329"/>
    <w:rsid w:val="007216D3"/>
    <w:rsid w:val="00721DB0"/>
    <w:rsid w:val="007222E0"/>
    <w:rsid w:val="0072245E"/>
    <w:rsid w:val="0072642F"/>
    <w:rsid w:val="00726536"/>
    <w:rsid w:val="00726597"/>
    <w:rsid w:val="007273E5"/>
    <w:rsid w:val="00727D5F"/>
    <w:rsid w:val="00731A67"/>
    <w:rsid w:val="007359E4"/>
    <w:rsid w:val="007411EB"/>
    <w:rsid w:val="00741224"/>
    <w:rsid w:val="007412B6"/>
    <w:rsid w:val="007442D8"/>
    <w:rsid w:val="0074544E"/>
    <w:rsid w:val="007454B3"/>
    <w:rsid w:val="007463B7"/>
    <w:rsid w:val="007477EE"/>
    <w:rsid w:val="007500BA"/>
    <w:rsid w:val="00750E2E"/>
    <w:rsid w:val="00751A11"/>
    <w:rsid w:val="007527FC"/>
    <w:rsid w:val="00753A39"/>
    <w:rsid w:val="00754DC5"/>
    <w:rsid w:val="0076013F"/>
    <w:rsid w:val="00761800"/>
    <w:rsid w:val="00761FD3"/>
    <w:rsid w:val="007628B6"/>
    <w:rsid w:val="007636EC"/>
    <w:rsid w:val="00764084"/>
    <w:rsid w:val="0076540D"/>
    <w:rsid w:val="0076575F"/>
    <w:rsid w:val="00767068"/>
    <w:rsid w:val="007674FF"/>
    <w:rsid w:val="00767D37"/>
    <w:rsid w:val="007717D5"/>
    <w:rsid w:val="00771A3F"/>
    <w:rsid w:val="00772044"/>
    <w:rsid w:val="00773524"/>
    <w:rsid w:val="00774225"/>
    <w:rsid w:val="00774503"/>
    <w:rsid w:val="00774CB4"/>
    <w:rsid w:val="007767B2"/>
    <w:rsid w:val="00777BF2"/>
    <w:rsid w:val="00777CD2"/>
    <w:rsid w:val="00777E35"/>
    <w:rsid w:val="0078038F"/>
    <w:rsid w:val="007838C2"/>
    <w:rsid w:val="00784C01"/>
    <w:rsid w:val="00784EA5"/>
    <w:rsid w:val="00785138"/>
    <w:rsid w:val="0078561B"/>
    <w:rsid w:val="00785FE9"/>
    <w:rsid w:val="007867EA"/>
    <w:rsid w:val="00786BAC"/>
    <w:rsid w:val="00786E04"/>
    <w:rsid w:val="00786FF9"/>
    <w:rsid w:val="00790ADA"/>
    <w:rsid w:val="00791BA5"/>
    <w:rsid w:val="00791F09"/>
    <w:rsid w:val="00793471"/>
    <w:rsid w:val="00793F09"/>
    <w:rsid w:val="0079516E"/>
    <w:rsid w:val="007951C7"/>
    <w:rsid w:val="0079565F"/>
    <w:rsid w:val="007A0392"/>
    <w:rsid w:val="007A2C05"/>
    <w:rsid w:val="007A3556"/>
    <w:rsid w:val="007A710C"/>
    <w:rsid w:val="007A7F79"/>
    <w:rsid w:val="007B0B05"/>
    <w:rsid w:val="007B14B1"/>
    <w:rsid w:val="007B1A6E"/>
    <w:rsid w:val="007B72A4"/>
    <w:rsid w:val="007C0CBA"/>
    <w:rsid w:val="007C134C"/>
    <w:rsid w:val="007C2610"/>
    <w:rsid w:val="007C2E60"/>
    <w:rsid w:val="007C4B9F"/>
    <w:rsid w:val="007C4EF4"/>
    <w:rsid w:val="007C5F1A"/>
    <w:rsid w:val="007C67AF"/>
    <w:rsid w:val="007C6920"/>
    <w:rsid w:val="007C74C3"/>
    <w:rsid w:val="007D00E8"/>
    <w:rsid w:val="007D0A7A"/>
    <w:rsid w:val="007D0BBC"/>
    <w:rsid w:val="007D34AD"/>
    <w:rsid w:val="007D46C2"/>
    <w:rsid w:val="007D569B"/>
    <w:rsid w:val="007D596B"/>
    <w:rsid w:val="007D65E8"/>
    <w:rsid w:val="007D6DE6"/>
    <w:rsid w:val="007D735C"/>
    <w:rsid w:val="007D79FB"/>
    <w:rsid w:val="007E0EE8"/>
    <w:rsid w:val="007E1D37"/>
    <w:rsid w:val="007E32C4"/>
    <w:rsid w:val="007E32DB"/>
    <w:rsid w:val="007E42DB"/>
    <w:rsid w:val="007E43CB"/>
    <w:rsid w:val="007E55C2"/>
    <w:rsid w:val="007E5643"/>
    <w:rsid w:val="007E60A6"/>
    <w:rsid w:val="007E6BA5"/>
    <w:rsid w:val="007E6F4E"/>
    <w:rsid w:val="007E7E04"/>
    <w:rsid w:val="007F0DFF"/>
    <w:rsid w:val="007F253B"/>
    <w:rsid w:val="007F45CE"/>
    <w:rsid w:val="007F48F2"/>
    <w:rsid w:val="007F493D"/>
    <w:rsid w:val="007F72A5"/>
    <w:rsid w:val="007F76A3"/>
    <w:rsid w:val="008002E9"/>
    <w:rsid w:val="0080084F"/>
    <w:rsid w:val="00801179"/>
    <w:rsid w:val="008015C3"/>
    <w:rsid w:val="00801DB5"/>
    <w:rsid w:val="00804082"/>
    <w:rsid w:val="008043E5"/>
    <w:rsid w:val="00804A1A"/>
    <w:rsid w:val="008052BF"/>
    <w:rsid w:val="0080633A"/>
    <w:rsid w:val="00807A74"/>
    <w:rsid w:val="0081073D"/>
    <w:rsid w:val="0081357F"/>
    <w:rsid w:val="00813C55"/>
    <w:rsid w:val="008142CD"/>
    <w:rsid w:val="00814E8F"/>
    <w:rsid w:val="008152A0"/>
    <w:rsid w:val="008176E7"/>
    <w:rsid w:val="00817BE4"/>
    <w:rsid w:val="00821E85"/>
    <w:rsid w:val="0082216C"/>
    <w:rsid w:val="0082260A"/>
    <w:rsid w:val="00822724"/>
    <w:rsid w:val="00823167"/>
    <w:rsid w:val="008236CC"/>
    <w:rsid w:val="00826B56"/>
    <w:rsid w:val="00826B69"/>
    <w:rsid w:val="00831496"/>
    <w:rsid w:val="00831DFE"/>
    <w:rsid w:val="00832346"/>
    <w:rsid w:val="008323ED"/>
    <w:rsid w:val="00832D88"/>
    <w:rsid w:val="0083513F"/>
    <w:rsid w:val="00835255"/>
    <w:rsid w:val="00835955"/>
    <w:rsid w:val="00836DC5"/>
    <w:rsid w:val="00836E28"/>
    <w:rsid w:val="00837AA5"/>
    <w:rsid w:val="00837ADA"/>
    <w:rsid w:val="00840620"/>
    <w:rsid w:val="008407EC"/>
    <w:rsid w:val="008408B9"/>
    <w:rsid w:val="00841F36"/>
    <w:rsid w:val="00845B6A"/>
    <w:rsid w:val="00845BD4"/>
    <w:rsid w:val="00846701"/>
    <w:rsid w:val="00846942"/>
    <w:rsid w:val="00851343"/>
    <w:rsid w:val="008514C0"/>
    <w:rsid w:val="00851813"/>
    <w:rsid w:val="00852F11"/>
    <w:rsid w:val="00853C3B"/>
    <w:rsid w:val="00854CA0"/>
    <w:rsid w:val="0085563A"/>
    <w:rsid w:val="008557D8"/>
    <w:rsid w:val="00857EF6"/>
    <w:rsid w:val="008606CD"/>
    <w:rsid w:val="00860C59"/>
    <w:rsid w:val="00860FAB"/>
    <w:rsid w:val="008624D5"/>
    <w:rsid w:val="008636A6"/>
    <w:rsid w:val="00863942"/>
    <w:rsid w:val="008639FD"/>
    <w:rsid w:val="008660B0"/>
    <w:rsid w:val="0086658F"/>
    <w:rsid w:val="00867F86"/>
    <w:rsid w:val="00867F94"/>
    <w:rsid w:val="00870906"/>
    <w:rsid w:val="00870AE8"/>
    <w:rsid w:val="00871653"/>
    <w:rsid w:val="0087184D"/>
    <w:rsid w:val="00871B4F"/>
    <w:rsid w:val="00871CA6"/>
    <w:rsid w:val="0087207E"/>
    <w:rsid w:val="008735E6"/>
    <w:rsid w:val="00874033"/>
    <w:rsid w:val="00876174"/>
    <w:rsid w:val="00876E5B"/>
    <w:rsid w:val="00877D34"/>
    <w:rsid w:val="00880032"/>
    <w:rsid w:val="008804E0"/>
    <w:rsid w:val="0088170E"/>
    <w:rsid w:val="008824AB"/>
    <w:rsid w:val="00882AB5"/>
    <w:rsid w:val="00882B1D"/>
    <w:rsid w:val="00884C8C"/>
    <w:rsid w:val="0088672C"/>
    <w:rsid w:val="00887837"/>
    <w:rsid w:val="00892540"/>
    <w:rsid w:val="00892F8D"/>
    <w:rsid w:val="00894D60"/>
    <w:rsid w:val="00895180"/>
    <w:rsid w:val="008952E0"/>
    <w:rsid w:val="008959B0"/>
    <w:rsid w:val="00896519"/>
    <w:rsid w:val="008A0984"/>
    <w:rsid w:val="008A0DB9"/>
    <w:rsid w:val="008A1F0C"/>
    <w:rsid w:val="008A345E"/>
    <w:rsid w:val="008A40D1"/>
    <w:rsid w:val="008A5084"/>
    <w:rsid w:val="008A56E6"/>
    <w:rsid w:val="008A6C73"/>
    <w:rsid w:val="008B209F"/>
    <w:rsid w:val="008B2150"/>
    <w:rsid w:val="008B541B"/>
    <w:rsid w:val="008B6826"/>
    <w:rsid w:val="008B6924"/>
    <w:rsid w:val="008B718F"/>
    <w:rsid w:val="008C0A03"/>
    <w:rsid w:val="008C0E88"/>
    <w:rsid w:val="008C16F3"/>
    <w:rsid w:val="008C324C"/>
    <w:rsid w:val="008C3ED7"/>
    <w:rsid w:val="008C4802"/>
    <w:rsid w:val="008C5248"/>
    <w:rsid w:val="008C6498"/>
    <w:rsid w:val="008C64DF"/>
    <w:rsid w:val="008D0EF6"/>
    <w:rsid w:val="008D150B"/>
    <w:rsid w:val="008D1F7F"/>
    <w:rsid w:val="008D2DF8"/>
    <w:rsid w:val="008D3555"/>
    <w:rsid w:val="008D5634"/>
    <w:rsid w:val="008D5A43"/>
    <w:rsid w:val="008D6345"/>
    <w:rsid w:val="008D777F"/>
    <w:rsid w:val="008D799C"/>
    <w:rsid w:val="008E1900"/>
    <w:rsid w:val="008E2555"/>
    <w:rsid w:val="008E3514"/>
    <w:rsid w:val="008E4102"/>
    <w:rsid w:val="008E4D2B"/>
    <w:rsid w:val="008E5F0A"/>
    <w:rsid w:val="008E5F81"/>
    <w:rsid w:val="008E73D1"/>
    <w:rsid w:val="008E76C8"/>
    <w:rsid w:val="008E78B2"/>
    <w:rsid w:val="008E7D4A"/>
    <w:rsid w:val="008F153E"/>
    <w:rsid w:val="008F2602"/>
    <w:rsid w:val="008F362E"/>
    <w:rsid w:val="008F37BD"/>
    <w:rsid w:val="008F3E69"/>
    <w:rsid w:val="008F4868"/>
    <w:rsid w:val="00900021"/>
    <w:rsid w:val="00901003"/>
    <w:rsid w:val="0090158E"/>
    <w:rsid w:val="00901A06"/>
    <w:rsid w:val="00901EF6"/>
    <w:rsid w:val="009023D6"/>
    <w:rsid w:val="00902C8B"/>
    <w:rsid w:val="00902DF7"/>
    <w:rsid w:val="009041FF"/>
    <w:rsid w:val="0090589E"/>
    <w:rsid w:val="00906E22"/>
    <w:rsid w:val="00907943"/>
    <w:rsid w:val="00912BB9"/>
    <w:rsid w:val="0091422F"/>
    <w:rsid w:val="009166AB"/>
    <w:rsid w:val="00920DEF"/>
    <w:rsid w:val="0092195E"/>
    <w:rsid w:val="00922F1E"/>
    <w:rsid w:val="00924D47"/>
    <w:rsid w:val="0092501A"/>
    <w:rsid w:val="00925610"/>
    <w:rsid w:val="009267C2"/>
    <w:rsid w:val="009271B1"/>
    <w:rsid w:val="00927DE5"/>
    <w:rsid w:val="00927F68"/>
    <w:rsid w:val="00930349"/>
    <w:rsid w:val="0093136F"/>
    <w:rsid w:val="00931D92"/>
    <w:rsid w:val="00932F49"/>
    <w:rsid w:val="00933AC3"/>
    <w:rsid w:val="00935957"/>
    <w:rsid w:val="00935CB1"/>
    <w:rsid w:val="00935CE1"/>
    <w:rsid w:val="00935D29"/>
    <w:rsid w:val="009369B4"/>
    <w:rsid w:val="009369F8"/>
    <w:rsid w:val="00940A89"/>
    <w:rsid w:val="00942ADB"/>
    <w:rsid w:val="0094353F"/>
    <w:rsid w:val="00946171"/>
    <w:rsid w:val="00946571"/>
    <w:rsid w:val="00947832"/>
    <w:rsid w:val="009505B6"/>
    <w:rsid w:val="00954758"/>
    <w:rsid w:val="00955136"/>
    <w:rsid w:val="009566AD"/>
    <w:rsid w:val="00957A83"/>
    <w:rsid w:val="0096018B"/>
    <w:rsid w:val="00962570"/>
    <w:rsid w:val="00963680"/>
    <w:rsid w:val="0096385A"/>
    <w:rsid w:val="00963ADD"/>
    <w:rsid w:val="00963F13"/>
    <w:rsid w:val="009649E8"/>
    <w:rsid w:val="00964D3F"/>
    <w:rsid w:val="00964DD1"/>
    <w:rsid w:val="00966FC8"/>
    <w:rsid w:val="009700D9"/>
    <w:rsid w:val="0097218C"/>
    <w:rsid w:val="009729BF"/>
    <w:rsid w:val="00973C3A"/>
    <w:rsid w:val="009741A5"/>
    <w:rsid w:val="00977700"/>
    <w:rsid w:val="00980B2F"/>
    <w:rsid w:val="00982F50"/>
    <w:rsid w:val="00983CF8"/>
    <w:rsid w:val="00985C15"/>
    <w:rsid w:val="00986E58"/>
    <w:rsid w:val="00990BEA"/>
    <w:rsid w:val="00991E1E"/>
    <w:rsid w:val="00991EE9"/>
    <w:rsid w:val="00991FB8"/>
    <w:rsid w:val="00993936"/>
    <w:rsid w:val="00993D7E"/>
    <w:rsid w:val="00996D42"/>
    <w:rsid w:val="009A2C61"/>
    <w:rsid w:val="009A3C06"/>
    <w:rsid w:val="009A3FEE"/>
    <w:rsid w:val="009A5557"/>
    <w:rsid w:val="009A6DCA"/>
    <w:rsid w:val="009A7CBB"/>
    <w:rsid w:val="009B00FD"/>
    <w:rsid w:val="009B1D37"/>
    <w:rsid w:val="009B1EEE"/>
    <w:rsid w:val="009B2D3A"/>
    <w:rsid w:val="009B38D1"/>
    <w:rsid w:val="009B3DB4"/>
    <w:rsid w:val="009B4116"/>
    <w:rsid w:val="009B4D89"/>
    <w:rsid w:val="009B63A7"/>
    <w:rsid w:val="009B7105"/>
    <w:rsid w:val="009C2202"/>
    <w:rsid w:val="009C2A10"/>
    <w:rsid w:val="009C2AA9"/>
    <w:rsid w:val="009C39DF"/>
    <w:rsid w:val="009C4DF4"/>
    <w:rsid w:val="009C5131"/>
    <w:rsid w:val="009C6367"/>
    <w:rsid w:val="009D0602"/>
    <w:rsid w:val="009D111F"/>
    <w:rsid w:val="009D1EA2"/>
    <w:rsid w:val="009D2F58"/>
    <w:rsid w:val="009D34BE"/>
    <w:rsid w:val="009D66DD"/>
    <w:rsid w:val="009E0141"/>
    <w:rsid w:val="009E1190"/>
    <w:rsid w:val="009E234B"/>
    <w:rsid w:val="009E24C0"/>
    <w:rsid w:val="009E28F9"/>
    <w:rsid w:val="009E28FD"/>
    <w:rsid w:val="009E3C03"/>
    <w:rsid w:val="009E42E5"/>
    <w:rsid w:val="009E4961"/>
    <w:rsid w:val="009E4DF1"/>
    <w:rsid w:val="009E636A"/>
    <w:rsid w:val="009E6EA4"/>
    <w:rsid w:val="009E7CB3"/>
    <w:rsid w:val="009F00E9"/>
    <w:rsid w:val="009F0C64"/>
    <w:rsid w:val="009F21CA"/>
    <w:rsid w:val="009F52F3"/>
    <w:rsid w:val="009F5507"/>
    <w:rsid w:val="009F5731"/>
    <w:rsid w:val="009F6042"/>
    <w:rsid w:val="009F6B46"/>
    <w:rsid w:val="009F74C8"/>
    <w:rsid w:val="009F76F5"/>
    <w:rsid w:val="009F7B17"/>
    <w:rsid w:val="00A00697"/>
    <w:rsid w:val="00A012DB"/>
    <w:rsid w:val="00A02A68"/>
    <w:rsid w:val="00A03972"/>
    <w:rsid w:val="00A040EF"/>
    <w:rsid w:val="00A04C23"/>
    <w:rsid w:val="00A05559"/>
    <w:rsid w:val="00A072DE"/>
    <w:rsid w:val="00A07595"/>
    <w:rsid w:val="00A079C5"/>
    <w:rsid w:val="00A10441"/>
    <w:rsid w:val="00A10C48"/>
    <w:rsid w:val="00A113D4"/>
    <w:rsid w:val="00A13C82"/>
    <w:rsid w:val="00A14413"/>
    <w:rsid w:val="00A15094"/>
    <w:rsid w:val="00A15588"/>
    <w:rsid w:val="00A15659"/>
    <w:rsid w:val="00A20084"/>
    <w:rsid w:val="00A20AD6"/>
    <w:rsid w:val="00A20BA5"/>
    <w:rsid w:val="00A214EC"/>
    <w:rsid w:val="00A21926"/>
    <w:rsid w:val="00A21F98"/>
    <w:rsid w:val="00A23D84"/>
    <w:rsid w:val="00A24C75"/>
    <w:rsid w:val="00A30896"/>
    <w:rsid w:val="00A30C35"/>
    <w:rsid w:val="00A3103F"/>
    <w:rsid w:val="00A32446"/>
    <w:rsid w:val="00A3289B"/>
    <w:rsid w:val="00A370C3"/>
    <w:rsid w:val="00A41C21"/>
    <w:rsid w:val="00A4237F"/>
    <w:rsid w:val="00A425D7"/>
    <w:rsid w:val="00A42983"/>
    <w:rsid w:val="00A45D91"/>
    <w:rsid w:val="00A47134"/>
    <w:rsid w:val="00A47362"/>
    <w:rsid w:val="00A47CE9"/>
    <w:rsid w:val="00A47DA7"/>
    <w:rsid w:val="00A503A1"/>
    <w:rsid w:val="00A50712"/>
    <w:rsid w:val="00A520EF"/>
    <w:rsid w:val="00A5222C"/>
    <w:rsid w:val="00A52DE7"/>
    <w:rsid w:val="00A55023"/>
    <w:rsid w:val="00A55072"/>
    <w:rsid w:val="00A56018"/>
    <w:rsid w:val="00A56B86"/>
    <w:rsid w:val="00A5724E"/>
    <w:rsid w:val="00A573D1"/>
    <w:rsid w:val="00A57BC4"/>
    <w:rsid w:val="00A6147D"/>
    <w:rsid w:val="00A61A3C"/>
    <w:rsid w:val="00A6217F"/>
    <w:rsid w:val="00A632EF"/>
    <w:rsid w:val="00A64840"/>
    <w:rsid w:val="00A64FB7"/>
    <w:rsid w:val="00A656F0"/>
    <w:rsid w:val="00A65AE7"/>
    <w:rsid w:val="00A674DD"/>
    <w:rsid w:val="00A677E9"/>
    <w:rsid w:val="00A7214D"/>
    <w:rsid w:val="00A7282C"/>
    <w:rsid w:val="00A72941"/>
    <w:rsid w:val="00A736C9"/>
    <w:rsid w:val="00A740AB"/>
    <w:rsid w:val="00A74E85"/>
    <w:rsid w:val="00A75986"/>
    <w:rsid w:val="00A762F4"/>
    <w:rsid w:val="00A76572"/>
    <w:rsid w:val="00A7690F"/>
    <w:rsid w:val="00A770E3"/>
    <w:rsid w:val="00A816F7"/>
    <w:rsid w:val="00A82570"/>
    <w:rsid w:val="00A82F9C"/>
    <w:rsid w:val="00A83196"/>
    <w:rsid w:val="00A834BF"/>
    <w:rsid w:val="00A86139"/>
    <w:rsid w:val="00A90769"/>
    <w:rsid w:val="00A9681E"/>
    <w:rsid w:val="00A972C0"/>
    <w:rsid w:val="00A973AA"/>
    <w:rsid w:val="00AA177A"/>
    <w:rsid w:val="00AA1CC1"/>
    <w:rsid w:val="00AA2D32"/>
    <w:rsid w:val="00AA428A"/>
    <w:rsid w:val="00AA4E6B"/>
    <w:rsid w:val="00AA5F8A"/>
    <w:rsid w:val="00AA6D0D"/>
    <w:rsid w:val="00AA7D0A"/>
    <w:rsid w:val="00AB0313"/>
    <w:rsid w:val="00AB0A62"/>
    <w:rsid w:val="00AB0A97"/>
    <w:rsid w:val="00AB1022"/>
    <w:rsid w:val="00AB10AF"/>
    <w:rsid w:val="00AB33E5"/>
    <w:rsid w:val="00AB348B"/>
    <w:rsid w:val="00AB4DC3"/>
    <w:rsid w:val="00AB5084"/>
    <w:rsid w:val="00AB55F6"/>
    <w:rsid w:val="00AC2265"/>
    <w:rsid w:val="00AC2B0D"/>
    <w:rsid w:val="00AC2EDD"/>
    <w:rsid w:val="00AC36A2"/>
    <w:rsid w:val="00AC4233"/>
    <w:rsid w:val="00AC479B"/>
    <w:rsid w:val="00AC775D"/>
    <w:rsid w:val="00AC78D3"/>
    <w:rsid w:val="00AC79B3"/>
    <w:rsid w:val="00AD022F"/>
    <w:rsid w:val="00AD0DFB"/>
    <w:rsid w:val="00AD2748"/>
    <w:rsid w:val="00AD35C5"/>
    <w:rsid w:val="00AD45E3"/>
    <w:rsid w:val="00AD6475"/>
    <w:rsid w:val="00AD64F5"/>
    <w:rsid w:val="00AD6FA3"/>
    <w:rsid w:val="00AD7194"/>
    <w:rsid w:val="00AD75AC"/>
    <w:rsid w:val="00AD76EF"/>
    <w:rsid w:val="00AE0A7A"/>
    <w:rsid w:val="00AE137B"/>
    <w:rsid w:val="00AE1B82"/>
    <w:rsid w:val="00AE52DB"/>
    <w:rsid w:val="00AE54A2"/>
    <w:rsid w:val="00AE6E55"/>
    <w:rsid w:val="00AF0B7D"/>
    <w:rsid w:val="00AF0ECB"/>
    <w:rsid w:val="00AF1B67"/>
    <w:rsid w:val="00AF2C11"/>
    <w:rsid w:val="00AF3017"/>
    <w:rsid w:val="00AF3023"/>
    <w:rsid w:val="00AF36DF"/>
    <w:rsid w:val="00AF3788"/>
    <w:rsid w:val="00AF3ABE"/>
    <w:rsid w:val="00AF45EC"/>
    <w:rsid w:val="00AF4CEA"/>
    <w:rsid w:val="00AF509D"/>
    <w:rsid w:val="00AF5262"/>
    <w:rsid w:val="00AF5DF5"/>
    <w:rsid w:val="00AF7928"/>
    <w:rsid w:val="00B03037"/>
    <w:rsid w:val="00B0357B"/>
    <w:rsid w:val="00B03D06"/>
    <w:rsid w:val="00B05753"/>
    <w:rsid w:val="00B06364"/>
    <w:rsid w:val="00B06ABB"/>
    <w:rsid w:val="00B10934"/>
    <w:rsid w:val="00B10F2C"/>
    <w:rsid w:val="00B14305"/>
    <w:rsid w:val="00B157AC"/>
    <w:rsid w:val="00B15A77"/>
    <w:rsid w:val="00B15E8B"/>
    <w:rsid w:val="00B161C8"/>
    <w:rsid w:val="00B161DE"/>
    <w:rsid w:val="00B17155"/>
    <w:rsid w:val="00B17FC2"/>
    <w:rsid w:val="00B21D73"/>
    <w:rsid w:val="00B2406E"/>
    <w:rsid w:val="00B24FE4"/>
    <w:rsid w:val="00B2554F"/>
    <w:rsid w:val="00B25E5C"/>
    <w:rsid w:val="00B26859"/>
    <w:rsid w:val="00B26D21"/>
    <w:rsid w:val="00B26E3E"/>
    <w:rsid w:val="00B276FE"/>
    <w:rsid w:val="00B27825"/>
    <w:rsid w:val="00B30B7E"/>
    <w:rsid w:val="00B324BD"/>
    <w:rsid w:val="00B33D48"/>
    <w:rsid w:val="00B33E63"/>
    <w:rsid w:val="00B35DAD"/>
    <w:rsid w:val="00B414B4"/>
    <w:rsid w:val="00B42C82"/>
    <w:rsid w:val="00B43B70"/>
    <w:rsid w:val="00B45EB3"/>
    <w:rsid w:val="00B461C8"/>
    <w:rsid w:val="00B46453"/>
    <w:rsid w:val="00B47443"/>
    <w:rsid w:val="00B50354"/>
    <w:rsid w:val="00B51899"/>
    <w:rsid w:val="00B52B32"/>
    <w:rsid w:val="00B53204"/>
    <w:rsid w:val="00B533ED"/>
    <w:rsid w:val="00B5377A"/>
    <w:rsid w:val="00B540F9"/>
    <w:rsid w:val="00B56B94"/>
    <w:rsid w:val="00B604EC"/>
    <w:rsid w:val="00B60EE0"/>
    <w:rsid w:val="00B6100B"/>
    <w:rsid w:val="00B617ED"/>
    <w:rsid w:val="00B6181C"/>
    <w:rsid w:val="00B61D73"/>
    <w:rsid w:val="00B6291A"/>
    <w:rsid w:val="00B6388C"/>
    <w:rsid w:val="00B6476B"/>
    <w:rsid w:val="00B66231"/>
    <w:rsid w:val="00B66BA0"/>
    <w:rsid w:val="00B67138"/>
    <w:rsid w:val="00B67DDD"/>
    <w:rsid w:val="00B703E8"/>
    <w:rsid w:val="00B7605C"/>
    <w:rsid w:val="00B7792B"/>
    <w:rsid w:val="00B77CEE"/>
    <w:rsid w:val="00B807BB"/>
    <w:rsid w:val="00B81CC4"/>
    <w:rsid w:val="00B8295C"/>
    <w:rsid w:val="00B82FD9"/>
    <w:rsid w:val="00B83021"/>
    <w:rsid w:val="00B84BD0"/>
    <w:rsid w:val="00B86275"/>
    <w:rsid w:val="00B869CA"/>
    <w:rsid w:val="00B90AB5"/>
    <w:rsid w:val="00B90E6E"/>
    <w:rsid w:val="00B94AAC"/>
    <w:rsid w:val="00B94D58"/>
    <w:rsid w:val="00B950A8"/>
    <w:rsid w:val="00B95D80"/>
    <w:rsid w:val="00B961FC"/>
    <w:rsid w:val="00B9707B"/>
    <w:rsid w:val="00BA0785"/>
    <w:rsid w:val="00BA2075"/>
    <w:rsid w:val="00BA24EB"/>
    <w:rsid w:val="00BA2643"/>
    <w:rsid w:val="00BA4DC6"/>
    <w:rsid w:val="00BA5085"/>
    <w:rsid w:val="00BA5459"/>
    <w:rsid w:val="00BA57AB"/>
    <w:rsid w:val="00BA651D"/>
    <w:rsid w:val="00BA6C9C"/>
    <w:rsid w:val="00BB0269"/>
    <w:rsid w:val="00BB02AB"/>
    <w:rsid w:val="00BB16F2"/>
    <w:rsid w:val="00BB2365"/>
    <w:rsid w:val="00BB31DF"/>
    <w:rsid w:val="00BB3BEF"/>
    <w:rsid w:val="00BB5565"/>
    <w:rsid w:val="00BB631F"/>
    <w:rsid w:val="00BB7DB1"/>
    <w:rsid w:val="00BC5FAE"/>
    <w:rsid w:val="00BD0992"/>
    <w:rsid w:val="00BD1D4A"/>
    <w:rsid w:val="00BD2B8D"/>
    <w:rsid w:val="00BD34F2"/>
    <w:rsid w:val="00BD35C5"/>
    <w:rsid w:val="00BD468A"/>
    <w:rsid w:val="00BD67A3"/>
    <w:rsid w:val="00BE1832"/>
    <w:rsid w:val="00BE378B"/>
    <w:rsid w:val="00BE42E0"/>
    <w:rsid w:val="00BE4340"/>
    <w:rsid w:val="00BE53B6"/>
    <w:rsid w:val="00BE5953"/>
    <w:rsid w:val="00BE6135"/>
    <w:rsid w:val="00BE7742"/>
    <w:rsid w:val="00BF02B4"/>
    <w:rsid w:val="00BF10DA"/>
    <w:rsid w:val="00BF12A4"/>
    <w:rsid w:val="00BF3FF9"/>
    <w:rsid w:val="00BF4359"/>
    <w:rsid w:val="00BF471E"/>
    <w:rsid w:val="00BF4E5C"/>
    <w:rsid w:val="00BF6011"/>
    <w:rsid w:val="00BF6A66"/>
    <w:rsid w:val="00C02E4A"/>
    <w:rsid w:val="00C035C2"/>
    <w:rsid w:val="00C0392C"/>
    <w:rsid w:val="00C05097"/>
    <w:rsid w:val="00C05B88"/>
    <w:rsid w:val="00C06804"/>
    <w:rsid w:val="00C06DB9"/>
    <w:rsid w:val="00C077B5"/>
    <w:rsid w:val="00C07F7F"/>
    <w:rsid w:val="00C11734"/>
    <w:rsid w:val="00C120A3"/>
    <w:rsid w:val="00C12530"/>
    <w:rsid w:val="00C13A87"/>
    <w:rsid w:val="00C13F12"/>
    <w:rsid w:val="00C14429"/>
    <w:rsid w:val="00C14E78"/>
    <w:rsid w:val="00C1507B"/>
    <w:rsid w:val="00C1562D"/>
    <w:rsid w:val="00C157AB"/>
    <w:rsid w:val="00C1760D"/>
    <w:rsid w:val="00C17CC7"/>
    <w:rsid w:val="00C20064"/>
    <w:rsid w:val="00C21227"/>
    <w:rsid w:val="00C22751"/>
    <w:rsid w:val="00C229C1"/>
    <w:rsid w:val="00C23D81"/>
    <w:rsid w:val="00C247D8"/>
    <w:rsid w:val="00C24C15"/>
    <w:rsid w:val="00C26B3E"/>
    <w:rsid w:val="00C272F8"/>
    <w:rsid w:val="00C274EC"/>
    <w:rsid w:val="00C27BCC"/>
    <w:rsid w:val="00C30754"/>
    <w:rsid w:val="00C314CB"/>
    <w:rsid w:val="00C34009"/>
    <w:rsid w:val="00C3544F"/>
    <w:rsid w:val="00C36069"/>
    <w:rsid w:val="00C3631A"/>
    <w:rsid w:val="00C37292"/>
    <w:rsid w:val="00C41186"/>
    <w:rsid w:val="00C42BAE"/>
    <w:rsid w:val="00C42DF9"/>
    <w:rsid w:val="00C4314A"/>
    <w:rsid w:val="00C44590"/>
    <w:rsid w:val="00C46D8C"/>
    <w:rsid w:val="00C474C8"/>
    <w:rsid w:val="00C47568"/>
    <w:rsid w:val="00C4763A"/>
    <w:rsid w:val="00C50A09"/>
    <w:rsid w:val="00C51F95"/>
    <w:rsid w:val="00C52225"/>
    <w:rsid w:val="00C5258F"/>
    <w:rsid w:val="00C540CD"/>
    <w:rsid w:val="00C5682A"/>
    <w:rsid w:val="00C5755D"/>
    <w:rsid w:val="00C57B0F"/>
    <w:rsid w:val="00C60B3A"/>
    <w:rsid w:val="00C6165C"/>
    <w:rsid w:val="00C61A3B"/>
    <w:rsid w:val="00C61FB8"/>
    <w:rsid w:val="00C62601"/>
    <w:rsid w:val="00C632CB"/>
    <w:rsid w:val="00C63D1E"/>
    <w:rsid w:val="00C63DFD"/>
    <w:rsid w:val="00C6552E"/>
    <w:rsid w:val="00C667F3"/>
    <w:rsid w:val="00C66B1D"/>
    <w:rsid w:val="00C7129F"/>
    <w:rsid w:val="00C712D2"/>
    <w:rsid w:val="00C72309"/>
    <w:rsid w:val="00C72D88"/>
    <w:rsid w:val="00C7420D"/>
    <w:rsid w:val="00C752C5"/>
    <w:rsid w:val="00C7580B"/>
    <w:rsid w:val="00C75CAB"/>
    <w:rsid w:val="00C75DE8"/>
    <w:rsid w:val="00C77296"/>
    <w:rsid w:val="00C77B5C"/>
    <w:rsid w:val="00C824C6"/>
    <w:rsid w:val="00C8275F"/>
    <w:rsid w:val="00C85029"/>
    <w:rsid w:val="00C8632C"/>
    <w:rsid w:val="00C87068"/>
    <w:rsid w:val="00C87AC0"/>
    <w:rsid w:val="00C90037"/>
    <w:rsid w:val="00C907BE"/>
    <w:rsid w:val="00C911B9"/>
    <w:rsid w:val="00C9122F"/>
    <w:rsid w:val="00C914F8"/>
    <w:rsid w:val="00C9162F"/>
    <w:rsid w:val="00C91725"/>
    <w:rsid w:val="00C91CCD"/>
    <w:rsid w:val="00C935A8"/>
    <w:rsid w:val="00C944B5"/>
    <w:rsid w:val="00C94B5E"/>
    <w:rsid w:val="00C97555"/>
    <w:rsid w:val="00CA022B"/>
    <w:rsid w:val="00CA072E"/>
    <w:rsid w:val="00CA0F56"/>
    <w:rsid w:val="00CA2F0A"/>
    <w:rsid w:val="00CA418F"/>
    <w:rsid w:val="00CA5CAF"/>
    <w:rsid w:val="00CA60D7"/>
    <w:rsid w:val="00CA6947"/>
    <w:rsid w:val="00CB3579"/>
    <w:rsid w:val="00CB36C9"/>
    <w:rsid w:val="00CB38DB"/>
    <w:rsid w:val="00CB3B7C"/>
    <w:rsid w:val="00CB4C68"/>
    <w:rsid w:val="00CB58AC"/>
    <w:rsid w:val="00CB5B09"/>
    <w:rsid w:val="00CB68ED"/>
    <w:rsid w:val="00CC0545"/>
    <w:rsid w:val="00CC0731"/>
    <w:rsid w:val="00CC0BA3"/>
    <w:rsid w:val="00CC385E"/>
    <w:rsid w:val="00CC401A"/>
    <w:rsid w:val="00CC425C"/>
    <w:rsid w:val="00CC513C"/>
    <w:rsid w:val="00CC555D"/>
    <w:rsid w:val="00CC64DA"/>
    <w:rsid w:val="00CC7098"/>
    <w:rsid w:val="00CC770C"/>
    <w:rsid w:val="00CC7954"/>
    <w:rsid w:val="00CD215D"/>
    <w:rsid w:val="00CD2231"/>
    <w:rsid w:val="00CD3195"/>
    <w:rsid w:val="00CD455F"/>
    <w:rsid w:val="00CD6628"/>
    <w:rsid w:val="00CD696F"/>
    <w:rsid w:val="00CD72B4"/>
    <w:rsid w:val="00CE0B4B"/>
    <w:rsid w:val="00CE0C2B"/>
    <w:rsid w:val="00CE1783"/>
    <w:rsid w:val="00CE1DA4"/>
    <w:rsid w:val="00CE5AE8"/>
    <w:rsid w:val="00CE620E"/>
    <w:rsid w:val="00CE7880"/>
    <w:rsid w:val="00CF0703"/>
    <w:rsid w:val="00CF0FC6"/>
    <w:rsid w:val="00CF2CFE"/>
    <w:rsid w:val="00CF52BD"/>
    <w:rsid w:val="00CF666E"/>
    <w:rsid w:val="00CF6B84"/>
    <w:rsid w:val="00CF6ED7"/>
    <w:rsid w:val="00D0011C"/>
    <w:rsid w:val="00D00854"/>
    <w:rsid w:val="00D024FD"/>
    <w:rsid w:val="00D04AB0"/>
    <w:rsid w:val="00D06A9B"/>
    <w:rsid w:val="00D06C6B"/>
    <w:rsid w:val="00D12C6C"/>
    <w:rsid w:val="00D162E0"/>
    <w:rsid w:val="00D16DAD"/>
    <w:rsid w:val="00D16FE3"/>
    <w:rsid w:val="00D17755"/>
    <w:rsid w:val="00D17B33"/>
    <w:rsid w:val="00D20907"/>
    <w:rsid w:val="00D20C6F"/>
    <w:rsid w:val="00D21297"/>
    <w:rsid w:val="00D21A6A"/>
    <w:rsid w:val="00D2331B"/>
    <w:rsid w:val="00D23886"/>
    <w:rsid w:val="00D239C9"/>
    <w:rsid w:val="00D242CB"/>
    <w:rsid w:val="00D26CE3"/>
    <w:rsid w:val="00D31170"/>
    <w:rsid w:val="00D31FA3"/>
    <w:rsid w:val="00D3238B"/>
    <w:rsid w:val="00D35966"/>
    <w:rsid w:val="00D36BB6"/>
    <w:rsid w:val="00D415DD"/>
    <w:rsid w:val="00D41C0B"/>
    <w:rsid w:val="00D43F43"/>
    <w:rsid w:val="00D443BA"/>
    <w:rsid w:val="00D44D7A"/>
    <w:rsid w:val="00D450D3"/>
    <w:rsid w:val="00D452B0"/>
    <w:rsid w:val="00D50AE1"/>
    <w:rsid w:val="00D50CDD"/>
    <w:rsid w:val="00D52610"/>
    <w:rsid w:val="00D52C52"/>
    <w:rsid w:val="00D52F8E"/>
    <w:rsid w:val="00D53224"/>
    <w:rsid w:val="00D532E4"/>
    <w:rsid w:val="00D53DEB"/>
    <w:rsid w:val="00D57DE8"/>
    <w:rsid w:val="00D63557"/>
    <w:rsid w:val="00D6767F"/>
    <w:rsid w:val="00D70589"/>
    <w:rsid w:val="00D7282E"/>
    <w:rsid w:val="00D72C56"/>
    <w:rsid w:val="00D72EBB"/>
    <w:rsid w:val="00D73144"/>
    <w:rsid w:val="00D73749"/>
    <w:rsid w:val="00D73AAD"/>
    <w:rsid w:val="00D742FB"/>
    <w:rsid w:val="00D745F6"/>
    <w:rsid w:val="00D75842"/>
    <w:rsid w:val="00D764FA"/>
    <w:rsid w:val="00D77449"/>
    <w:rsid w:val="00D8009E"/>
    <w:rsid w:val="00D803CC"/>
    <w:rsid w:val="00D80643"/>
    <w:rsid w:val="00D80D4F"/>
    <w:rsid w:val="00D81AA9"/>
    <w:rsid w:val="00D82F37"/>
    <w:rsid w:val="00D85351"/>
    <w:rsid w:val="00D85CEE"/>
    <w:rsid w:val="00D8641F"/>
    <w:rsid w:val="00D86F03"/>
    <w:rsid w:val="00D86FF7"/>
    <w:rsid w:val="00D87190"/>
    <w:rsid w:val="00D871C7"/>
    <w:rsid w:val="00D87311"/>
    <w:rsid w:val="00D91EAF"/>
    <w:rsid w:val="00D93AE0"/>
    <w:rsid w:val="00D93B48"/>
    <w:rsid w:val="00D9687A"/>
    <w:rsid w:val="00DA21E5"/>
    <w:rsid w:val="00DA2769"/>
    <w:rsid w:val="00DA2E98"/>
    <w:rsid w:val="00DA43C3"/>
    <w:rsid w:val="00DA590A"/>
    <w:rsid w:val="00DA597A"/>
    <w:rsid w:val="00DB16B2"/>
    <w:rsid w:val="00DB1F05"/>
    <w:rsid w:val="00DB261E"/>
    <w:rsid w:val="00DB2AC8"/>
    <w:rsid w:val="00DB3184"/>
    <w:rsid w:val="00DB3730"/>
    <w:rsid w:val="00DB42AE"/>
    <w:rsid w:val="00DB514A"/>
    <w:rsid w:val="00DB5BEA"/>
    <w:rsid w:val="00DB7B7C"/>
    <w:rsid w:val="00DC04E8"/>
    <w:rsid w:val="00DC26A7"/>
    <w:rsid w:val="00DC593F"/>
    <w:rsid w:val="00DC5EF5"/>
    <w:rsid w:val="00DC727D"/>
    <w:rsid w:val="00DD0DCF"/>
    <w:rsid w:val="00DD14D2"/>
    <w:rsid w:val="00DD3ACE"/>
    <w:rsid w:val="00DD3F92"/>
    <w:rsid w:val="00DD42B4"/>
    <w:rsid w:val="00DD5DEE"/>
    <w:rsid w:val="00DD6A69"/>
    <w:rsid w:val="00DD6DF0"/>
    <w:rsid w:val="00DE1678"/>
    <w:rsid w:val="00DE28B7"/>
    <w:rsid w:val="00DE2BD8"/>
    <w:rsid w:val="00DE4234"/>
    <w:rsid w:val="00DE47DC"/>
    <w:rsid w:val="00DE4C23"/>
    <w:rsid w:val="00DE575A"/>
    <w:rsid w:val="00DE5BE2"/>
    <w:rsid w:val="00DE65F3"/>
    <w:rsid w:val="00DE6B3F"/>
    <w:rsid w:val="00DE6E03"/>
    <w:rsid w:val="00DE719C"/>
    <w:rsid w:val="00DF036C"/>
    <w:rsid w:val="00DF04A8"/>
    <w:rsid w:val="00DF33B5"/>
    <w:rsid w:val="00DF3646"/>
    <w:rsid w:val="00DF433E"/>
    <w:rsid w:val="00DF5781"/>
    <w:rsid w:val="00DF6C06"/>
    <w:rsid w:val="00DF7109"/>
    <w:rsid w:val="00E0031C"/>
    <w:rsid w:val="00E00507"/>
    <w:rsid w:val="00E008A9"/>
    <w:rsid w:val="00E02022"/>
    <w:rsid w:val="00E03722"/>
    <w:rsid w:val="00E03EF5"/>
    <w:rsid w:val="00E06430"/>
    <w:rsid w:val="00E1066A"/>
    <w:rsid w:val="00E12953"/>
    <w:rsid w:val="00E143A8"/>
    <w:rsid w:val="00E2149D"/>
    <w:rsid w:val="00E216C3"/>
    <w:rsid w:val="00E22463"/>
    <w:rsid w:val="00E22591"/>
    <w:rsid w:val="00E22B8F"/>
    <w:rsid w:val="00E22CAC"/>
    <w:rsid w:val="00E23081"/>
    <w:rsid w:val="00E23871"/>
    <w:rsid w:val="00E25AA7"/>
    <w:rsid w:val="00E25F6A"/>
    <w:rsid w:val="00E26D98"/>
    <w:rsid w:val="00E30979"/>
    <w:rsid w:val="00E30B6A"/>
    <w:rsid w:val="00E3160B"/>
    <w:rsid w:val="00E322E9"/>
    <w:rsid w:val="00E349A8"/>
    <w:rsid w:val="00E34CCF"/>
    <w:rsid w:val="00E35EDB"/>
    <w:rsid w:val="00E35FA2"/>
    <w:rsid w:val="00E35FB0"/>
    <w:rsid w:val="00E366DF"/>
    <w:rsid w:val="00E37402"/>
    <w:rsid w:val="00E400EA"/>
    <w:rsid w:val="00E401C3"/>
    <w:rsid w:val="00E40D81"/>
    <w:rsid w:val="00E4220C"/>
    <w:rsid w:val="00E42D41"/>
    <w:rsid w:val="00E46AD4"/>
    <w:rsid w:val="00E46EE5"/>
    <w:rsid w:val="00E4743E"/>
    <w:rsid w:val="00E50177"/>
    <w:rsid w:val="00E50698"/>
    <w:rsid w:val="00E5101E"/>
    <w:rsid w:val="00E51D53"/>
    <w:rsid w:val="00E52B2A"/>
    <w:rsid w:val="00E556FA"/>
    <w:rsid w:val="00E55745"/>
    <w:rsid w:val="00E55DB6"/>
    <w:rsid w:val="00E57F5E"/>
    <w:rsid w:val="00E60F16"/>
    <w:rsid w:val="00E60FB0"/>
    <w:rsid w:val="00E614A1"/>
    <w:rsid w:val="00E61769"/>
    <w:rsid w:val="00E62CF9"/>
    <w:rsid w:val="00E6445A"/>
    <w:rsid w:val="00E700AD"/>
    <w:rsid w:val="00E70242"/>
    <w:rsid w:val="00E706DC"/>
    <w:rsid w:val="00E71380"/>
    <w:rsid w:val="00E729C9"/>
    <w:rsid w:val="00E73285"/>
    <w:rsid w:val="00E7329E"/>
    <w:rsid w:val="00E732F1"/>
    <w:rsid w:val="00E74030"/>
    <w:rsid w:val="00E7415A"/>
    <w:rsid w:val="00E746BA"/>
    <w:rsid w:val="00E74ABD"/>
    <w:rsid w:val="00E76B1D"/>
    <w:rsid w:val="00E770AD"/>
    <w:rsid w:val="00E770BB"/>
    <w:rsid w:val="00E77D44"/>
    <w:rsid w:val="00E8025C"/>
    <w:rsid w:val="00E80621"/>
    <w:rsid w:val="00E82546"/>
    <w:rsid w:val="00E83023"/>
    <w:rsid w:val="00E83384"/>
    <w:rsid w:val="00E833E4"/>
    <w:rsid w:val="00E83CDA"/>
    <w:rsid w:val="00E8433D"/>
    <w:rsid w:val="00E850EC"/>
    <w:rsid w:val="00E868B9"/>
    <w:rsid w:val="00E91CC3"/>
    <w:rsid w:val="00E926B5"/>
    <w:rsid w:val="00E92EED"/>
    <w:rsid w:val="00E93334"/>
    <w:rsid w:val="00E93A0F"/>
    <w:rsid w:val="00E940F4"/>
    <w:rsid w:val="00E94DF4"/>
    <w:rsid w:val="00E95AD9"/>
    <w:rsid w:val="00E95E38"/>
    <w:rsid w:val="00E97E65"/>
    <w:rsid w:val="00E97E77"/>
    <w:rsid w:val="00EA05CF"/>
    <w:rsid w:val="00EA1011"/>
    <w:rsid w:val="00EA13EF"/>
    <w:rsid w:val="00EA14F0"/>
    <w:rsid w:val="00EA16BA"/>
    <w:rsid w:val="00EA175A"/>
    <w:rsid w:val="00EA1A03"/>
    <w:rsid w:val="00EA1E20"/>
    <w:rsid w:val="00EA27FE"/>
    <w:rsid w:val="00EA370F"/>
    <w:rsid w:val="00EA3E66"/>
    <w:rsid w:val="00EA44B7"/>
    <w:rsid w:val="00EA4566"/>
    <w:rsid w:val="00EA4B38"/>
    <w:rsid w:val="00EA5278"/>
    <w:rsid w:val="00EA5C37"/>
    <w:rsid w:val="00EA5E81"/>
    <w:rsid w:val="00EA656C"/>
    <w:rsid w:val="00EA65FF"/>
    <w:rsid w:val="00EA6B99"/>
    <w:rsid w:val="00EB2897"/>
    <w:rsid w:val="00EB3879"/>
    <w:rsid w:val="00EB421E"/>
    <w:rsid w:val="00EB4CC6"/>
    <w:rsid w:val="00EB522B"/>
    <w:rsid w:val="00EB591B"/>
    <w:rsid w:val="00EB59B1"/>
    <w:rsid w:val="00EB5F39"/>
    <w:rsid w:val="00EB6C1B"/>
    <w:rsid w:val="00EB77D9"/>
    <w:rsid w:val="00EB7C45"/>
    <w:rsid w:val="00EC0B43"/>
    <w:rsid w:val="00EC0DEA"/>
    <w:rsid w:val="00EC18D4"/>
    <w:rsid w:val="00EC2972"/>
    <w:rsid w:val="00EC3EB5"/>
    <w:rsid w:val="00EC7397"/>
    <w:rsid w:val="00ED09FF"/>
    <w:rsid w:val="00ED1FF8"/>
    <w:rsid w:val="00ED22CE"/>
    <w:rsid w:val="00ED24A0"/>
    <w:rsid w:val="00ED302F"/>
    <w:rsid w:val="00ED3134"/>
    <w:rsid w:val="00ED3EC2"/>
    <w:rsid w:val="00ED4821"/>
    <w:rsid w:val="00ED628A"/>
    <w:rsid w:val="00ED6A08"/>
    <w:rsid w:val="00ED6C44"/>
    <w:rsid w:val="00ED70F3"/>
    <w:rsid w:val="00EE04DB"/>
    <w:rsid w:val="00EE10B6"/>
    <w:rsid w:val="00EE22BE"/>
    <w:rsid w:val="00EE2471"/>
    <w:rsid w:val="00EE26D7"/>
    <w:rsid w:val="00EE5F49"/>
    <w:rsid w:val="00EE68AD"/>
    <w:rsid w:val="00EE7A75"/>
    <w:rsid w:val="00EE7DF8"/>
    <w:rsid w:val="00EF1B5D"/>
    <w:rsid w:val="00EF1D1A"/>
    <w:rsid w:val="00EF6820"/>
    <w:rsid w:val="00EF6F64"/>
    <w:rsid w:val="00EF7AC7"/>
    <w:rsid w:val="00F01B19"/>
    <w:rsid w:val="00F0334B"/>
    <w:rsid w:val="00F05CAF"/>
    <w:rsid w:val="00F118E2"/>
    <w:rsid w:val="00F11AA8"/>
    <w:rsid w:val="00F135CE"/>
    <w:rsid w:val="00F150DD"/>
    <w:rsid w:val="00F15A7B"/>
    <w:rsid w:val="00F20067"/>
    <w:rsid w:val="00F208BE"/>
    <w:rsid w:val="00F214FC"/>
    <w:rsid w:val="00F226BF"/>
    <w:rsid w:val="00F22BAB"/>
    <w:rsid w:val="00F24785"/>
    <w:rsid w:val="00F24787"/>
    <w:rsid w:val="00F24D1B"/>
    <w:rsid w:val="00F24DA1"/>
    <w:rsid w:val="00F25ED7"/>
    <w:rsid w:val="00F26B4B"/>
    <w:rsid w:val="00F26E2B"/>
    <w:rsid w:val="00F2711D"/>
    <w:rsid w:val="00F27223"/>
    <w:rsid w:val="00F275EE"/>
    <w:rsid w:val="00F3004D"/>
    <w:rsid w:val="00F304CF"/>
    <w:rsid w:val="00F33BD9"/>
    <w:rsid w:val="00F34D29"/>
    <w:rsid w:val="00F34D42"/>
    <w:rsid w:val="00F3623C"/>
    <w:rsid w:val="00F36726"/>
    <w:rsid w:val="00F40F6B"/>
    <w:rsid w:val="00F41116"/>
    <w:rsid w:val="00F4258D"/>
    <w:rsid w:val="00F43B6E"/>
    <w:rsid w:val="00F44164"/>
    <w:rsid w:val="00F445C5"/>
    <w:rsid w:val="00F44637"/>
    <w:rsid w:val="00F44D20"/>
    <w:rsid w:val="00F4518C"/>
    <w:rsid w:val="00F4529D"/>
    <w:rsid w:val="00F4614A"/>
    <w:rsid w:val="00F47790"/>
    <w:rsid w:val="00F5044F"/>
    <w:rsid w:val="00F530FE"/>
    <w:rsid w:val="00F53F09"/>
    <w:rsid w:val="00F54D66"/>
    <w:rsid w:val="00F55604"/>
    <w:rsid w:val="00F56B20"/>
    <w:rsid w:val="00F60128"/>
    <w:rsid w:val="00F61283"/>
    <w:rsid w:val="00F6219B"/>
    <w:rsid w:val="00F623AC"/>
    <w:rsid w:val="00F638F5"/>
    <w:rsid w:val="00F6391A"/>
    <w:rsid w:val="00F6471C"/>
    <w:rsid w:val="00F64E0B"/>
    <w:rsid w:val="00F66A0C"/>
    <w:rsid w:val="00F67BC1"/>
    <w:rsid w:val="00F67EE0"/>
    <w:rsid w:val="00F706CB"/>
    <w:rsid w:val="00F70B22"/>
    <w:rsid w:val="00F7179B"/>
    <w:rsid w:val="00F71970"/>
    <w:rsid w:val="00F7219E"/>
    <w:rsid w:val="00F72D66"/>
    <w:rsid w:val="00F73DB0"/>
    <w:rsid w:val="00F73F87"/>
    <w:rsid w:val="00F74C4C"/>
    <w:rsid w:val="00F7554D"/>
    <w:rsid w:val="00F77A92"/>
    <w:rsid w:val="00F80FA5"/>
    <w:rsid w:val="00F811EA"/>
    <w:rsid w:val="00F8164B"/>
    <w:rsid w:val="00F81EB9"/>
    <w:rsid w:val="00F831C7"/>
    <w:rsid w:val="00F8335F"/>
    <w:rsid w:val="00F83DBF"/>
    <w:rsid w:val="00F844A7"/>
    <w:rsid w:val="00F8521E"/>
    <w:rsid w:val="00F85441"/>
    <w:rsid w:val="00F8712C"/>
    <w:rsid w:val="00F87E19"/>
    <w:rsid w:val="00F87F45"/>
    <w:rsid w:val="00F914D5"/>
    <w:rsid w:val="00F930A7"/>
    <w:rsid w:val="00F9358D"/>
    <w:rsid w:val="00F935EE"/>
    <w:rsid w:val="00F93E2B"/>
    <w:rsid w:val="00F947C7"/>
    <w:rsid w:val="00F950DA"/>
    <w:rsid w:val="00F958FE"/>
    <w:rsid w:val="00F96F77"/>
    <w:rsid w:val="00FA160B"/>
    <w:rsid w:val="00FA2876"/>
    <w:rsid w:val="00FA306C"/>
    <w:rsid w:val="00FA31AD"/>
    <w:rsid w:val="00FA3315"/>
    <w:rsid w:val="00FA33F3"/>
    <w:rsid w:val="00FA4562"/>
    <w:rsid w:val="00FB18DB"/>
    <w:rsid w:val="00FB1902"/>
    <w:rsid w:val="00FB1A84"/>
    <w:rsid w:val="00FB35E1"/>
    <w:rsid w:val="00FB587F"/>
    <w:rsid w:val="00FB68E0"/>
    <w:rsid w:val="00FC12A0"/>
    <w:rsid w:val="00FC3896"/>
    <w:rsid w:val="00FC5591"/>
    <w:rsid w:val="00FC55BA"/>
    <w:rsid w:val="00FC5E2F"/>
    <w:rsid w:val="00FC694D"/>
    <w:rsid w:val="00FD08E3"/>
    <w:rsid w:val="00FD18C0"/>
    <w:rsid w:val="00FD1EB9"/>
    <w:rsid w:val="00FD27CD"/>
    <w:rsid w:val="00FD471B"/>
    <w:rsid w:val="00FD4C57"/>
    <w:rsid w:val="00FD7F0E"/>
    <w:rsid w:val="00FE03C4"/>
    <w:rsid w:val="00FE1476"/>
    <w:rsid w:val="00FE1B58"/>
    <w:rsid w:val="00FE2544"/>
    <w:rsid w:val="00FE2BC6"/>
    <w:rsid w:val="00FE2C8E"/>
    <w:rsid w:val="00FE3AD8"/>
    <w:rsid w:val="00FE530F"/>
    <w:rsid w:val="00FE555D"/>
    <w:rsid w:val="00FE5695"/>
    <w:rsid w:val="00FE66DB"/>
    <w:rsid w:val="00FE6F9E"/>
    <w:rsid w:val="00FE7C11"/>
    <w:rsid w:val="00FF0A90"/>
    <w:rsid w:val="00FF1344"/>
    <w:rsid w:val="00FF14E3"/>
    <w:rsid w:val="00FF1554"/>
    <w:rsid w:val="00FF1D8F"/>
    <w:rsid w:val="00FF42E2"/>
    <w:rsid w:val="00FF4C58"/>
    <w:rsid w:val="00FF5408"/>
    <w:rsid w:val="00FF55A4"/>
    <w:rsid w:val="00FF597F"/>
    <w:rsid w:val="00FF61D3"/>
    <w:rsid w:val="00FF6C7B"/>
    <w:rsid w:val="00FF6F53"/>
    <w:rsid w:val="00FF708D"/>
    <w:rsid w:val="00FF7A2E"/>
    <w:rsid w:val="5786DF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BA9834"/>
  <w15:chartTrackingRefBased/>
  <w15:docId w15:val="{66C1DC01-8DD0-48E6-8A9B-205CABF7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943"/>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791F09"/>
    <w:rPr>
      <w:color w:val="0563C1" w:themeColor="hyperlink"/>
      <w:u w:val="single"/>
    </w:rPr>
  </w:style>
  <w:style w:type="paragraph" w:styleId="BodyText">
    <w:name w:val="Body Text"/>
    <w:basedOn w:val="Normal"/>
    <w:link w:val="BodyTextChar"/>
    <w:uiPriority w:val="1"/>
    <w:qFormat/>
    <w:rsid w:val="00E25F6A"/>
    <w:pPr>
      <w:adjustRightInd/>
    </w:pPr>
    <w:rPr>
      <w:rFonts w:ascii="Times New Roman" w:hAnsi="Times New Roman"/>
      <w:sz w:val="22"/>
      <w:szCs w:val="22"/>
    </w:rPr>
  </w:style>
  <w:style w:type="character" w:customStyle="1" w:styleId="BodyTextChar">
    <w:name w:val="Body Text Char"/>
    <w:basedOn w:val="DefaultParagraphFont"/>
    <w:link w:val="BodyText"/>
    <w:uiPriority w:val="1"/>
    <w:rsid w:val="00E25F6A"/>
    <w:rPr>
      <w:sz w:val="22"/>
      <w:szCs w:val="22"/>
    </w:rPr>
  </w:style>
  <w:style w:type="paragraph" w:styleId="FootnoteText">
    <w:name w:val="footnote text"/>
    <w:basedOn w:val="Normal"/>
    <w:link w:val="FootnoteTextChar"/>
    <w:uiPriority w:val="99"/>
    <w:unhideWhenUsed/>
    <w:rsid w:val="003E60A7"/>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3E60A7"/>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8A0DB9"/>
    <w:rPr>
      <w:color w:val="605E5C"/>
      <w:shd w:val="clear" w:color="auto" w:fill="E1DFDD"/>
    </w:rPr>
  </w:style>
  <w:style w:type="table" w:styleId="TableGrid">
    <w:name w:val="Table Grid"/>
    <w:basedOn w:val="TableNormal"/>
    <w:rsid w:val="00C6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sha.gov/laws-regs/regulations/standardnumber/1908/1908.1" TargetMode="External" /><Relationship Id="rId11" Type="http://schemas.openxmlformats.org/officeDocument/2006/relationships/hyperlink" Target="https://www.osha.gov/shpguidelines/" TargetMode="External" /><Relationship Id="rId12" Type="http://schemas.openxmlformats.org/officeDocument/2006/relationships/hyperlink" Target="http://www.osha.gov/consultation" TargetMode="External" /><Relationship Id="rId13" Type="http://schemas.openxmlformats.org/officeDocument/2006/relationships/hyperlink" Target="https://www.osha.gov/sites/default/files/OSHA-RK-Forms-Package.pdf" TargetMode="External" /><Relationship Id="rId14" Type="http://schemas.openxmlformats.org/officeDocument/2006/relationships/hyperlink" Target="http://www.osha.gov/stateplans" TargetMode="External" /><Relationship Id="rId15" Type="http://schemas.openxmlformats.org/officeDocument/2006/relationships/hyperlink" Target="https://www.osha.gov/sites/default/files/2018_Benefits_OSHA_On-Site_Consultation_Program_Economic_Analysis.pdf" TargetMode="External" /><Relationship Id="rId16" Type="http://schemas.openxmlformats.org/officeDocument/2006/relationships/hyperlink" Target="https://www.bls.gov/oes/tables.htm" TargetMode="External" /><Relationship Id="rId17" Type="http://schemas.openxmlformats.org/officeDocument/2006/relationships/hyperlink" Target="https://www.bls.gov/news.release/ecec.t02.htm" TargetMode="External" /><Relationship Id="rId18" Type="http://schemas.openxmlformats.org/officeDocument/2006/relationships/hyperlink" Target="https://www.bls.gov/news.release/ecec.t03.htm"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sha.gov/enforcement/directives/csp-02-00-00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sha.gov/sites/default/files/OSHA388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0ACE0-FB4C-4594-8607-196E6CB166DF}">
  <ds:schemaRefs>
    <ds:schemaRef ds:uri="http://schemas.openxmlformats.org/officeDocument/2006/bibliography"/>
  </ds:schemaRefs>
</ds:datastoreItem>
</file>

<file path=customXml/itemProps2.xml><?xml version="1.0" encoding="utf-8"?>
<ds:datastoreItem xmlns:ds="http://schemas.openxmlformats.org/officeDocument/2006/customXml" ds:itemID="{3B50B0A7-4DC5-4229-BA9B-3A5BFAC2DFCB}">
  <ds:schemaRefs>
    <ds:schemaRef ds:uri="http://schemas.microsoft.com/sharepoint/v3/contenttype/forms"/>
  </ds:schemaRefs>
</ds:datastoreItem>
</file>

<file path=customXml/itemProps3.xml><?xml version="1.0" encoding="utf-8"?>
<ds:datastoreItem xmlns:ds="http://schemas.openxmlformats.org/officeDocument/2006/customXml" ds:itemID="{78D11485-FD35-4B10-A9C1-3293AD37C9D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CE127273-45B5-40B1-AB19-E5736959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16107</Words>
  <Characters>91812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107704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Perryman, Seleda M - OSHA</cp:lastModifiedBy>
  <cp:revision>4</cp:revision>
  <cp:lastPrinted>2020-02-19T18:46:00Z</cp:lastPrinted>
  <dcterms:created xsi:type="dcterms:W3CDTF">2025-04-09T22:24:00Z</dcterms:created>
  <dcterms:modified xsi:type="dcterms:W3CDTF">2025-04-09T22:26:00Z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