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40AC" w:rsidRPr="003D7D05" w:rsidP="004040AC" w14:paraId="009902B0" w14:textId="77777777">
      <w:pPr>
        <w:suppressAutoHyphens/>
        <w:jc w:val="center"/>
        <w:rPr>
          <w:b/>
        </w:rPr>
      </w:pPr>
      <w:r w:rsidRPr="003D7D05">
        <w:rPr>
          <w:b/>
        </w:rPr>
        <w:t>Supporting Statement for</w:t>
      </w:r>
      <w:r w:rsidRPr="003D7D05">
        <w:t xml:space="preserve"> </w:t>
      </w:r>
      <w:r w:rsidRPr="003D7D05">
        <w:rPr>
          <w:b/>
        </w:rPr>
        <w:t>Underground Coal Mine Fire Protection</w:t>
      </w:r>
    </w:p>
    <w:p w:rsidR="004040AC" w:rsidRPr="003D7D05" w:rsidP="004040AC" w14:paraId="0908BDC2" w14:textId="77777777">
      <w:pPr>
        <w:suppressAutoHyphens/>
        <w:jc w:val="center"/>
        <w:rPr>
          <w:b/>
        </w:rPr>
      </w:pPr>
      <w:r w:rsidRPr="003D7D05">
        <w:rPr>
          <w:b/>
        </w:rPr>
        <w:t>Paperwork Reduction Act Submission</w:t>
      </w:r>
    </w:p>
    <w:p w:rsidR="004040AC" w:rsidRPr="003D7D05" w:rsidP="004040AC" w14:paraId="2F646836" w14:textId="77777777">
      <w:pPr>
        <w:suppressAutoHyphens/>
        <w:rPr>
          <w:b/>
        </w:rPr>
      </w:pPr>
    </w:p>
    <w:p w:rsidR="004040AC" w:rsidRPr="003D7D05" w:rsidP="004040AC" w14:paraId="39FEAF74" w14:textId="77777777">
      <w:pPr>
        <w:pStyle w:val="Default"/>
        <w:rPr>
          <w:rFonts w:ascii="Times New Roman" w:hAnsi="Times New Roman" w:cs="Times New Roman"/>
          <w:bCs/>
        </w:rPr>
      </w:pPr>
      <w:r w:rsidRPr="003D7D05">
        <w:rPr>
          <w:rFonts w:ascii="Times New Roman" w:hAnsi="Times New Roman" w:cs="Times New Roman"/>
          <w:bCs/>
        </w:rPr>
        <w:t>This information collection request (ICR) seeks to extend, without change, a currently approved information collection.</w:t>
      </w:r>
    </w:p>
    <w:p w:rsidR="004040AC" w:rsidRPr="003D7D05" w:rsidP="004040AC" w14:paraId="7A9DD070" w14:textId="77777777">
      <w:pPr>
        <w:tabs>
          <w:tab w:val="left" w:pos="-720"/>
        </w:tabs>
        <w:suppressAutoHyphens/>
        <w:rPr>
          <w:b/>
        </w:rPr>
      </w:pPr>
    </w:p>
    <w:p w:rsidR="004040AC" w:rsidRPr="003D7D05" w:rsidP="004040AC" w14:paraId="13525260" w14:textId="77777777">
      <w:pPr>
        <w:tabs>
          <w:tab w:val="left" w:pos="-720"/>
        </w:tabs>
        <w:suppressAutoHyphens/>
        <w:rPr>
          <w:b/>
        </w:rPr>
      </w:pPr>
      <w:r w:rsidRPr="003D7D05">
        <w:rPr>
          <w:b/>
          <w:u w:val="single"/>
        </w:rPr>
        <w:t>OMB Control Number</w:t>
      </w:r>
      <w:r w:rsidRPr="003D7D05">
        <w:rPr>
          <w:b/>
        </w:rPr>
        <w:t xml:space="preserve">:  </w:t>
      </w:r>
      <w:r w:rsidRPr="003D7D05">
        <w:t>1219</w:t>
      </w:r>
      <w:r w:rsidRPr="003D7D05">
        <w:t>-0054</w:t>
      </w:r>
    </w:p>
    <w:p w:rsidR="004040AC" w:rsidRPr="003D7D05" w:rsidP="004040AC" w14:paraId="582EDFC0" w14:textId="77777777">
      <w:pPr>
        <w:tabs>
          <w:tab w:val="left" w:pos="-720"/>
        </w:tabs>
        <w:suppressAutoHyphens/>
        <w:rPr>
          <w:b/>
        </w:rPr>
      </w:pPr>
    </w:p>
    <w:p w:rsidR="004040AC" w:rsidRPr="003D7D05" w:rsidP="004040AC" w14:paraId="194AAF68" w14:textId="77777777">
      <w:pPr>
        <w:tabs>
          <w:tab w:val="left" w:pos="-720"/>
        </w:tabs>
        <w:suppressAutoHyphens/>
        <w:rPr>
          <w:b/>
        </w:rPr>
      </w:pPr>
      <w:r w:rsidRPr="003D7D05">
        <w:rPr>
          <w:b/>
          <w:u w:val="single"/>
        </w:rPr>
        <w:t>Information Collection Request Title</w:t>
      </w:r>
      <w:r w:rsidRPr="003D7D05">
        <w:rPr>
          <w:b/>
        </w:rPr>
        <w:t xml:space="preserve">:  </w:t>
      </w:r>
      <w:bookmarkStart w:id="0" w:name="_Hlk174094923"/>
      <w:r w:rsidRPr="003D7D05">
        <w:rPr>
          <w:bCs/>
        </w:rPr>
        <w:t>Underground</w:t>
      </w:r>
      <w:r w:rsidRPr="003D7D05">
        <w:rPr>
          <w:bCs/>
        </w:rPr>
        <w:t xml:space="preserve"> Coal Mine Fire Protection</w:t>
      </w:r>
      <w:r w:rsidRPr="003D7D05">
        <w:rPr>
          <w:b/>
        </w:rPr>
        <w:t xml:space="preserve"> </w:t>
      </w:r>
      <w:bookmarkEnd w:id="0"/>
    </w:p>
    <w:p w:rsidR="004040AC" w:rsidRPr="003D7D05" w:rsidP="004040AC" w14:paraId="6137D669" w14:textId="77777777">
      <w:pPr>
        <w:tabs>
          <w:tab w:val="left" w:pos="2160"/>
        </w:tabs>
        <w:autoSpaceDE w:val="0"/>
        <w:autoSpaceDN w:val="0"/>
        <w:adjustRightInd w:val="0"/>
        <w:ind w:left="4320" w:hanging="4320"/>
        <w:rPr>
          <w:b/>
        </w:rPr>
      </w:pPr>
    </w:p>
    <w:p w:rsidR="004040AC" w:rsidRPr="003D7D05" w:rsidP="004040AC" w14:paraId="36296BBD" w14:textId="77777777">
      <w:pPr>
        <w:tabs>
          <w:tab w:val="left" w:pos="2160"/>
        </w:tabs>
        <w:autoSpaceDE w:val="0"/>
        <w:autoSpaceDN w:val="0"/>
        <w:adjustRightInd w:val="0"/>
        <w:ind w:left="4320" w:hanging="4320"/>
        <w:rPr>
          <w:bCs/>
        </w:rPr>
      </w:pPr>
      <w:r w:rsidRPr="003D7D05">
        <w:rPr>
          <w:b/>
          <w:u w:val="single"/>
        </w:rPr>
        <w:t>Type of OMB Review</w:t>
      </w:r>
      <w:r w:rsidRPr="003D7D05">
        <w:rPr>
          <w:b/>
        </w:rPr>
        <w:t xml:space="preserve">: </w:t>
      </w:r>
      <w:r w:rsidRPr="003D7D05">
        <w:rPr>
          <w:bCs/>
        </w:rPr>
        <w:t>Extension</w:t>
      </w:r>
    </w:p>
    <w:p w:rsidR="004040AC" w:rsidRPr="003D7D05" w:rsidP="004040AC" w14:paraId="6E16F338" w14:textId="77777777">
      <w:pPr>
        <w:tabs>
          <w:tab w:val="left" w:pos="2160"/>
        </w:tabs>
        <w:autoSpaceDE w:val="0"/>
        <w:autoSpaceDN w:val="0"/>
        <w:adjustRightInd w:val="0"/>
        <w:ind w:left="4320" w:hanging="4320"/>
        <w:rPr>
          <w:b/>
        </w:rPr>
      </w:pPr>
    </w:p>
    <w:p w:rsidR="004040AC" w:rsidRPr="003D7D05" w:rsidP="004040AC" w14:paraId="017DA914" w14:textId="77777777">
      <w:pPr>
        <w:tabs>
          <w:tab w:val="left" w:pos="2160"/>
        </w:tabs>
        <w:autoSpaceDE w:val="0"/>
        <w:autoSpaceDN w:val="0"/>
        <w:adjustRightInd w:val="0"/>
        <w:ind w:left="4320" w:hanging="4320"/>
        <w:rPr>
          <w:b/>
        </w:rPr>
      </w:pPr>
      <w:r w:rsidRPr="003D7D05">
        <w:rPr>
          <w:b/>
          <w:u w:val="single"/>
        </w:rPr>
        <w:t>Authority</w:t>
      </w:r>
      <w:r w:rsidRPr="003D7D05">
        <w:rPr>
          <w:b/>
        </w:rPr>
        <w:t xml:space="preserve">: </w:t>
      </w:r>
    </w:p>
    <w:p w:rsidR="009E7075" w:rsidRPr="000C3AE5" w:rsidP="004040AC" w14:paraId="79C02236" w14:textId="77777777">
      <w:pPr>
        <w:tabs>
          <w:tab w:val="left" w:pos="2160"/>
        </w:tabs>
        <w:autoSpaceDE w:val="0"/>
        <w:autoSpaceDN w:val="0"/>
        <w:adjustRightInd w:val="0"/>
        <w:ind w:left="4320" w:hanging="4320"/>
        <w:rPr>
          <w:bCs/>
        </w:rPr>
      </w:pPr>
    </w:p>
    <w:p w:rsidR="004040AC" w:rsidRPr="003D7D05" w:rsidP="004040AC" w14:paraId="4CCC0FF3" w14:textId="4C627F72">
      <w:pPr>
        <w:tabs>
          <w:tab w:val="left" w:pos="2160"/>
        </w:tabs>
        <w:autoSpaceDE w:val="0"/>
        <w:autoSpaceDN w:val="0"/>
        <w:adjustRightInd w:val="0"/>
        <w:ind w:left="4320" w:hanging="4320"/>
        <w:rPr>
          <w:bCs/>
        </w:rPr>
      </w:pPr>
      <w:r w:rsidRPr="003D7D05">
        <w:rPr>
          <w:bCs/>
        </w:rPr>
        <w:t xml:space="preserve">Part 75 </w:t>
      </w:r>
      <w:r w:rsidRPr="003D7D05" w:rsidR="009E7075">
        <w:rPr>
          <w:bCs/>
        </w:rPr>
        <w:t xml:space="preserve">- </w:t>
      </w:r>
      <w:r w:rsidRPr="003D7D05">
        <w:rPr>
          <w:bCs/>
        </w:rPr>
        <w:t>Mandatory Safety Standards - Underground Coal Mines</w:t>
      </w:r>
    </w:p>
    <w:p w:rsidR="004040AC" w:rsidRPr="003D7D05" w:rsidP="004040AC" w14:paraId="4B8CB325" w14:textId="77777777">
      <w:pPr>
        <w:tabs>
          <w:tab w:val="left" w:pos="2160"/>
        </w:tabs>
        <w:autoSpaceDE w:val="0"/>
        <w:autoSpaceDN w:val="0"/>
        <w:adjustRightInd w:val="0"/>
        <w:ind w:left="4320" w:hanging="4320"/>
        <w:rPr>
          <w:bCs/>
        </w:rPr>
      </w:pPr>
      <w:r w:rsidRPr="003D7D05">
        <w:rPr>
          <w:bCs/>
        </w:rPr>
        <w:t xml:space="preserve">     Subpart L - Fire Protection</w:t>
      </w:r>
    </w:p>
    <w:p w:rsidR="004040AC" w:rsidRPr="003D7D05" w:rsidP="004040AC" w14:paraId="6FC17DE3" w14:textId="77777777">
      <w:pPr>
        <w:tabs>
          <w:tab w:val="left" w:pos="2160"/>
        </w:tabs>
        <w:autoSpaceDE w:val="0"/>
        <w:autoSpaceDN w:val="0"/>
        <w:adjustRightInd w:val="0"/>
        <w:ind w:left="4320" w:hanging="4320"/>
      </w:pPr>
      <w:r w:rsidRPr="003D7D05">
        <w:rPr>
          <w:bCs/>
        </w:rPr>
        <w:t xml:space="preserve">          </w:t>
      </w:r>
      <w:bookmarkStart w:id="1" w:name="_Hlk194304859"/>
      <w:r w:rsidRPr="003D7D05">
        <w:rPr>
          <w:bCs/>
        </w:rPr>
        <w:t>30 CFR</w:t>
      </w:r>
      <w:r w:rsidRPr="003D7D05">
        <w:rPr>
          <w:b/>
        </w:rPr>
        <w:t xml:space="preserve"> </w:t>
      </w:r>
      <w:bookmarkEnd w:id="1"/>
      <w:r w:rsidRPr="003D7D05">
        <w:t>75.1100-3 Condition and examination of firefighting equipment.</w:t>
      </w:r>
    </w:p>
    <w:p w:rsidR="004040AC" w:rsidRPr="003D7D05" w:rsidP="004040AC" w14:paraId="6D07596F" w14:textId="77777777">
      <w:pPr>
        <w:widowControl w:val="0"/>
        <w:autoSpaceDE w:val="0"/>
        <w:autoSpaceDN w:val="0"/>
        <w:adjustRightInd w:val="0"/>
      </w:pPr>
      <w:r w:rsidRPr="003D7D05">
        <w:t xml:space="preserve">          30 CFR 75.1103-5 Automatic fire warning devices; actions and response.</w:t>
      </w:r>
    </w:p>
    <w:p w:rsidR="004040AC" w:rsidRPr="003D7D05" w:rsidP="004040AC" w14:paraId="4DFEEDC9" w14:textId="77777777">
      <w:pPr>
        <w:widowControl w:val="0"/>
        <w:tabs>
          <w:tab w:val="left" w:pos="2160"/>
        </w:tabs>
        <w:autoSpaceDE w:val="0"/>
        <w:autoSpaceDN w:val="0"/>
        <w:adjustRightInd w:val="0"/>
      </w:pPr>
      <w:r w:rsidRPr="003D7D05">
        <w:t xml:space="preserve">          30 CFR 75.1103-8 Automatic fire sensor and warning device systems; examination and     </w:t>
      </w:r>
    </w:p>
    <w:p w:rsidR="004040AC" w:rsidRPr="003D7D05" w:rsidP="004040AC" w14:paraId="47F5189A" w14:textId="77777777">
      <w:pPr>
        <w:widowControl w:val="0"/>
        <w:tabs>
          <w:tab w:val="left" w:pos="2160"/>
        </w:tabs>
        <w:autoSpaceDE w:val="0"/>
        <w:autoSpaceDN w:val="0"/>
        <w:adjustRightInd w:val="0"/>
        <w:rPr>
          <w:highlight w:val="yellow"/>
        </w:rPr>
      </w:pPr>
      <w:r w:rsidRPr="003D7D05">
        <w:t xml:space="preserve">                                         test requirements.</w:t>
      </w:r>
    </w:p>
    <w:p w:rsidR="004040AC" w:rsidRPr="003D7D05" w:rsidP="004040AC" w14:paraId="20BDAAF5" w14:textId="77777777">
      <w:pPr>
        <w:widowControl w:val="0"/>
        <w:tabs>
          <w:tab w:val="left" w:pos="2160"/>
        </w:tabs>
        <w:autoSpaceDE w:val="0"/>
        <w:autoSpaceDN w:val="0"/>
        <w:adjustRightInd w:val="0"/>
        <w:ind w:left="4320" w:hanging="4320"/>
      </w:pPr>
      <w:r w:rsidRPr="003D7D05">
        <w:t xml:space="preserve">          30 CFR 75.1103-11 Tests of fire hydrants and fire hose; record of tests.</w:t>
      </w:r>
    </w:p>
    <w:p w:rsidR="004040AC" w:rsidRPr="003D7D05" w:rsidP="004040AC" w14:paraId="275438C5" w14:textId="77777777">
      <w:pPr>
        <w:widowControl w:val="0"/>
        <w:tabs>
          <w:tab w:val="left" w:pos="2160"/>
        </w:tabs>
        <w:autoSpaceDE w:val="0"/>
        <w:autoSpaceDN w:val="0"/>
        <w:adjustRightInd w:val="0"/>
        <w:ind w:left="4320" w:hanging="4320"/>
      </w:pPr>
      <w:r w:rsidRPr="003D7D05">
        <w:t xml:space="preserve">          30 CFR 75.1107-16 Inspection of fire suppression devices.</w:t>
      </w:r>
    </w:p>
    <w:p w:rsidR="004040AC" w:rsidRPr="003D7D05" w:rsidP="004040AC" w14:paraId="6512A725" w14:textId="77777777">
      <w:pPr>
        <w:widowControl w:val="0"/>
        <w:tabs>
          <w:tab w:val="left" w:pos="2160"/>
        </w:tabs>
        <w:autoSpaceDE w:val="0"/>
        <w:autoSpaceDN w:val="0"/>
        <w:adjustRightInd w:val="0"/>
        <w:ind w:left="4320" w:hanging="4320"/>
      </w:pPr>
    </w:p>
    <w:p w:rsidR="004040AC" w:rsidRPr="003D7D05" w:rsidP="004040AC" w14:paraId="17A31E85" w14:textId="000BF062">
      <w:pPr>
        <w:widowControl w:val="0"/>
        <w:tabs>
          <w:tab w:val="left" w:pos="2160"/>
        </w:tabs>
        <w:autoSpaceDE w:val="0"/>
        <w:autoSpaceDN w:val="0"/>
        <w:adjustRightInd w:val="0"/>
        <w:ind w:left="4320" w:hanging="4320"/>
      </w:pPr>
      <w:r w:rsidRPr="003D7D05">
        <w:t xml:space="preserve">     Subpart P </w:t>
      </w:r>
      <w:r w:rsidRPr="003D7D05" w:rsidR="009E7075">
        <w:t xml:space="preserve">- </w:t>
      </w:r>
      <w:r w:rsidRPr="003D7D05">
        <w:t>Mine Emergencies</w:t>
      </w:r>
    </w:p>
    <w:p w:rsidR="004040AC" w:rsidRPr="003D7D05" w:rsidP="004040AC" w14:paraId="67D69341" w14:textId="682F9A18">
      <w:pPr>
        <w:widowControl w:val="0"/>
        <w:tabs>
          <w:tab w:val="left" w:pos="2160"/>
        </w:tabs>
        <w:autoSpaceDE w:val="0"/>
        <w:autoSpaceDN w:val="0"/>
        <w:adjustRightInd w:val="0"/>
        <w:ind w:left="4320" w:hanging="4320"/>
      </w:pPr>
      <w:r w:rsidRPr="003D7D05">
        <w:t xml:space="preserve">          30 CFR 75.1501 </w:t>
      </w:r>
      <w:r w:rsidRPr="003D7D05" w:rsidR="009E7075">
        <w:t xml:space="preserve">- </w:t>
      </w:r>
      <w:r w:rsidRPr="003D7D05">
        <w:t>Emergency evacuations.</w:t>
      </w:r>
    </w:p>
    <w:p w:rsidR="004040AC" w:rsidRPr="003D7D05" w:rsidP="004040AC" w14:paraId="2DDC14A2" w14:textId="2D60D1E2">
      <w:pPr>
        <w:widowControl w:val="0"/>
        <w:tabs>
          <w:tab w:val="left" w:pos="2160"/>
        </w:tabs>
        <w:autoSpaceDE w:val="0"/>
        <w:autoSpaceDN w:val="0"/>
        <w:adjustRightInd w:val="0"/>
      </w:pPr>
      <w:r w:rsidRPr="003D7D05">
        <w:t xml:space="preserve">          30 CFR 75.1502 </w:t>
      </w:r>
      <w:r w:rsidRPr="003D7D05" w:rsidR="009E7075">
        <w:t xml:space="preserve">- </w:t>
      </w:r>
      <w:r w:rsidRPr="003D7D05">
        <w:t>Mine emergency evacuation and firefighting program of instruction.</w:t>
      </w:r>
    </w:p>
    <w:p w:rsidR="004040AC" w:rsidRPr="003D7D05" w:rsidP="004040AC" w14:paraId="6F105388" w14:textId="77777777">
      <w:pPr>
        <w:widowControl w:val="0"/>
        <w:tabs>
          <w:tab w:val="left" w:pos="2160"/>
        </w:tabs>
        <w:autoSpaceDE w:val="0"/>
        <w:autoSpaceDN w:val="0"/>
        <w:adjustRightInd w:val="0"/>
        <w:ind w:left="4320" w:hanging="4320"/>
      </w:pPr>
    </w:p>
    <w:p w:rsidR="004040AC" w:rsidRPr="003D7D05" w:rsidP="004040AC" w14:paraId="60616996" w14:textId="77777777">
      <w:pPr>
        <w:widowControl w:val="0"/>
        <w:tabs>
          <w:tab w:val="left" w:pos="2160"/>
        </w:tabs>
        <w:autoSpaceDE w:val="0"/>
        <w:autoSpaceDN w:val="0"/>
        <w:adjustRightInd w:val="0"/>
        <w:ind w:left="4320" w:hanging="4320"/>
      </w:pPr>
      <w:r w:rsidRPr="003D7D05">
        <w:rPr>
          <w:b/>
          <w:u w:val="single"/>
        </w:rPr>
        <w:t>Collection Instrument(s)</w:t>
      </w:r>
      <w:r w:rsidRPr="003D7D05">
        <w:rPr>
          <w:b/>
        </w:rPr>
        <w:t>:</w:t>
      </w:r>
      <w:r w:rsidRPr="003D7D05">
        <w:t xml:space="preserve">  None</w:t>
      </w:r>
    </w:p>
    <w:p w:rsidR="004040AC" w:rsidRPr="003D7D05" w:rsidP="004040AC" w14:paraId="26CB9C7F" w14:textId="77777777">
      <w:pPr>
        <w:widowControl w:val="0"/>
        <w:tabs>
          <w:tab w:val="left" w:pos="2160"/>
        </w:tabs>
        <w:autoSpaceDE w:val="0"/>
        <w:autoSpaceDN w:val="0"/>
        <w:adjustRightInd w:val="0"/>
        <w:ind w:left="4320" w:hanging="4320"/>
      </w:pPr>
    </w:p>
    <w:p w:rsidR="004040AC" w:rsidRPr="003D7D05" w:rsidP="004040AC" w14:paraId="6C3F7C97" w14:textId="77777777">
      <w:pPr>
        <w:tabs>
          <w:tab w:val="left" w:pos="-720"/>
        </w:tabs>
        <w:suppressAutoHyphens/>
        <w:rPr>
          <w:b/>
          <w:color w:val="000000"/>
        </w:rPr>
      </w:pPr>
      <w:r w:rsidRPr="003D7D05">
        <w:rPr>
          <w:b/>
          <w:color w:val="000000"/>
        </w:rPr>
        <w:t>General Instructions</w:t>
      </w:r>
    </w:p>
    <w:p w:rsidR="004040AC" w:rsidRPr="003D7D05" w:rsidP="004040AC" w14:paraId="5A9B9F7F" w14:textId="77777777">
      <w:pPr>
        <w:tabs>
          <w:tab w:val="left" w:pos="-720"/>
        </w:tabs>
        <w:suppressAutoHyphens/>
        <w:rPr>
          <w:b/>
          <w:color w:val="000000"/>
        </w:rPr>
      </w:pPr>
    </w:p>
    <w:p w:rsidR="004040AC" w:rsidRPr="003D7D05" w:rsidP="004040AC" w14:paraId="1F42A1AE" w14:textId="77777777">
      <w:pPr>
        <w:tabs>
          <w:tab w:val="left" w:pos="-720"/>
        </w:tabs>
        <w:suppressAutoHyphens/>
        <w:rPr>
          <w:b/>
          <w:color w:val="000000"/>
        </w:rPr>
      </w:pPr>
      <w:r w:rsidRPr="003D7D05">
        <w:rPr>
          <w:b/>
          <w:color w:val="000000"/>
        </w:rPr>
        <w:t>A Supporting Statement, including the text of the notice to the public required by 5 CFR 1320.5(a)(</w:t>
      </w:r>
      <w:r w:rsidRPr="003D7D05">
        <w:rPr>
          <w:b/>
          <w:color w:val="000000"/>
        </w:rPr>
        <w:t>i</w:t>
      </w:r>
      <w:r w:rsidRPr="003D7D05">
        <w:rPr>
          <w:b/>
          <w:color w:val="000000"/>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4040AC" w:rsidRPr="003D7D05" w:rsidP="004040AC" w14:paraId="5A41622E" w14:textId="77777777">
      <w:pPr>
        <w:tabs>
          <w:tab w:val="left" w:pos="-720"/>
        </w:tabs>
        <w:suppressAutoHyphens/>
        <w:rPr>
          <w:b/>
          <w:color w:val="000000"/>
        </w:rPr>
      </w:pPr>
    </w:p>
    <w:p w:rsidR="004040AC" w:rsidRPr="003D7D05" w:rsidP="003D7D05" w14:paraId="698EC890" w14:textId="77777777">
      <w:pPr>
        <w:rPr>
          <w:b/>
          <w:color w:val="000000"/>
        </w:rPr>
      </w:pPr>
      <w:r w:rsidRPr="003D7D05">
        <w:rPr>
          <w:b/>
          <w:color w:val="000000"/>
        </w:rPr>
        <w:t>Specific Instructions</w:t>
      </w:r>
    </w:p>
    <w:p w:rsidR="004040AC" w:rsidRPr="003D7D05" w:rsidP="004040AC" w14:paraId="25B13DDE" w14:textId="77777777">
      <w:pPr>
        <w:tabs>
          <w:tab w:val="left" w:pos="-720"/>
        </w:tabs>
        <w:suppressAutoHyphens/>
      </w:pPr>
    </w:p>
    <w:p w:rsidR="004040AC" w:rsidRPr="003D7D05" w:rsidP="004040AC" w14:paraId="1B9F234D" w14:textId="77777777">
      <w:pPr>
        <w:pStyle w:val="ListParagraph"/>
        <w:keepNext/>
        <w:tabs>
          <w:tab w:val="left" w:pos="-720"/>
        </w:tabs>
        <w:suppressAutoHyphens/>
        <w:ind w:left="0"/>
        <w:outlineLvl w:val="0"/>
        <w:rPr>
          <w:b/>
        </w:rPr>
      </w:pPr>
      <w:r w:rsidRPr="003D7D05">
        <w:rPr>
          <w:b/>
        </w:rPr>
        <w:t>A. Justification</w:t>
      </w:r>
    </w:p>
    <w:p w:rsidR="004040AC" w:rsidRPr="003D7D05" w:rsidP="004040AC" w14:paraId="4319F68C" w14:textId="77777777">
      <w:pPr>
        <w:autoSpaceDE w:val="0"/>
        <w:autoSpaceDN w:val="0"/>
        <w:adjustRightInd w:val="0"/>
        <w:rPr>
          <w:color w:val="000000"/>
        </w:rPr>
      </w:pPr>
    </w:p>
    <w:p w:rsidR="004040AC" w:rsidRPr="003D7D05" w:rsidP="004040AC" w14:paraId="56142DD4" w14:textId="77777777">
      <w:pPr>
        <w:pStyle w:val="ListParagraph"/>
        <w:autoSpaceDE w:val="0"/>
        <w:autoSpaceDN w:val="0"/>
        <w:adjustRightInd w:val="0"/>
        <w:ind w:left="0"/>
        <w:rPr>
          <w:b/>
          <w:bCs/>
          <w:color w:val="000000"/>
        </w:rPr>
      </w:pPr>
      <w:r w:rsidRPr="003D7D05">
        <w:rPr>
          <w:b/>
          <w:bCs/>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040AC" w:rsidRPr="003D7D05" w:rsidP="004040AC" w14:paraId="5F2EF71B" w14:textId="77777777">
      <w:pPr>
        <w:autoSpaceDE w:val="0"/>
        <w:autoSpaceDN w:val="0"/>
        <w:adjustRightInd w:val="0"/>
        <w:rPr>
          <w:color w:val="000000"/>
        </w:rPr>
      </w:pPr>
    </w:p>
    <w:p w:rsidR="004040AC" w:rsidRPr="003D7D05" w:rsidP="004040AC" w14:paraId="27CA9F87" w14:textId="1D27F952">
      <w:pPr>
        <w:autoSpaceDE w:val="0"/>
        <w:autoSpaceDN w:val="0"/>
        <w:adjustRightInd w:val="0"/>
        <w:rPr>
          <w:color w:val="000000"/>
        </w:rPr>
      </w:pPr>
      <w:r w:rsidRPr="003D7D05">
        <w:rPr>
          <w:color w:val="000000"/>
        </w:rPr>
        <w:t>Section 103(h) of the Federal Mine Safety and Health Act of 1977 (Mine Act) as amended, 30 U.S.C. 813(h), authorizes the Mine Safety and Health Administration (MSHA) to collect information necessary to carry out its duty in protecting the safety and health of miners. Further, section 101(a) of the Mine Act, 30 U.S.C. 811(a), authorizes the Secretary of Labor (Secretary) to develop, promulgate, and revise as may be appropriate, improved mandatory health or safety standards for the protection of life and prevention of injuries in coal, metal, and nonmetal mines.</w:t>
      </w:r>
    </w:p>
    <w:p w:rsidR="004040AC" w:rsidRPr="003D7D05" w:rsidP="004040AC" w14:paraId="2356B3EB" w14:textId="77777777">
      <w:pPr>
        <w:autoSpaceDE w:val="0"/>
        <w:autoSpaceDN w:val="0"/>
        <w:adjustRightInd w:val="0"/>
        <w:rPr>
          <w:color w:val="000000"/>
        </w:rPr>
      </w:pPr>
    </w:p>
    <w:p w:rsidR="004040AC" w:rsidRPr="003D7D05" w:rsidP="004040AC" w14:paraId="504108D9" w14:textId="77777777">
      <w:pPr>
        <w:autoSpaceDE w:val="0"/>
        <w:autoSpaceDN w:val="0"/>
        <w:adjustRightInd w:val="0"/>
        <w:rPr>
          <w:color w:val="000000"/>
        </w:rPr>
      </w:pPr>
      <w:r w:rsidRPr="003D7D05">
        <w:rPr>
          <w:color w:val="000000"/>
        </w:rPr>
        <w:t xml:space="preserve">The Paperwork Reduction Act (PRA) governs paperwork burdens imposed by Federal agencies on the public for using identical questions to collect information from 10 or more persons. Paperwork burden is defined in 44 U.S.C. 3502(2) as time, effort, or financial resources expended to generate, maintain, or provide information to or for a </w:t>
      </w:r>
      <w:r w:rsidRPr="003D7D05">
        <w:rPr>
          <w:color w:val="000000"/>
        </w:rPr>
        <w:t>Federal</w:t>
      </w:r>
      <w:r w:rsidRPr="003D7D05">
        <w:rPr>
          <w:color w:val="000000"/>
        </w:rPr>
        <w:t xml:space="preserve"> agency. Under 44 U.S.C. 3507, policies and procedures of information collection are established for controlling paperwork burdens imposed by Federal agencies on the public</w:t>
      </w:r>
      <w:r w:rsidRPr="003D7D05">
        <w:rPr>
          <w:bCs/>
        </w:rPr>
        <w:t>, including evaluating public comments</w:t>
      </w:r>
      <w:r w:rsidRPr="003D7D05">
        <w:rPr>
          <w:color w:val="000000"/>
        </w:rPr>
        <w:t>.</w:t>
      </w:r>
    </w:p>
    <w:p w:rsidR="004040AC" w:rsidRPr="003D7D05" w:rsidP="004040AC" w14:paraId="69FD5BCC" w14:textId="77777777">
      <w:pPr>
        <w:autoSpaceDE w:val="0"/>
        <w:autoSpaceDN w:val="0"/>
        <w:adjustRightInd w:val="0"/>
        <w:rPr>
          <w:color w:val="000000"/>
        </w:rPr>
      </w:pPr>
    </w:p>
    <w:p w:rsidR="004040AC" w:rsidRPr="003D7D05" w:rsidP="004040AC" w14:paraId="37B7A1B0" w14:textId="2194847A">
      <w:pPr>
        <w:autoSpaceDE w:val="0"/>
        <w:autoSpaceDN w:val="0"/>
        <w:adjustRightInd w:val="0"/>
        <w:rPr>
          <w:color w:val="000000"/>
        </w:rPr>
      </w:pPr>
      <w:r w:rsidRPr="003D7D05">
        <w:rPr>
          <w:color w:val="000000"/>
        </w:rPr>
        <w:t>T</w:t>
      </w:r>
      <w:r w:rsidRPr="003D7D05">
        <w:rPr>
          <w:color w:val="000000"/>
        </w:rPr>
        <w:t>o fulfill the statutory mandates to promote miners’ health and safety, MSHA requires information under the information collection request (ICR) titled “Underground Coal Mine Fire Protection”</w:t>
      </w:r>
      <w:r w:rsidR="00C66443">
        <w:rPr>
          <w:color w:val="000000"/>
        </w:rPr>
        <w:t>.</w:t>
      </w:r>
      <w:r w:rsidRPr="003D7D05">
        <w:rPr>
          <w:color w:val="000000"/>
        </w:rPr>
        <w:t xml:space="preserve"> The information collection is intended for MSHA to ensure mine operators keep proper records for the </w:t>
      </w:r>
      <w:bookmarkStart w:id="2" w:name="_Hlk191376328"/>
      <w:r w:rsidRPr="003D7D05">
        <w:rPr>
          <w:color w:val="000000"/>
        </w:rPr>
        <w:t>examination and testing of firefighting equipment, automatic fire sensor and warning device systems, fire hydrants and fire hoses, and fire suppression devices</w:t>
      </w:r>
      <w:bookmarkEnd w:id="2"/>
      <w:r w:rsidRPr="003D7D05">
        <w:rPr>
          <w:color w:val="000000"/>
        </w:rPr>
        <w:t xml:space="preserve">. It is also intended to ensure mine operators certify </w:t>
      </w:r>
      <w:r w:rsidR="00F90098">
        <w:rPr>
          <w:color w:val="000000"/>
        </w:rPr>
        <w:t xml:space="preserve">the </w:t>
      </w:r>
      <w:r w:rsidRPr="003D7D05">
        <w:rPr>
          <w:color w:val="000000"/>
        </w:rPr>
        <w:t xml:space="preserve">emergency response training for the designated responsible persons and maintain mine emergency evacuation and firefighting programs of instruction. </w:t>
      </w:r>
      <w:bookmarkStart w:id="3" w:name="_Hlk188950663"/>
    </w:p>
    <w:p w:rsidR="004040AC" w:rsidRPr="003D7D05" w:rsidP="004040AC" w14:paraId="1AC2AB17" w14:textId="77777777">
      <w:pPr>
        <w:autoSpaceDE w:val="0"/>
        <w:autoSpaceDN w:val="0"/>
        <w:adjustRightInd w:val="0"/>
        <w:rPr>
          <w:color w:val="000000"/>
        </w:rPr>
      </w:pPr>
    </w:p>
    <w:p w:rsidR="004040AC" w:rsidRPr="003D7D05" w:rsidP="004040AC" w14:paraId="392A5624" w14:textId="00B8E874">
      <w:pPr>
        <w:autoSpaceDE w:val="0"/>
        <w:autoSpaceDN w:val="0"/>
        <w:adjustRightInd w:val="0"/>
        <w:rPr>
          <w:color w:val="000000"/>
        </w:rPr>
      </w:pPr>
      <w:r w:rsidRPr="003D7D05">
        <w:rPr>
          <w:color w:val="000000"/>
        </w:rPr>
        <w:t>B</w:t>
      </w:r>
      <w:r w:rsidRPr="003D7D05">
        <w:rPr>
          <w:color w:val="000000"/>
        </w:rPr>
        <w:t xml:space="preserve">urden and costs associated with this </w:t>
      </w:r>
      <w:r w:rsidRPr="003D7D05">
        <w:rPr>
          <w:color w:val="000000"/>
        </w:rPr>
        <w:t>ICR</w:t>
      </w:r>
      <w:r w:rsidRPr="003D7D05">
        <w:rPr>
          <w:color w:val="000000"/>
        </w:rPr>
        <w:t xml:space="preserve"> include:</w:t>
      </w:r>
    </w:p>
    <w:p w:rsidR="004040AC" w:rsidRPr="003D7D05" w:rsidP="004040AC" w14:paraId="2837732E" w14:textId="77777777">
      <w:pPr>
        <w:autoSpaceDE w:val="0"/>
        <w:autoSpaceDN w:val="0"/>
        <w:adjustRightInd w:val="0"/>
        <w:rPr>
          <w:color w:val="000000"/>
        </w:rPr>
      </w:pPr>
    </w:p>
    <w:p w:rsidR="004040AC" w:rsidRPr="003D7D05" w:rsidP="004040AC" w14:paraId="724A65DA" w14:textId="1BF07045">
      <w:pPr>
        <w:pStyle w:val="ListParagraph"/>
        <w:numPr>
          <w:ilvl w:val="0"/>
          <w:numId w:val="20"/>
        </w:numPr>
        <w:autoSpaceDE w:val="0"/>
        <w:autoSpaceDN w:val="0"/>
        <w:adjustRightInd w:val="0"/>
        <w:rPr>
          <w:color w:val="000000"/>
        </w:rPr>
      </w:pPr>
      <w:bookmarkStart w:id="4" w:name="_Hlk187657354"/>
      <w:r w:rsidRPr="003D7D05">
        <w:rPr>
          <w:color w:val="000000"/>
        </w:rPr>
        <w:t xml:space="preserve">examination of chemical extinguishers and </w:t>
      </w:r>
      <w:r w:rsidRPr="003D7D05">
        <w:rPr>
          <w:color w:val="000000"/>
        </w:rPr>
        <w:t>recoding</w:t>
      </w:r>
      <w:r w:rsidRPr="003D7D05">
        <w:rPr>
          <w:color w:val="000000"/>
        </w:rPr>
        <w:t xml:space="preserve"> </w:t>
      </w:r>
      <w:r w:rsidRPr="003D7D05">
        <w:rPr>
          <w:color w:val="000000"/>
        </w:rPr>
        <w:t>dates;</w:t>
      </w:r>
    </w:p>
    <w:p w:rsidR="004040AC" w:rsidRPr="003D7D05" w:rsidP="004040AC" w14:paraId="2B325A9A" w14:textId="50BA6B07">
      <w:pPr>
        <w:pStyle w:val="ListParagraph"/>
        <w:numPr>
          <w:ilvl w:val="0"/>
          <w:numId w:val="20"/>
        </w:numPr>
        <w:autoSpaceDE w:val="0"/>
        <w:autoSpaceDN w:val="0"/>
        <w:adjustRightInd w:val="0"/>
        <w:rPr>
          <w:color w:val="000000"/>
        </w:rPr>
      </w:pPr>
      <w:r w:rsidRPr="003D7D05">
        <w:rPr>
          <w:color w:val="000000"/>
        </w:rPr>
        <w:t xml:space="preserve">updating maps or schematic with locations of sensors </w:t>
      </w:r>
      <w:r w:rsidR="00F90098">
        <w:rPr>
          <w:color w:val="000000"/>
        </w:rPr>
        <w:t>of</w:t>
      </w:r>
      <w:r w:rsidRPr="003D7D05" w:rsidR="00F90098">
        <w:rPr>
          <w:color w:val="000000"/>
        </w:rPr>
        <w:t xml:space="preserve"> </w:t>
      </w:r>
      <w:r w:rsidRPr="003D7D05">
        <w:rPr>
          <w:color w:val="000000"/>
        </w:rPr>
        <w:t xml:space="preserve">automatic fire warning devices; </w:t>
      </w:r>
    </w:p>
    <w:p w:rsidR="004040AC" w:rsidRPr="003D7D05" w:rsidP="004040AC" w14:paraId="45CA89E8" w14:textId="2CB3FCCF">
      <w:pPr>
        <w:pStyle w:val="ListParagraph"/>
        <w:numPr>
          <w:ilvl w:val="0"/>
          <w:numId w:val="20"/>
        </w:numPr>
        <w:autoSpaceDE w:val="0"/>
        <w:autoSpaceDN w:val="0"/>
        <w:adjustRightInd w:val="0"/>
        <w:rPr>
          <w:color w:val="000000"/>
        </w:rPr>
      </w:pPr>
      <w:r w:rsidRPr="003D7D05">
        <w:rPr>
          <w:color w:val="000000"/>
        </w:rPr>
        <w:t>functional testing the warning signals and calibrating sensors in automatic fire sensor and warning device systems;</w:t>
      </w:r>
    </w:p>
    <w:p w:rsidR="004040AC" w:rsidRPr="003D7D05" w:rsidP="004040AC" w14:paraId="06195975" w14:textId="2EBA68CD">
      <w:pPr>
        <w:pStyle w:val="ListParagraph"/>
        <w:numPr>
          <w:ilvl w:val="0"/>
          <w:numId w:val="20"/>
        </w:numPr>
        <w:autoSpaceDE w:val="0"/>
        <w:autoSpaceDN w:val="0"/>
        <w:adjustRightInd w:val="0"/>
        <w:rPr>
          <w:color w:val="000000"/>
        </w:rPr>
      </w:pPr>
      <w:r w:rsidRPr="003D7D05">
        <w:rPr>
          <w:color w:val="000000"/>
        </w:rPr>
        <w:t>testing each fire hydrant and fire hose;</w:t>
      </w:r>
    </w:p>
    <w:p w:rsidR="004040AC" w:rsidRPr="003D7D05" w:rsidP="004040AC" w14:paraId="15899E9F" w14:textId="3E20E020">
      <w:pPr>
        <w:pStyle w:val="ListParagraph"/>
        <w:numPr>
          <w:ilvl w:val="0"/>
          <w:numId w:val="20"/>
        </w:numPr>
        <w:autoSpaceDE w:val="0"/>
        <w:autoSpaceDN w:val="0"/>
        <w:adjustRightInd w:val="0"/>
        <w:rPr>
          <w:color w:val="000000"/>
        </w:rPr>
      </w:pPr>
      <w:r w:rsidRPr="003D7D05">
        <w:rPr>
          <w:color w:val="000000"/>
        </w:rPr>
        <w:t>certifying mine emergency evacuation response training;</w:t>
      </w:r>
    </w:p>
    <w:p w:rsidR="004040AC" w:rsidRPr="003D7D05" w:rsidP="004040AC" w14:paraId="5B96E751" w14:textId="792BC5FB">
      <w:pPr>
        <w:pStyle w:val="ListParagraph"/>
        <w:numPr>
          <w:ilvl w:val="0"/>
          <w:numId w:val="20"/>
        </w:numPr>
        <w:autoSpaceDE w:val="0"/>
        <w:autoSpaceDN w:val="0"/>
        <w:adjustRightInd w:val="0"/>
      </w:pPr>
      <w:r w:rsidRPr="003D7D05">
        <w:rPr>
          <w:color w:val="000000"/>
        </w:rPr>
        <w:t xml:space="preserve">submitting mine emergency </w:t>
      </w:r>
      <w:r w:rsidRPr="003D7D05">
        <w:rPr>
          <w:color w:val="000000"/>
        </w:rPr>
        <w:t>evacuation and firefighting program of instruction</w:t>
      </w:r>
      <w:bookmarkEnd w:id="4"/>
      <w:r w:rsidRPr="003D7D05">
        <w:rPr>
          <w:color w:val="000000"/>
        </w:rPr>
        <w:t xml:space="preserve"> for MSHA approval.</w:t>
      </w:r>
    </w:p>
    <w:p w:rsidR="00145D7D" w:rsidRPr="003D7D05" w:rsidP="00145D7D" w14:paraId="6E2E22A0" w14:textId="77777777">
      <w:pPr>
        <w:autoSpaceDE w:val="0"/>
        <w:autoSpaceDN w:val="0"/>
        <w:adjustRightInd w:val="0"/>
      </w:pPr>
    </w:p>
    <w:p w:rsidR="00145D7D" w:rsidRPr="003D7D05" w:rsidP="003D7D05" w14:paraId="0C1D8133" w14:textId="73FCEC91">
      <w:pPr>
        <w:tabs>
          <w:tab w:val="left" w:pos="720"/>
        </w:tabs>
        <w:spacing w:line="480" w:lineRule="auto"/>
        <w:rPr>
          <w:bCs/>
        </w:rPr>
      </w:pPr>
      <w:bookmarkStart w:id="5" w:name="_Hlk193985386"/>
      <w:r w:rsidRPr="003D7D05">
        <w:rPr>
          <w:bCs/>
        </w:rPr>
        <w:t xml:space="preserve">Authorization and the associated rule text are described </w:t>
      </w:r>
      <w:r w:rsidRPr="003D7D05" w:rsidR="009E7075">
        <w:rPr>
          <w:bCs/>
        </w:rPr>
        <w:t>below.</w:t>
      </w:r>
      <w:bookmarkEnd w:id="5"/>
    </w:p>
    <w:p w:rsidR="004040AC" w:rsidRPr="003D7D05" w:rsidP="004040AC" w14:paraId="1C9F4FF6" w14:textId="77777777">
      <w:pPr>
        <w:pStyle w:val="ListParagraph"/>
        <w:numPr>
          <w:ilvl w:val="0"/>
          <w:numId w:val="10"/>
        </w:numPr>
        <w:autoSpaceDE w:val="0"/>
        <w:autoSpaceDN w:val="0"/>
        <w:adjustRightInd w:val="0"/>
        <w:rPr>
          <w:b/>
          <w:bCs/>
          <w:color w:val="000000"/>
        </w:rPr>
      </w:pPr>
      <w:bookmarkStart w:id="6" w:name="_Hlk187660050"/>
      <w:r w:rsidRPr="003D7D05">
        <w:rPr>
          <w:b/>
          <w:bCs/>
          <w:color w:val="000000"/>
        </w:rPr>
        <w:t xml:space="preserve">Examining Chemical Extinguishers and Recording </w:t>
      </w:r>
    </w:p>
    <w:p w:rsidR="004040AC" w:rsidRPr="003D7D05" w:rsidP="004040AC" w14:paraId="26CB481E" w14:textId="77777777">
      <w:pPr>
        <w:autoSpaceDE w:val="0"/>
        <w:autoSpaceDN w:val="0"/>
        <w:adjustRightInd w:val="0"/>
        <w:ind w:left="360"/>
        <w:rPr>
          <w:color w:val="000000"/>
        </w:rPr>
      </w:pPr>
    </w:p>
    <w:p w:rsidR="004040AC" w:rsidRPr="003D7D05" w:rsidP="004040AC" w14:paraId="5F9A5FC4" w14:textId="5887B791">
      <w:pPr>
        <w:autoSpaceDE w:val="0"/>
        <w:autoSpaceDN w:val="0"/>
        <w:adjustRightInd w:val="0"/>
        <w:rPr>
          <w:color w:val="000000"/>
        </w:rPr>
      </w:pPr>
      <w:r w:rsidRPr="003D7D05">
        <w:rPr>
          <w:color w:val="000000"/>
        </w:rPr>
        <w:t xml:space="preserve">Under 30 CFR 75.1100-3, all firefighting equipment must be maintained in a usable and operative condition. Chemical extinguishers must be examined every 6 </w:t>
      </w:r>
      <w:r w:rsidRPr="003D7D05" w:rsidR="005525B9">
        <w:rPr>
          <w:color w:val="000000"/>
        </w:rPr>
        <w:t>months,</w:t>
      </w:r>
      <w:r w:rsidRPr="003D7D05">
        <w:rPr>
          <w:color w:val="000000"/>
        </w:rPr>
        <w:t xml:space="preserve"> and the date of the examination must be written on a permanent tag attached to the extinguisher.</w:t>
      </w:r>
    </w:p>
    <w:p w:rsidR="004040AC" w:rsidRPr="003D7D05" w:rsidP="004040AC" w14:paraId="4058DD3C" w14:textId="77777777">
      <w:pPr>
        <w:autoSpaceDE w:val="0"/>
        <w:autoSpaceDN w:val="0"/>
        <w:adjustRightInd w:val="0"/>
        <w:rPr>
          <w:color w:val="000000"/>
        </w:rPr>
      </w:pPr>
    </w:p>
    <w:p w:rsidR="004040AC" w:rsidRPr="003D7D05" w:rsidP="004040AC" w14:paraId="2C2C2A61" w14:textId="1AA8D0ED">
      <w:pPr>
        <w:pStyle w:val="ListParagraph"/>
        <w:numPr>
          <w:ilvl w:val="0"/>
          <w:numId w:val="10"/>
        </w:numPr>
        <w:rPr>
          <w:b/>
          <w:bCs/>
        </w:rPr>
      </w:pPr>
      <w:r w:rsidRPr="003D7D05">
        <w:rPr>
          <w:b/>
          <w:bCs/>
          <w:color w:val="000000"/>
        </w:rPr>
        <w:t xml:space="preserve">Updating Maps or Schematic with Locations of Sensors </w:t>
      </w:r>
      <w:r w:rsidR="00F90098">
        <w:rPr>
          <w:b/>
          <w:bCs/>
          <w:color w:val="000000"/>
        </w:rPr>
        <w:t>of</w:t>
      </w:r>
      <w:r w:rsidRPr="003D7D05" w:rsidR="00F90098">
        <w:rPr>
          <w:b/>
          <w:bCs/>
          <w:color w:val="000000"/>
        </w:rPr>
        <w:t xml:space="preserve"> </w:t>
      </w:r>
      <w:r w:rsidRPr="003D7D05">
        <w:rPr>
          <w:b/>
          <w:bCs/>
          <w:color w:val="000000"/>
        </w:rPr>
        <w:t>Automatic Fire Warning Devices</w:t>
      </w:r>
    </w:p>
    <w:p w:rsidR="004040AC" w:rsidRPr="003D7D05" w:rsidP="004040AC" w14:paraId="35628E13" w14:textId="77777777">
      <w:pPr>
        <w:autoSpaceDE w:val="0"/>
        <w:autoSpaceDN w:val="0"/>
        <w:adjustRightInd w:val="0"/>
        <w:rPr>
          <w:color w:val="000000"/>
        </w:rPr>
      </w:pPr>
    </w:p>
    <w:p w:rsidR="004040AC" w:rsidRPr="003D7D05" w:rsidP="004040AC" w14:paraId="20F149A5" w14:textId="77777777">
      <w:pPr>
        <w:autoSpaceDE w:val="0"/>
        <w:autoSpaceDN w:val="0"/>
        <w:adjustRightInd w:val="0"/>
        <w:rPr>
          <w:color w:val="000000"/>
        </w:rPr>
      </w:pPr>
      <w:r w:rsidRPr="003D7D05">
        <w:rPr>
          <w:color w:val="000000"/>
        </w:rPr>
        <w:t xml:space="preserve">Under 30 CFR 75.1103-5(a), when the carbon monoxide level reaches 10 parts per million above the established ambient level at any sensor location, automatic fire sensor and warning device systems must provide an effective warning signal at the following locations: (1) At working sections and other work locations where miners may be endangered from a fire in the belt entry; and (2) At a manned surface location where personnel have an assigned post of duty. </w:t>
      </w:r>
    </w:p>
    <w:p w:rsidR="004040AC" w:rsidRPr="003D7D05" w:rsidP="004040AC" w14:paraId="63A2F124" w14:textId="77777777">
      <w:pPr>
        <w:autoSpaceDE w:val="0"/>
        <w:autoSpaceDN w:val="0"/>
        <w:adjustRightInd w:val="0"/>
        <w:rPr>
          <w:color w:val="000000"/>
        </w:rPr>
      </w:pPr>
    </w:p>
    <w:p w:rsidR="004040AC" w:rsidRPr="003D7D05" w:rsidP="004040AC" w14:paraId="7D09E6BD" w14:textId="77777777">
      <w:pPr>
        <w:autoSpaceDE w:val="0"/>
        <w:autoSpaceDN w:val="0"/>
        <w:adjustRightInd w:val="0"/>
        <w:rPr>
          <w:color w:val="000000"/>
        </w:rPr>
      </w:pPr>
      <w:r w:rsidRPr="003D7D05">
        <w:rPr>
          <w:color w:val="000000"/>
        </w:rPr>
        <w:t>Under 30 CFR 75.1103-5(a)(2)(ii), the manned surface location must have a map or schematic that shows the locations of sensors, and the intended air flow direction at these locations. This map or schematic must be updated within 24 hours of any change in this information.</w:t>
      </w:r>
    </w:p>
    <w:p w:rsidR="004040AC" w:rsidRPr="003D7D05" w:rsidP="004040AC" w14:paraId="7FE5D9BE" w14:textId="77777777">
      <w:pPr>
        <w:autoSpaceDE w:val="0"/>
        <w:autoSpaceDN w:val="0"/>
        <w:adjustRightInd w:val="0"/>
        <w:rPr>
          <w:color w:val="000000"/>
        </w:rPr>
      </w:pPr>
    </w:p>
    <w:p w:rsidR="004040AC" w:rsidRPr="003D7D05" w:rsidP="004040AC" w14:paraId="2FDF3C3F" w14:textId="77777777">
      <w:pPr>
        <w:pStyle w:val="ListParagraph"/>
        <w:numPr>
          <w:ilvl w:val="0"/>
          <w:numId w:val="10"/>
        </w:numPr>
        <w:autoSpaceDE w:val="0"/>
        <w:autoSpaceDN w:val="0"/>
        <w:adjustRightInd w:val="0"/>
        <w:rPr>
          <w:b/>
          <w:bCs/>
          <w:color w:val="000000"/>
        </w:rPr>
      </w:pPr>
      <w:bookmarkStart w:id="7" w:name="_Hlk187658043"/>
      <w:r w:rsidRPr="003D7D05">
        <w:rPr>
          <w:b/>
          <w:bCs/>
          <w:color w:val="000000"/>
        </w:rPr>
        <w:t>Functional Testing the Warning Signals and Calibrating Sensors in Automatic Fire Sensor and Warning Device Systems</w:t>
      </w:r>
      <w:bookmarkEnd w:id="7"/>
    </w:p>
    <w:p w:rsidR="004040AC" w:rsidRPr="003D7D05" w:rsidP="004040AC" w14:paraId="2216F7DC" w14:textId="77777777">
      <w:pPr>
        <w:autoSpaceDE w:val="0"/>
        <w:autoSpaceDN w:val="0"/>
        <w:adjustRightInd w:val="0"/>
        <w:rPr>
          <w:color w:val="000000"/>
        </w:rPr>
      </w:pPr>
    </w:p>
    <w:p w:rsidR="004040AC" w:rsidRPr="003D7D05" w:rsidP="004040AC" w14:paraId="662F6486" w14:textId="77777777">
      <w:pPr>
        <w:autoSpaceDE w:val="0"/>
        <w:autoSpaceDN w:val="0"/>
        <w:adjustRightInd w:val="0"/>
        <w:rPr>
          <w:color w:val="000000"/>
        </w:rPr>
      </w:pPr>
      <w:r w:rsidRPr="003D7D05">
        <w:rPr>
          <w:color w:val="000000"/>
        </w:rPr>
        <w:t xml:space="preserve">Under 30 CFR 75.1103-8(a), automatic fire sensor and warning device systems must be examined at least once each shift when belts are operated as part of a production shift. A functional test of the warning signals must be made at least once every seven days. Examination and maintenance of the systems must </w:t>
      </w:r>
      <w:r w:rsidRPr="003D7D05">
        <w:rPr>
          <w:color w:val="000000"/>
        </w:rPr>
        <w:t>be</w:t>
      </w:r>
      <w:r w:rsidRPr="003D7D05">
        <w:rPr>
          <w:color w:val="000000"/>
        </w:rPr>
        <w:t xml:space="preserve"> by a qualified person.</w:t>
      </w:r>
    </w:p>
    <w:p w:rsidR="004040AC" w:rsidRPr="003D7D05" w:rsidP="004040AC" w14:paraId="43304BF6" w14:textId="77777777">
      <w:pPr>
        <w:autoSpaceDE w:val="0"/>
        <w:autoSpaceDN w:val="0"/>
        <w:adjustRightInd w:val="0"/>
        <w:rPr>
          <w:color w:val="000000"/>
        </w:rPr>
      </w:pPr>
    </w:p>
    <w:p w:rsidR="004040AC" w:rsidRPr="003D7D05" w:rsidP="004040AC" w14:paraId="2EDEE9B2" w14:textId="5963C9D2">
      <w:pPr>
        <w:autoSpaceDE w:val="0"/>
        <w:autoSpaceDN w:val="0"/>
        <w:adjustRightInd w:val="0"/>
        <w:rPr>
          <w:color w:val="000000"/>
        </w:rPr>
      </w:pPr>
      <w:r w:rsidRPr="003D7D05">
        <w:rPr>
          <w:color w:val="000000"/>
        </w:rPr>
        <w:t>Under 30 CFR 75.1103-8(b), a record of the functional test must be maintained by the operator and kept for a period of one year.</w:t>
      </w:r>
    </w:p>
    <w:p w:rsidR="004040AC" w:rsidRPr="003D7D05" w:rsidP="004040AC" w14:paraId="38B81686" w14:textId="77777777">
      <w:pPr>
        <w:autoSpaceDE w:val="0"/>
        <w:autoSpaceDN w:val="0"/>
        <w:adjustRightInd w:val="0"/>
        <w:rPr>
          <w:color w:val="000000"/>
        </w:rPr>
      </w:pPr>
    </w:p>
    <w:p w:rsidR="004040AC" w:rsidRPr="003D7D05" w:rsidP="004040AC" w14:paraId="0944E9C0" w14:textId="77777777">
      <w:pPr>
        <w:autoSpaceDE w:val="0"/>
        <w:autoSpaceDN w:val="0"/>
        <w:adjustRightInd w:val="0"/>
        <w:rPr>
          <w:color w:val="000000"/>
        </w:rPr>
      </w:pPr>
      <w:r w:rsidRPr="003D7D05">
        <w:rPr>
          <w:color w:val="000000"/>
        </w:rPr>
        <w:t>Under 30 CFR 75.1103-8(c), sensors must be calibrated in accordance with the manufacturer's calibration instructions at intervals not to exceed 31 days. A record of the sensor calibrations must be maintained by the operator and kept for a period of one year.</w:t>
      </w:r>
    </w:p>
    <w:p w:rsidR="004040AC" w:rsidRPr="003D7D05" w:rsidP="004040AC" w14:paraId="33C820C6" w14:textId="77777777">
      <w:pPr>
        <w:autoSpaceDE w:val="0"/>
        <w:autoSpaceDN w:val="0"/>
        <w:adjustRightInd w:val="0"/>
        <w:rPr>
          <w:color w:val="000000"/>
        </w:rPr>
      </w:pPr>
    </w:p>
    <w:p w:rsidR="004040AC" w:rsidRPr="003D7D05" w:rsidP="004040AC" w14:paraId="1F9E2459" w14:textId="77777777">
      <w:pPr>
        <w:pStyle w:val="ListParagraph"/>
        <w:numPr>
          <w:ilvl w:val="0"/>
          <w:numId w:val="10"/>
        </w:numPr>
        <w:autoSpaceDE w:val="0"/>
        <w:autoSpaceDN w:val="0"/>
        <w:adjustRightInd w:val="0"/>
        <w:rPr>
          <w:b/>
          <w:bCs/>
          <w:color w:val="000000"/>
        </w:rPr>
      </w:pPr>
      <w:r w:rsidRPr="003D7D05">
        <w:rPr>
          <w:b/>
          <w:bCs/>
          <w:color w:val="000000"/>
        </w:rPr>
        <w:t xml:space="preserve">Testing </w:t>
      </w:r>
      <w:bookmarkStart w:id="8" w:name="_Hlk187658054"/>
      <w:r w:rsidRPr="003D7D05">
        <w:rPr>
          <w:b/>
          <w:bCs/>
          <w:color w:val="000000"/>
        </w:rPr>
        <w:t>Fire Hydrants and Fire Hose</w:t>
      </w:r>
      <w:bookmarkEnd w:id="8"/>
      <w:r w:rsidRPr="003D7D05">
        <w:rPr>
          <w:b/>
          <w:bCs/>
          <w:color w:val="000000"/>
        </w:rPr>
        <w:t>s</w:t>
      </w:r>
    </w:p>
    <w:p w:rsidR="004040AC" w:rsidRPr="003D7D05" w:rsidP="004040AC" w14:paraId="10E52AB3" w14:textId="77777777">
      <w:pPr>
        <w:autoSpaceDE w:val="0"/>
        <w:autoSpaceDN w:val="0"/>
        <w:adjustRightInd w:val="0"/>
        <w:rPr>
          <w:color w:val="000000"/>
        </w:rPr>
      </w:pPr>
    </w:p>
    <w:p w:rsidR="004040AC" w:rsidRPr="003D7D05" w:rsidP="004040AC" w14:paraId="42A3C9A1" w14:textId="77777777">
      <w:pPr>
        <w:autoSpaceDE w:val="0"/>
        <w:autoSpaceDN w:val="0"/>
        <w:adjustRightInd w:val="0"/>
        <w:rPr>
          <w:color w:val="000000"/>
        </w:rPr>
      </w:pPr>
      <w:r w:rsidRPr="003D7D05">
        <w:rPr>
          <w:color w:val="000000"/>
        </w:rPr>
        <w:t>Under 30 CFR 75.1103-11, each fire hydrant must be tested by opening to ensure that it is in operating condition, and each fire hose must be tested, at intervals not exceeding 1 year. A record of these tests must be maintained at an appropriate location.</w:t>
      </w:r>
    </w:p>
    <w:p w:rsidR="004040AC" w:rsidRPr="003D7D05" w:rsidP="004040AC" w14:paraId="207AEC99" w14:textId="77777777">
      <w:pPr>
        <w:rPr>
          <w:color w:val="000000"/>
        </w:rPr>
      </w:pPr>
      <w:r w:rsidRPr="003D7D05">
        <w:rPr>
          <w:color w:val="000000"/>
        </w:rPr>
        <w:br w:type="page"/>
      </w:r>
    </w:p>
    <w:p w:rsidR="004040AC" w:rsidRPr="003D7D05" w:rsidP="004040AC" w14:paraId="26D36B85" w14:textId="77777777">
      <w:pPr>
        <w:autoSpaceDE w:val="0"/>
        <w:autoSpaceDN w:val="0"/>
        <w:adjustRightInd w:val="0"/>
        <w:rPr>
          <w:color w:val="000000"/>
        </w:rPr>
      </w:pPr>
    </w:p>
    <w:p w:rsidR="004040AC" w:rsidRPr="003D7D05" w:rsidP="004040AC" w14:paraId="17D0A12A" w14:textId="77777777">
      <w:pPr>
        <w:pStyle w:val="ListParagraph"/>
        <w:numPr>
          <w:ilvl w:val="0"/>
          <w:numId w:val="23"/>
        </w:numPr>
        <w:autoSpaceDE w:val="0"/>
        <w:autoSpaceDN w:val="0"/>
        <w:adjustRightInd w:val="0"/>
        <w:rPr>
          <w:b/>
          <w:bCs/>
          <w:color w:val="000000"/>
        </w:rPr>
      </w:pPr>
      <w:r w:rsidRPr="003D7D05">
        <w:rPr>
          <w:b/>
          <w:bCs/>
          <w:color w:val="000000"/>
        </w:rPr>
        <w:t xml:space="preserve">Certifying </w:t>
      </w:r>
      <w:bookmarkStart w:id="9" w:name="_Hlk187658069"/>
      <w:r w:rsidRPr="003D7D05">
        <w:rPr>
          <w:b/>
          <w:bCs/>
          <w:color w:val="000000"/>
        </w:rPr>
        <w:t>Mine Emergency Response</w:t>
      </w:r>
      <w:bookmarkEnd w:id="9"/>
      <w:r w:rsidRPr="003D7D05">
        <w:rPr>
          <w:b/>
          <w:bCs/>
          <w:color w:val="000000"/>
        </w:rPr>
        <w:t xml:space="preserve"> Training</w:t>
      </w:r>
    </w:p>
    <w:p w:rsidR="004040AC" w:rsidRPr="003D7D05" w:rsidP="004040AC" w14:paraId="39C3858D" w14:textId="77777777">
      <w:pPr>
        <w:autoSpaceDE w:val="0"/>
        <w:autoSpaceDN w:val="0"/>
        <w:adjustRightInd w:val="0"/>
        <w:rPr>
          <w:color w:val="000000"/>
        </w:rPr>
      </w:pPr>
    </w:p>
    <w:p w:rsidR="004040AC" w:rsidRPr="003D7D05" w:rsidP="004040AC" w14:paraId="1CE73C08" w14:textId="77777777">
      <w:pPr>
        <w:autoSpaceDE w:val="0"/>
        <w:autoSpaceDN w:val="0"/>
        <w:adjustRightInd w:val="0"/>
        <w:rPr>
          <w:color w:val="000000"/>
        </w:rPr>
      </w:pPr>
      <w:r w:rsidRPr="003D7D05">
        <w:rPr>
          <w:color w:val="000000"/>
        </w:rPr>
        <w:t xml:space="preserve">Under 30 CFR 75.1501(a), for each shift that miners work underground, there must be in attendance a responsible person designated by the mine operator to take charge during mine emergencies involving a fire, explosion, or gas or water inundation. </w:t>
      </w:r>
    </w:p>
    <w:p w:rsidR="004040AC" w:rsidRPr="003D7D05" w:rsidP="004040AC" w14:paraId="6DF6AF28" w14:textId="77777777">
      <w:pPr>
        <w:autoSpaceDE w:val="0"/>
        <w:autoSpaceDN w:val="0"/>
        <w:adjustRightInd w:val="0"/>
        <w:rPr>
          <w:color w:val="000000"/>
        </w:rPr>
      </w:pPr>
    </w:p>
    <w:p w:rsidR="004040AC" w:rsidRPr="003D7D05" w:rsidP="004040AC" w14:paraId="2BAA90D6" w14:textId="77777777">
      <w:pPr>
        <w:autoSpaceDE w:val="0"/>
        <w:autoSpaceDN w:val="0"/>
        <w:adjustRightInd w:val="0"/>
        <w:rPr>
          <w:color w:val="000000"/>
        </w:rPr>
      </w:pPr>
      <w:r w:rsidRPr="003D7D05">
        <w:rPr>
          <w:color w:val="000000"/>
        </w:rPr>
        <w:t xml:space="preserve">Under 30 CFR 75.1501(a)(2), the </w:t>
      </w:r>
      <w:r w:rsidRPr="003D7D05">
        <w:rPr>
          <w:color w:val="000000"/>
        </w:rPr>
        <w:t>responsible person</w:t>
      </w:r>
      <w:r w:rsidRPr="003D7D05">
        <w:rPr>
          <w:color w:val="000000"/>
        </w:rPr>
        <w:t xml:space="preserve"> must be trained annually in a course of instruction in </w:t>
      </w:r>
      <w:r w:rsidRPr="003D7D05">
        <w:rPr>
          <w:color w:val="000000"/>
        </w:rPr>
        <w:t>mine</w:t>
      </w:r>
      <w:r w:rsidRPr="003D7D05">
        <w:rPr>
          <w:color w:val="000000"/>
        </w:rPr>
        <w:t xml:space="preserve"> emergency response, as prescribed by MSHA's Office of Educational Policy and Development. Further, under 75.1051(a)(3), the operator must certify by signature and date after each responsible person has completed the training and keep the certification at the mine for 1 year.</w:t>
      </w:r>
    </w:p>
    <w:p w:rsidR="004040AC" w:rsidRPr="003D7D05" w:rsidP="004040AC" w14:paraId="49832C98" w14:textId="77777777">
      <w:pPr>
        <w:autoSpaceDE w:val="0"/>
        <w:autoSpaceDN w:val="0"/>
        <w:adjustRightInd w:val="0"/>
        <w:rPr>
          <w:color w:val="000000"/>
        </w:rPr>
      </w:pPr>
    </w:p>
    <w:p w:rsidR="004040AC" w:rsidRPr="003D7D05" w:rsidP="004040AC" w14:paraId="4852AEAA" w14:textId="77777777">
      <w:pPr>
        <w:pStyle w:val="ListParagraph"/>
        <w:numPr>
          <w:ilvl w:val="0"/>
          <w:numId w:val="23"/>
        </w:numPr>
        <w:rPr>
          <w:b/>
          <w:bCs/>
        </w:rPr>
      </w:pPr>
      <w:bookmarkStart w:id="10" w:name="_Hlk187658080"/>
      <w:r w:rsidRPr="003D7D05">
        <w:rPr>
          <w:b/>
          <w:bCs/>
          <w:color w:val="000000"/>
        </w:rPr>
        <w:t xml:space="preserve">Submitting Mine Emergency Evacuation and Firefighting Program of Instruction for MSHA Approval  </w:t>
      </w:r>
      <w:bookmarkEnd w:id="6"/>
      <w:bookmarkEnd w:id="10"/>
    </w:p>
    <w:p w:rsidR="004040AC" w:rsidRPr="003D7D05" w:rsidP="004040AC" w14:paraId="27039BBB" w14:textId="77777777">
      <w:pPr>
        <w:autoSpaceDE w:val="0"/>
        <w:autoSpaceDN w:val="0"/>
        <w:adjustRightInd w:val="0"/>
        <w:rPr>
          <w:color w:val="000000"/>
        </w:rPr>
      </w:pPr>
    </w:p>
    <w:p w:rsidR="004040AC" w:rsidRPr="003D7D05" w:rsidP="004040AC" w14:paraId="507A24F5" w14:textId="77777777">
      <w:pPr>
        <w:autoSpaceDE w:val="0"/>
        <w:autoSpaceDN w:val="0"/>
        <w:adjustRightInd w:val="0"/>
        <w:rPr>
          <w:color w:val="000000"/>
        </w:rPr>
      </w:pPr>
      <w:r w:rsidRPr="003D7D05">
        <w:rPr>
          <w:color w:val="000000"/>
        </w:rPr>
        <w:t>Under 30 CFR 75.1502, each operator of an underground coal mine must adopt and follow a mine emergency evacuation and firefighting program that instructs all miners in the proper procedures they must follow if a mine emergency occurs.</w:t>
      </w:r>
    </w:p>
    <w:p w:rsidR="004040AC" w:rsidRPr="003D7D05" w:rsidP="004040AC" w14:paraId="78E8A48A" w14:textId="77777777">
      <w:pPr>
        <w:autoSpaceDE w:val="0"/>
        <w:autoSpaceDN w:val="0"/>
        <w:adjustRightInd w:val="0"/>
        <w:rPr>
          <w:color w:val="000000"/>
        </w:rPr>
      </w:pPr>
    </w:p>
    <w:p w:rsidR="004040AC" w:rsidRPr="003D7D05" w:rsidP="004040AC" w14:paraId="0FFD44A9" w14:textId="77777777">
      <w:pPr>
        <w:autoSpaceDE w:val="0"/>
        <w:autoSpaceDN w:val="0"/>
        <w:adjustRightInd w:val="0"/>
        <w:rPr>
          <w:color w:val="000000"/>
        </w:rPr>
      </w:pPr>
      <w:r w:rsidRPr="003D7D05">
        <w:rPr>
          <w:color w:val="000000"/>
        </w:rPr>
        <w:t>Under 30 CFR 75.1502(a), the operator must submit the program of instruction, and any revisions, for approval to the District Manager in which the mine is located. Within 30 days of approval, the operator must conduct training in accordance with the revised program.</w:t>
      </w:r>
    </w:p>
    <w:p w:rsidR="004040AC" w:rsidRPr="003D7D05" w:rsidP="004040AC" w14:paraId="023FCB0F" w14:textId="77777777">
      <w:pPr>
        <w:autoSpaceDE w:val="0"/>
        <w:autoSpaceDN w:val="0"/>
        <w:adjustRightInd w:val="0"/>
        <w:rPr>
          <w:color w:val="000000"/>
        </w:rPr>
      </w:pPr>
    </w:p>
    <w:p w:rsidR="004040AC" w:rsidRPr="003D7D05" w:rsidP="004040AC" w14:paraId="645DB2BF" w14:textId="664D75FE">
      <w:pPr>
        <w:autoSpaceDE w:val="0"/>
        <w:autoSpaceDN w:val="0"/>
        <w:adjustRightInd w:val="0"/>
        <w:rPr>
          <w:color w:val="000000"/>
        </w:rPr>
      </w:pPr>
      <w:r w:rsidRPr="003D7D05">
        <w:rPr>
          <w:color w:val="000000"/>
        </w:rPr>
        <w:t xml:space="preserve">Additionally, under 30 CFR 75.1502(b), before implementing any new or revised approved provision in the program of instruction, the operator must instruct miners </w:t>
      </w:r>
      <w:r w:rsidRPr="003D7D05" w:rsidR="00012F31">
        <w:rPr>
          <w:color w:val="000000"/>
        </w:rPr>
        <w:t>regarding</w:t>
      </w:r>
      <w:r w:rsidRPr="003D7D05">
        <w:rPr>
          <w:color w:val="000000"/>
        </w:rPr>
        <w:t xml:space="preserve"> the change.</w:t>
      </w:r>
    </w:p>
    <w:p w:rsidR="004040AC" w:rsidRPr="003D7D05" w:rsidP="004040AC" w14:paraId="799F4159" w14:textId="77777777">
      <w:pPr>
        <w:autoSpaceDE w:val="0"/>
        <w:autoSpaceDN w:val="0"/>
        <w:adjustRightInd w:val="0"/>
        <w:rPr>
          <w:color w:val="000000"/>
        </w:rPr>
      </w:pPr>
    </w:p>
    <w:p w:rsidR="004040AC" w:rsidRPr="003D7D05" w:rsidP="004040AC" w14:paraId="6D9ADCC1" w14:textId="344E02AD">
      <w:pPr>
        <w:autoSpaceDE w:val="0"/>
        <w:autoSpaceDN w:val="0"/>
        <w:adjustRightInd w:val="0"/>
      </w:pPr>
      <w:r w:rsidRPr="003D7D05">
        <w:t>Coal mine operators’ burden and costs associated with recordkeeping and reporting requirements of mine emergency evacuation trainings and drills are included in a separate information collection request under OMB Control Number 1219-0141 titled “Emergency Mine Evacuation”</w:t>
      </w:r>
      <w:r w:rsidR="00C66443">
        <w:t>.</w:t>
      </w:r>
    </w:p>
    <w:p w:rsidR="004040AC" w:rsidRPr="003D7D05" w:rsidP="004040AC" w14:paraId="6913C7D4" w14:textId="77777777">
      <w:pPr>
        <w:autoSpaceDE w:val="0"/>
        <w:autoSpaceDN w:val="0"/>
        <w:adjustRightInd w:val="0"/>
      </w:pPr>
    </w:p>
    <w:p w:rsidR="004040AC" w:rsidRPr="003D7D05" w:rsidP="004040AC" w14:paraId="36E609A0" w14:textId="0006BA5C">
      <w:pPr>
        <w:autoSpaceDE w:val="0"/>
        <w:autoSpaceDN w:val="0"/>
        <w:adjustRightInd w:val="0"/>
      </w:pPr>
      <w:r w:rsidRPr="003D7D05">
        <w:t xml:space="preserve">Coal mine operators’ burden and costs associated with recordkeeping and reporting requirements of refuge alternatives are included in a separate information collection request under OMB Control Number 1219-0144 </w:t>
      </w:r>
      <w:r w:rsidRPr="003D7D05">
        <w:rPr>
          <w:rFonts w:eastAsia="Calibri"/>
        </w:rPr>
        <w:t>titled “</w:t>
      </w:r>
      <w:r w:rsidRPr="003D7D05">
        <w:t>Mine Rescue Teams; Arrangements for Emergency Medical Assistance and Transportation for Injured Persons; Agreements; Reporting Requirements; Posting Requirements”</w:t>
      </w:r>
      <w:r w:rsidR="00314369">
        <w:t>.</w:t>
      </w:r>
    </w:p>
    <w:p w:rsidR="004040AC" w:rsidRPr="003D7D05" w:rsidP="004040AC" w14:paraId="320C1166" w14:textId="77777777">
      <w:pPr>
        <w:autoSpaceDE w:val="0"/>
        <w:autoSpaceDN w:val="0"/>
        <w:adjustRightInd w:val="0"/>
        <w:rPr>
          <w:color w:val="000000"/>
        </w:rPr>
      </w:pPr>
    </w:p>
    <w:p w:rsidR="004040AC" w:rsidRPr="003D7D05" w:rsidP="004040AC" w14:paraId="14043A78" w14:textId="77777777">
      <w:pPr>
        <w:autoSpaceDE w:val="0"/>
        <w:autoSpaceDN w:val="0"/>
        <w:adjustRightInd w:val="0"/>
        <w:rPr>
          <w:b/>
          <w:bCs/>
          <w:color w:val="000000"/>
        </w:rPr>
      </w:pPr>
      <w:r w:rsidRPr="003D7D05">
        <w:rPr>
          <w:b/>
          <w:bCs/>
          <w:color w:val="000000"/>
        </w:rPr>
        <w:t>2. Indicate how, by whom, and for what purpose the information is to be used. Except for a new collection, indicate the actual use the agency has made of the information received from the current collection.</w:t>
      </w:r>
    </w:p>
    <w:p w:rsidR="004040AC" w:rsidRPr="003D7D05" w:rsidP="004040AC" w14:paraId="0143BADB" w14:textId="77777777">
      <w:pPr>
        <w:autoSpaceDE w:val="0"/>
        <w:autoSpaceDN w:val="0"/>
        <w:adjustRightInd w:val="0"/>
        <w:rPr>
          <w:color w:val="000000"/>
        </w:rPr>
      </w:pPr>
    </w:p>
    <w:p w:rsidR="004040AC" w:rsidRPr="003D7D05" w:rsidP="004040AC" w14:paraId="1E640BF3" w14:textId="77777777">
      <w:pPr>
        <w:autoSpaceDE w:val="0"/>
        <w:autoSpaceDN w:val="0"/>
        <w:adjustRightInd w:val="0"/>
        <w:rPr>
          <w:color w:val="000000"/>
        </w:rPr>
      </w:pPr>
      <w:r w:rsidRPr="003D7D05">
        <w:rPr>
          <w:color w:val="000000"/>
        </w:rPr>
        <w:t xml:space="preserve">Examination and testing of firefighting suppression equipment, automatic fire sensor and warning device systems, fire hydrants and fire hoses, and fire suppression devices are conducted on a regular basis to ensure that everything is in working order and ready for use in the event of a fire. The certification of mine emergency response training is used to determine whether a </w:t>
      </w:r>
      <w:r w:rsidRPr="003D7D05">
        <w:rPr>
          <w:color w:val="000000"/>
        </w:rPr>
        <w:t xml:space="preserve">responsible person has been properly trained in mine emergency response. The mine emergency evacuation and firefighting program of instruction is used to determine whether a mine operator has adequate procedures and equipment to protect miners in the event of a fire or other </w:t>
      </w:r>
      <w:r w:rsidRPr="003D7D05">
        <w:rPr>
          <w:color w:val="000000"/>
        </w:rPr>
        <w:t>mine</w:t>
      </w:r>
      <w:r w:rsidRPr="003D7D05">
        <w:rPr>
          <w:color w:val="000000"/>
        </w:rPr>
        <w:t xml:space="preserve"> emergency.</w:t>
      </w:r>
    </w:p>
    <w:p w:rsidR="004040AC" w:rsidRPr="003D7D05" w:rsidP="004040AC" w14:paraId="7F2B1914" w14:textId="77777777">
      <w:pPr>
        <w:autoSpaceDE w:val="0"/>
        <w:autoSpaceDN w:val="0"/>
        <w:adjustRightInd w:val="0"/>
        <w:rPr>
          <w:color w:val="000000"/>
        </w:rPr>
      </w:pPr>
    </w:p>
    <w:p w:rsidR="004040AC" w:rsidRPr="003D7D05" w:rsidP="004040AC" w14:paraId="336E1BA0" w14:textId="77777777">
      <w:pPr>
        <w:autoSpaceDE w:val="0"/>
        <w:autoSpaceDN w:val="0"/>
        <w:adjustRightInd w:val="0"/>
        <w:rPr>
          <w:b/>
          <w:bCs/>
          <w:color w:val="000000"/>
        </w:rPr>
      </w:pPr>
      <w:r w:rsidRPr="003D7D05">
        <w:rPr>
          <w:b/>
          <w:bCs/>
          <w:color w:val="000000"/>
        </w:rPr>
        <w:t>3. Describe whether, and to what extent, the collection of information involves the use of automated, electronic, mechanical, or other technological collection techniques or other forms of information technology (e.g., permitting electronic response submissions), and the basis for the decision for adopting this means of collection. Also describe any consideration of using information technology to reduce burden.</w:t>
      </w:r>
    </w:p>
    <w:p w:rsidR="004040AC" w:rsidRPr="003D7D05" w:rsidP="004040AC" w14:paraId="22269508" w14:textId="77777777">
      <w:pPr>
        <w:autoSpaceDE w:val="0"/>
        <w:autoSpaceDN w:val="0"/>
        <w:adjustRightInd w:val="0"/>
        <w:rPr>
          <w:color w:val="000000"/>
        </w:rPr>
      </w:pPr>
    </w:p>
    <w:p w:rsidR="004040AC" w:rsidRPr="003D7D05" w:rsidP="004040AC" w14:paraId="3D300775" w14:textId="77777777">
      <w:pPr>
        <w:autoSpaceDE w:val="0"/>
        <w:autoSpaceDN w:val="0"/>
        <w:adjustRightInd w:val="0"/>
        <w:rPr>
          <w:color w:val="000000"/>
        </w:rPr>
      </w:pPr>
      <w:r w:rsidRPr="003D7D05">
        <w:rPr>
          <w:color w:val="000000"/>
        </w:rPr>
        <w:t xml:space="preserve">No improved information technology has been identified that would reduce the burden of this collection. However, </w:t>
      </w:r>
      <w:r w:rsidRPr="003D7D05">
        <w:rPr>
          <w:color w:val="000000"/>
        </w:rPr>
        <w:t>in order to</w:t>
      </w:r>
      <w:r w:rsidRPr="003D7D05">
        <w:rPr>
          <w:color w:val="000000"/>
        </w:rPr>
        <w:t xml:space="preserve"> comply with the Government Paperwork Elimination Act, mine operators may retain the records in whatever method they choose, which may include utilizing computer technology to store the records electronically. </w:t>
      </w:r>
    </w:p>
    <w:p w:rsidR="004040AC" w:rsidRPr="003D7D05" w:rsidP="004040AC" w14:paraId="769AEC24" w14:textId="77777777">
      <w:pPr>
        <w:autoSpaceDE w:val="0"/>
        <w:autoSpaceDN w:val="0"/>
        <w:adjustRightInd w:val="0"/>
        <w:rPr>
          <w:color w:val="000000"/>
        </w:rPr>
      </w:pPr>
    </w:p>
    <w:p w:rsidR="004040AC" w:rsidRPr="003D7D05" w:rsidP="004040AC" w14:paraId="30621CB6" w14:textId="77777777">
      <w:pPr>
        <w:autoSpaceDE w:val="0"/>
        <w:autoSpaceDN w:val="0"/>
        <w:adjustRightInd w:val="0"/>
        <w:rPr>
          <w:b/>
          <w:bCs/>
          <w:color w:val="000000"/>
        </w:rPr>
      </w:pPr>
      <w:r w:rsidRPr="003D7D05">
        <w:rPr>
          <w:b/>
          <w:bCs/>
          <w:color w:val="000000"/>
        </w:rPr>
        <w:t xml:space="preserve">4. Describe efforts to identify duplication. Show specifically why any similar information already available cannot be used or modified for use for the purposes described in Item 2 above. </w:t>
      </w:r>
    </w:p>
    <w:p w:rsidR="004040AC" w:rsidRPr="003D7D05" w:rsidP="004040AC" w14:paraId="3EF440DE" w14:textId="77777777">
      <w:pPr>
        <w:autoSpaceDE w:val="0"/>
        <w:autoSpaceDN w:val="0"/>
        <w:adjustRightInd w:val="0"/>
        <w:rPr>
          <w:color w:val="000000"/>
        </w:rPr>
      </w:pPr>
    </w:p>
    <w:p w:rsidR="004040AC" w:rsidRPr="003D7D05" w:rsidP="004040AC" w14:paraId="3B695AD1" w14:textId="44B4783A">
      <w:pPr>
        <w:autoSpaceDE w:val="0"/>
        <w:autoSpaceDN w:val="0"/>
        <w:adjustRightInd w:val="0"/>
        <w:rPr>
          <w:color w:val="000000"/>
        </w:rPr>
      </w:pPr>
      <w:r w:rsidRPr="003D7D05">
        <w:rPr>
          <w:color w:val="000000"/>
        </w:rPr>
        <w:t xml:space="preserve">No similar information is available or submitted to MSHA. If similar programs or records are required by States or other organizations, their application as a means of satisfying MSHA’s requirements </w:t>
      </w:r>
      <w:r w:rsidRPr="003D7D05" w:rsidR="00BB3152">
        <w:rPr>
          <w:color w:val="000000"/>
        </w:rPr>
        <w:t xml:space="preserve">could </w:t>
      </w:r>
      <w:r w:rsidRPr="003D7D05">
        <w:rPr>
          <w:color w:val="000000"/>
        </w:rPr>
        <w:t>be acceptable</w:t>
      </w:r>
      <w:r w:rsidRPr="003D7D05" w:rsidR="00905C15">
        <w:rPr>
          <w:color w:val="000000"/>
        </w:rPr>
        <w:t xml:space="preserve"> </w:t>
      </w:r>
      <w:r w:rsidRPr="003D7D05" w:rsidR="00BB44BA">
        <w:rPr>
          <w:color w:val="000000"/>
        </w:rPr>
        <w:t>if</w:t>
      </w:r>
      <w:r w:rsidRPr="003D7D05" w:rsidR="00905C15">
        <w:rPr>
          <w:color w:val="000000"/>
        </w:rPr>
        <w:t xml:space="preserve"> the</w:t>
      </w:r>
      <w:r w:rsidRPr="003D7D05" w:rsidR="00AA24E7">
        <w:rPr>
          <w:color w:val="000000"/>
        </w:rPr>
        <w:t>y are equivalent</w:t>
      </w:r>
      <w:r w:rsidRPr="003D7D05" w:rsidR="00BB44BA">
        <w:rPr>
          <w:color w:val="000000"/>
        </w:rPr>
        <w:t xml:space="preserve"> to MSHA standards</w:t>
      </w:r>
      <w:r w:rsidRPr="003D7D05">
        <w:rPr>
          <w:color w:val="000000"/>
        </w:rPr>
        <w:t>.</w:t>
      </w:r>
    </w:p>
    <w:p w:rsidR="004040AC" w:rsidRPr="003D7D05" w:rsidP="004040AC" w14:paraId="53CDD96B" w14:textId="77777777">
      <w:pPr>
        <w:autoSpaceDE w:val="0"/>
        <w:autoSpaceDN w:val="0"/>
        <w:adjustRightInd w:val="0"/>
        <w:rPr>
          <w:color w:val="000000"/>
        </w:rPr>
      </w:pPr>
    </w:p>
    <w:p w:rsidR="004040AC" w:rsidRPr="003D7D05" w:rsidP="004040AC" w14:paraId="1B1AC161" w14:textId="77777777">
      <w:pPr>
        <w:autoSpaceDE w:val="0"/>
        <w:autoSpaceDN w:val="0"/>
        <w:adjustRightInd w:val="0"/>
        <w:rPr>
          <w:b/>
          <w:bCs/>
          <w:color w:val="000000"/>
        </w:rPr>
      </w:pPr>
      <w:r w:rsidRPr="003D7D05">
        <w:rPr>
          <w:b/>
          <w:bCs/>
          <w:color w:val="000000"/>
        </w:rPr>
        <w:t>5. If the collection of information impacts small businesses or other small entities, describe any methods used to minimize burden.</w:t>
      </w:r>
    </w:p>
    <w:p w:rsidR="004040AC" w:rsidRPr="003D7D05" w:rsidP="004040AC" w14:paraId="6C79621B" w14:textId="77777777">
      <w:pPr>
        <w:autoSpaceDE w:val="0"/>
        <w:autoSpaceDN w:val="0"/>
        <w:adjustRightInd w:val="0"/>
        <w:rPr>
          <w:color w:val="000000"/>
        </w:rPr>
      </w:pPr>
    </w:p>
    <w:p w:rsidR="004040AC" w:rsidRPr="003D7D05" w:rsidP="004040AC" w14:paraId="07B584AC" w14:textId="77777777">
      <w:pPr>
        <w:rPr>
          <w:b/>
          <w:bCs/>
          <w:color w:val="000000"/>
        </w:rPr>
      </w:pPr>
      <w:r w:rsidRPr="003D7D05">
        <w:rPr>
          <w:color w:val="000000"/>
        </w:rPr>
        <w:t xml:space="preserve">The information collection provisions apply to all mine operators, both large and small. Congress intended that the Secretary enforce the law at all mining operations within the Agency’s jurisdiction regardless of size and that information collection and recordkeeping requirements be consistent with efficient and effective enforcement of the Mine Act. </w:t>
      </w:r>
      <w:r w:rsidRPr="003D7D05">
        <w:t xml:space="preserve">[S. Rep. No. 95-181 (1977)]. </w:t>
      </w:r>
      <w:r w:rsidRPr="003D7D05">
        <w:rPr>
          <w:color w:val="000000"/>
        </w:rPr>
        <w:t xml:space="preserve"> Section 103(e) of the Mine Act, </w:t>
      </w:r>
      <w:r w:rsidRPr="003D7D05">
        <w:t xml:space="preserve">30 U.S.C. 813(e), </w:t>
      </w:r>
      <w:r w:rsidRPr="003D7D05">
        <w:rPr>
          <w:color w:val="000000"/>
        </w:rPr>
        <w:t xml:space="preserve">directs the Secretary not to impose an unreasonable burden on small businesses when obtaining any information under the Mine Act. </w:t>
      </w:r>
      <w:r w:rsidRPr="003D7D05">
        <w:t xml:space="preserve">MSHA considered the burden on small mines when developing the collection and believes that these information collection requirements are imposed on all mining operators and do not have a significant impact on a substantial number of small business or other small entities. </w:t>
      </w:r>
    </w:p>
    <w:p w:rsidR="004040AC" w:rsidRPr="003D7D05" w:rsidP="004040AC" w14:paraId="59AF6C76" w14:textId="77777777">
      <w:pPr>
        <w:autoSpaceDE w:val="0"/>
        <w:autoSpaceDN w:val="0"/>
        <w:adjustRightInd w:val="0"/>
        <w:rPr>
          <w:color w:val="000000"/>
        </w:rPr>
      </w:pPr>
    </w:p>
    <w:p w:rsidR="004040AC" w:rsidRPr="003D7D05" w:rsidP="004040AC" w14:paraId="39E0CAA0" w14:textId="77777777">
      <w:pPr>
        <w:autoSpaceDE w:val="0"/>
        <w:autoSpaceDN w:val="0"/>
        <w:adjustRightInd w:val="0"/>
        <w:rPr>
          <w:color w:val="000000"/>
        </w:rPr>
      </w:pPr>
      <w:r w:rsidRPr="003D7D05">
        <w:rPr>
          <w:b/>
          <w:bCs/>
          <w:color w:val="000000"/>
        </w:rPr>
        <w:t>6. Describe the consequence to Federal programs or policy activities if the collection is not conducted or is conducted less frequently, as well as any technical or legal obstacles to reducing burden.</w:t>
      </w:r>
    </w:p>
    <w:p w:rsidR="004040AC" w:rsidRPr="003D7D05" w:rsidP="004040AC" w14:paraId="7FCA3B35" w14:textId="77777777">
      <w:pPr>
        <w:autoSpaceDE w:val="0"/>
        <w:autoSpaceDN w:val="0"/>
        <w:adjustRightInd w:val="0"/>
        <w:rPr>
          <w:color w:val="000000"/>
        </w:rPr>
      </w:pPr>
    </w:p>
    <w:p w:rsidR="004040AC" w:rsidRPr="003D7D05" w:rsidP="004040AC" w14:paraId="0C4E4D5A" w14:textId="77777777">
      <w:pPr>
        <w:autoSpaceDE w:val="0"/>
        <w:autoSpaceDN w:val="0"/>
        <w:adjustRightInd w:val="0"/>
        <w:rPr>
          <w:color w:val="000000"/>
        </w:rPr>
      </w:pPr>
      <w:r w:rsidRPr="003D7D05">
        <w:rPr>
          <w:color w:val="000000"/>
        </w:rPr>
        <w:t xml:space="preserve">Regular examinations and testing of fire suppression equipment </w:t>
      </w:r>
      <w:r w:rsidRPr="003D7D05">
        <w:rPr>
          <w:color w:val="000000"/>
        </w:rPr>
        <w:t>ensures</w:t>
      </w:r>
      <w:r w:rsidRPr="003D7D05">
        <w:rPr>
          <w:color w:val="000000"/>
        </w:rPr>
        <w:t xml:space="preserve"> that the equipment is operational and ready for use should a fire occur. Records of these examinations and tests are required to ensure that everything is adequately maintained and available for use in the event of </w:t>
      </w:r>
      <w:r w:rsidRPr="003D7D05">
        <w:rPr>
          <w:color w:val="000000"/>
        </w:rPr>
        <w:t>an emergency. There is no effective substitute for the mine evacuation and firefighting program of instruction.</w:t>
      </w:r>
    </w:p>
    <w:p w:rsidR="004040AC" w:rsidRPr="003D7D05" w:rsidP="004040AC" w14:paraId="32FA3B28" w14:textId="77777777">
      <w:pPr>
        <w:autoSpaceDE w:val="0"/>
        <w:autoSpaceDN w:val="0"/>
        <w:adjustRightInd w:val="0"/>
        <w:rPr>
          <w:color w:val="000000"/>
        </w:rPr>
      </w:pPr>
    </w:p>
    <w:p w:rsidR="004040AC" w:rsidRPr="003D7D05" w:rsidP="004040AC" w14:paraId="44BC2F9E" w14:textId="77777777">
      <w:pPr>
        <w:autoSpaceDE w:val="0"/>
        <w:autoSpaceDN w:val="0"/>
        <w:adjustRightInd w:val="0"/>
        <w:rPr>
          <w:color w:val="000000"/>
        </w:rPr>
      </w:pPr>
      <w:r w:rsidRPr="003D7D05">
        <w:rPr>
          <w:color w:val="000000"/>
        </w:rPr>
        <w:t xml:space="preserve">Training certifications for the </w:t>
      </w:r>
      <w:r w:rsidRPr="003D7D05">
        <w:rPr>
          <w:color w:val="000000"/>
        </w:rPr>
        <w:t>responsible party</w:t>
      </w:r>
      <w:r w:rsidRPr="003D7D05">
        <w:rPr>
          <w:color w:val="000000"/>
        </w:rPr>
        <w:t xml:space="preserve"> are necessary to </w:t>
      </w:r>
      <w:r w:rsidRPr="003D7D05">
        <w:rPr>
          <w:color w:val="000000"/>
        </w:rPr>
        <w:t>determine</w:t>
      </w:r>
      <w:r w:rsidRPr="003D7D05">
        <w:rPr>
          <w:color w:val="000000"/>
        </w:rPr>
        <w:t xml:space="preserve"> the person has been properly trained in </w:t>
      </w:r>
      <w:r w:rsidRPr="003D7D05">
        <w:rPr>
          <w:color w:val="000000"/>
        </w:rPr>
        <w:t>mine</w:t>
      </w:r>
      <w:r w:rsidRPr="003D7D05">
        <w:rPr>
          <w:color w:val="000000"/>
        </w:rPr>
        <w:t xml:space="preserve"> emergency response and </w:t>
      </w:r>
      <w:r w:rsidRPr="003D7D05">
        <w:rPr>
          <w:color w:val="000000"/>
        </w:rPr>
        <w:t>are</w:t>
      </w:r>
      <w:r w:rsidRPr="003D7D05">
        <w:rPr>
          <w:color w:val="000000"/>
        </w:rPr>
        <w:t xml:space="preserve"> </w:t>
      </w:r>
      <w:r w:rsidRPr="003D7D05">
        <w:rPr>
          <w:color w:val="000000"/>
        </w:rPr>
        <w:t>similar to</w:t>
      </w:r>
      <w:r w:rsidRPr="003D7D05">
        <w:rPr>
          <w:color w:val="000000"/>
        </w:rPr>
        <w:t xml:space="preserve"> other MSHA requirements. The mine evacuation and firefighting program of instruction is crucial for training miners on how to respond to mine emergencies by evacuating the mine if under dangerous conditions or occupying the refuge alternatives when evacuation is not possible. Variations in mining methods, geology, and other conditions require mine-specific firefighting and evacuation plans. Inadequate training for miners on emergency mine evacuation techniques and strategies has been a root cause of miner fatalities in several mine disasters.</w:t>
      </w:r>
    </w:p>
    <w:p w:rsidR="004040AC" w:rsidRPr="003D7D05" w:rsidP="004040AC" w14:paraId="027BA22F" w14:textId="77777777">
      <w:pPr>
        <w:rPr>
          <w:b/>
          <w:bCs/>
        </w:rPr>
      </w:pPr>
    </w:p>
    <w:p w:rsidR="004040AC" w:rsidRPr="003D7D05" w:rsidP="004040AC" w14:paraId="5C099A1F" w14:textId="77777777">
      <w:pPr>
        <w:rPr>
          <w:b/>
          <w:bCs/>
        </w:rPr>
      </w:pPr>
      <w:r w:rsidRPr="003D7D05">
        <w:rPr>
          <w:b/>
          <w:bCs/>
        </w:rPr>
        <w:t>7</w:t>
      </w:r>
      <w:r w:rsidRPr="003D7D05">
        <w:rPr>
          <w:b/>
          <w:bCs/>
        </w:rPr>
        <w:t>.  Explain</w:t>
      </w:r>
      <w:r w:rsidRPr="003D7D05">
        <w:rPr>
          <w:b/>
          <w:bCs/>
        </w:rPr>
        <w:t xml:space="preserve"> any special circumstances that would cause an information collection to be conducted in a manner:</w:t>
      </w:r>
    </w:p>
    <w:p w:rsidR="004040AC" w:rsidRPr="003D7D05" w:rsidP="004040AC" w14:paraId="776A882E" w14:textId="77777777">
      <w:pPr>
        <w:rPr>
          <w:b/>
          <w:bCs/>
        </w:rPr>
      </w:pPr>
    </w:p>
    <w:p w:rsidR="004040AC" w:rsidRPr="003D7D05" w:rsidP="004040AC" w14:paraId="4CF7334A" w14:textId="77777777">
      <w:pPr>
        <w:pStyle w:val="ListParagraph"/>
        <w:numPr>
          <w:ilvl w:val="0"/>
          <w:numId w:val="6"/>
        </w:numPr>
        <w:rPr>
          <w:b/>
          <w:bCs/>
        </w:rPr>
      </w:pPr>
      <w:r w:rsidRPr="003D7D05">
        <w:rPr>
          <w:b/>
          <w:bCs/>
        </w:rPr>
        <w:t>Requiring respondents to report information to the agency more</w:t>
      </w:r>
    </w:p>
    <w:p w:rsidR="004040AC" w:rsidRPr="003D7D05" w:rsidP="004040AC" w14:paraId="42776AFC" w14:textId="77777777">
      <w:pPr>
        <w:ind w:firstLine="720"/>
        <w:rPr>
          <w:b/>
          <w:bCs/>
        </w:rPr>
      </w:pPr>
      <w:r w:rsidRPr="003D7D05">
        <w:rPr>
          <w:b/>
          <w:bCs/>
        </w:rPr>
        <w:t>often</w:t>
      </w:r>
      <w:r w:rsidRPr="003D7D05">
        <w:rPr>
          <w:b/>
          <w:bCs/>
        </w:rPr>
        <w:t xml:space="preserve"> than </w:t>
      </w:r>
      <w:r w:rsidRPr="003D7D05">
        <w:rPr>
          <w:b/>
          <w:bCs/>
        </w:rPr>
        <w:t>quarterly</w:t>
      </w:r>
      <w:r w:rsidRPr="003D7D05">
        <w:rPr>
          <w:b/>
          <w:bCs/>
        </w:rPr>
        <w:t>.</w:t>
      </w:r>
    </w:p>
    <w:p w:rsidR="004040AC" w:rsidRPr="003D7D05" w:rsidP="004040AC" w14:paraId="7A501BDC" w14:textId="77777777">
      <w:pPr>
        <w:rPr>
          <w:b/>
          <w:bCs/>
        </w:rPr>
      </w:pPr>
    </w:p>
    <w:p w:rsidR="004040AC" w:rsidRPr="003D7D05" w:rsidP="004040AC" w14:paraId="6E49D0B6" w14:textId="77777777">
      <w:pPr>
        <w:pStyle w:val="ListParagraph"/>
        <w:numPr>
          <w:ilvl w:val="0"/>
          <w:numId w:val="6"/>
        </w:numPr>
        <w:rPr>
          <w:b/>
          <w:bCs/>
        </w:rPr>
      </w:pPr>
      <w:r w:rsidRPr="003D7D05">
        <w:fldChar w:fldCharType="begin"/>
      </w:r>
      <w:r w:rsidRPr="003D7D05">
        <w:instrText>ADVANCE \R 0.95</w:instrText>
      </w:r>
      <w:r w:rsidRPr="003D7D05">
        <w:fldChar w:fldCharType="end"/>
      </w:r>
      <w:r w:rsidRPr="003D7D05">
        <w:rPr>
          <w:b/>
          <w:bCs/>
        </w:rPr>
        <w:t>Requiring respondents to prepare a written response to a</w:t>
      </w:r>
    </w:p>
    <w:p w:rsidR="004040AC" w:rsidRPr="003D7D05" w:rsidP="004040AC" w14:paraId="20D8D7D2" w14:textId="77777777">
      <w:pPr>
        <w:ind w:left="720"/>
        <w:rPr>
          <w:b/>
          <w:bCs/>
        </w:rPr>
      </w:pPr>
      <w:r w:rsidRPr="003D7D05">
        <w:rPr>
          <w:b/>
          <w:bCs/>
        </w:rPr>
        <w:t>collection of information request in fewer than 30 days after receipt of the request.</w:t>
      </w:r>
    </w:p>
    <w:p w:rsidR="004040AC" w:rsidRPr="003D7D05" w:rsidP="004040AC" w14:paraId="39DC56F3" w14:textId="77777777">
      <w:pPr>
        <w:pStyle w:val="ListParagraph"/>
        <w:numPr>
          <w:ilvl w:val="0"/>
          <w:numId w:val="6"/>
        </w:numPr>
        <w:rPr>
          <w:b/>
          <w:bCs/>
        </w:rPr>
      </w:pPr>
      <w:r w:rsidRPr="003D7D05">
        <w:rPr>
          <w:b/>
          <w:bCs/>
        </w:rPr>
        <w:t>Requiring respondents to submit more than an original and two</w:t>
      </w:r>
    </w:p>
    <w:p w:rsidR="004040AC" w:rsidRPr="003D7D05" w:rsidP="004040AC" w14:paraId="550082F1" w14:textId="77777777">
      <w:pPr>
        <w:ind w:firstLine="720"/>
        <w:rPr>
          <w:b/>
          <w:bCs/>
        </w:rPr>
      </w:pPr>
      <w:r w:rsidRPr="003D7D05">
        <w:rPr>
          <w:b/>
          <w:bCs/>
        </w:rPr>
        <w:t>copies of any document.</w:t>
      </w:r>
    </w:p>
    <w:p w:rsidR="004040AC" w:rsidRPr="003D7D05" w:rsidP="004040AC" w14:paraId="0FAC2927" w14:textId="77777777">
      <w:pPr>
        <w:ind w:firstLine="720"/>
        <w:rPr>
          <w:b/>
          <w:bCs/>
        </w:rPr>
      </w:pPr>
    </w:p>
    <w:p w:rsidR="004040AC" w:rsidRPr="003D7D05" w:rsidP="004040AC" w14:paraId="5AB36939" w14:textId="77777777">
      <w:pPr>
        <w:pStyle w:val="ListParagraph"/>
        <w:numPr>
          <w:ilvl w:val="0"/>
          <w:numId w:val="6"/>
        </w:numPr>
        <w:rPr>
          <w:b/>
          <w:bCs/>
        </w:rPr>
      </w:pPr>
      <w:r w:rsidRPr="003D7D05">
        <w:rPr>
          <w:b/>
          <w:bCs/>
        </w:rPr>
        <w:t>Requiring respondents to retain records, other than health,</w:t>
      </w:r>
    </w:p>
    <w:p w:rsidR="004040AC" w:rsidRPr="003D7D05" w:rsidP="004040AC" w14:paraId="2FD8A86B" w14:textId="77777777">
      <w:pPr>
        <w:ind w:left="720"/>
      </w:pPr>
      <w:r w:rsidRPr="003D7D05">
        <w:rPr>
          <w:b/>
          <w:bCs/>
        </w:rPr>
        <w:t>medical, government contract, grant-in-aid, or tax records, for more than three years</w:t>
      </w:r>
      <w:r w:rsidRPr="003D7D05">
        <w:t>.</w:t>
      </w:r>
    </w:p>
    <w:p w:rsidR="004040AC" w:rsidRPr="003D7D05" w:rsidP="004040AC" w14:paraId="25C1DC40" w14:textId="77777777"/>
    <w:p w:rsidR="004040AC" w:rsidRPr="003D7D05" w:rsidP="004040AC" w14:paraId="192B52C0" w14:textId="77777777">
      <w:pPr>
        <w:pStyle w:val="ListParagraph"/>
        <w:numPr>
          <w:ilvl w:val="0"/>
          <w:numId w:val="6"/>
        </w:numPr>
      </w:pPr>
      <w:r w:rsidRPr="003D7D05">
        <w:rPr>
          <w:b/>
          <w:bCs/>
        </w:rPr>
        <w:t>In connection with a statistical survey, that is not designed to</w:t>
      </w:r>
    </w:p>
    <w:p w:rsidR="004040AC" w:rsidRPr="003D7D05" w:rsidP="004040AC" w14:paraId="2E125EE0" w14:textId="77777777">
      <w:pPr>
        <w:ind w:left="720"/>
      </w:pPr>
      <w:r w:rsidRPr="003D7D05">
        <w:rPr>
          <w:b/>
          <w:bCs/>
        </w:rPr>
        <w:t>produce valid and reliable results that can be generalized to the universe of study</w:t>
      </w:r>
      <w:r w:rsidRPr="003D7D05">
        <w:t>.</w:t>
      </w:r>
    </w:p>
    <w:p w:rsidR="004040AC" w:rsidRPr="003D7D05" w:rsidP="004040AC" w14:paraId="11CE8A06" w14:textId="77777777">
      <w:r w:rsidRPr="003D7D05">
        <w:fldChar w:fldCharType="begin"/>
      </w:r>
      <w:r w:rsidRPr="003D7D05">
        <w:instrText>ADVANCE \R 0.95</w:instrText>
      </w:r>
      <w:r w:rsidRPr="003D7D05">
        <w:fldChar w:fldCharType="end"/>
      </w:r>
    </w:p>
    <w:p w:rsidR="004040AC" w:rsidRPr="003D7D05" w:rsidP="004040AC" w14:paraId="3B91C911" w14:textId="77777777">
      <w:pPr>
        <w:pStyle w:val="ListParagraph"/>
        <w:numPr>
          <w:ilvl w:val="0"/>
          <w:numId w:val="6"/>
        </w:numPr>
        <w:rPr>
          <w:b/>
          <w:bCs/>
        </w:rPr>
      </w:pPr>
      <w:r w:rsidRPr="003D7D05">
        <w:rPr>
          <w:b/>
          <w:bCs/>
        </w:rPr>
        <w:t xml:space="preserve">Requiring the use of a statistical data classification that has not </w:t>
      </w:r>
    </w:p>
    <w:p w:rsidR="004040AC" w:rsidRPr="003D7D05" w:rsidP="004040AC" w14:paraId="62DB768D" w14:textId="77777777">
      <w:pPr>
        <w:ind w:left="720"/>
        <w:rPr>
          <w:b/>
          <w:bCs/>
        </w:rPr>
      </w:pPr>
      <w:r w:rsidRPr="003D7D05">
        <w:rPr>
          <w:b/>
          <w:bCs/>
        </w:rPr>
        <w:t>been reviewed and approved by the Office of Management and Budget (OMB).</w:t>
      </w:r>
    </w:p>
    <w:p w:rsidR="004040AC" w:rsidRPr="003D7D05" w:rsidP="004040AC" w14:paraId="185FF636" w14:textId="77777777">
      <w:r w:rsidRPr="003D7D05">
        <w:fldChar w:fldCharType="begin"/>
      </w:r>
      <w:r w:rsidRPr="003D7D05">
        <w:instrText>ADVANCE \R 0.95</w:instrText>
      </w:r>
      <w:r w:rsidRPr="003D7D05">
        <w:fldChar w:fldCharType="end"/>
      </w:r>
    </w:p>
    <w:p w:rsidR="004040AC" w:rsidRPr="003D7D05" w:rsidP="004040AC" w14:paraId="34753A2D" w14:textId="77777777">
      <w:pPr>
        <w:pStyle w:val="ListParagraph"/>
        <w:numPr>
          <w:ilvl w:val="0"/>
          <w:numId w:val="6"/>
        </w:numPr>
        <w:rPr>
          <w:b/>
          <w:bCs/>
        </w:rPr>
      </w:pPr>
      <w:r w:rsidRPr="003D7D05">
        <w:rPr>
          <w:b/>
          <w:bCs/>
        </w:rPr>
        <w:t>That includes a pledge of confidentiality that is not supported by</w:t>
      </w:r>
    </w:p>
    <w:p w:rsidR="004040AC" w:rsidRPr="003D7D05" w:rsidP="004040AC" w14:paraId="1045B1E8" w14:textId="77777777">
      <w:pPr>
        <w:ind w:left="720"/>
        <w:rPr>
          <w:b/>
          <w:bCs/>
        </w:rPr>
      </w:pPr>
      <w:r w:rsidRPr="003D7D05">
        <w:rPr>
          <w:b/>
          <w:bCs/>
        </w:rPr>
        <w:t>authority established in statute or regulation, that is not supported by disclosure and data security policies that are consistent with the pledge, or which unnecessarily impedes sharing of data with other agencies for compatible confidential use.</w:t>
      </w:r>
    </w:p>
    <w:p w:rsidR="004040AC" w:rsidRPr="003D7D05" w:rsidP="004040AC" w14:paraId="5CC6D7CA" w14:textId="77777777">
      <w:r w:rsidRPr="003D7D05">
        <w:fldChar w:fldCharType="begin"/>
      </w:r>
      <w:r w:rsidRPr="003D7D05">
        <w:instrText>ADVANCE \R 0.95</w:instrText>
      </w:r>
      <w:r w:rsidRPr="003D7D05">
        <w:fldChar w:fldCharType="end"/>
      </w:r>
    </w:p>
    <w:p w:rsidR="004040AC" w:rsidRPr="003D7D05" w:rsidP="004040AC" w14:paraId="5351374C" w14:textId="77777777">
      <w:pPr>
        <w:pStyle w:val="ListParagraph"/>
        <w:numPr>
          <w:ilvl w:val="0"/>
          <w:numId w:val="6"/>
        </w:numPr>
        <w:rPr>
          <w:b/>
          <w:bCs/>
        </w:rPr>
      </w:pPr>
      <w:r w:rsidRPr="003D7D05">
        <w:rPr>
          <w:b/>
          <w:bCs/>
        </w:rPr>
        <w:t>Requiring respondents to submit proprietary trade secret, or other confidential information unless the agency can demonstrate that it has instituted procedures to protect the information’s confidentiality to the extent permitted by law.</w:t>
      </w:r>
    </w:p>
    <w:p w:rsidR="004040AC" w:rsidRPr="003D7D05" w:rsidP="004040AC" w14:paraId="6DC3536C" w14:textId="77777777">
      <w:r w:rsidRPr="003D7D05">
        <w:fldChar w:fldCharType="begin"/>
      </w:r>
      <w:r w:rsidRPr="003D7D05">
        <w:instrText>ADVANCE \R 0.95</w:instrText>
      </w:r>
      <w:r w:rsidRPr="003D7D05">
        <w:fldChar w:fldCharType="end"/>
      </w:r>
    </w:p>
    <w:p w:rsidR="004040AC" w:rsidRPr="003D7D05" w:rsidP="004040AC" w14:paraId="796436E4" w14:textId="77777777">
      <w:pPr>
        <w:autoSpaceDE w:val="0"/>
        <w:autoSpaceDN w:val="0"/>
        <w:adjustRightInd w:val="0"/>
        <w:rPr>
          <w:color w:val="000000"/>
        </w:rPr>
      </w:pPr>
      <w:r w:rsidRPr="003D7D05">
        <w:t xml:space="preserve">This collection of information is consistent with the guidelines in 5 CFR 1320.5. </w:t>
      </w:r>
      <w:r w:rsidRPr="003D7D05">
        <w:rPr>
          <w:color w:val="000000"/>
        </w:rPr>
        <w:t xml:space="preserve">Records of the automatic fire sensor and warning device system functional tests and sensor calibrations must be retained by the mine operator for 1 year. While there is no specific retention requirement for fire </w:t>
      </w:r>
      <w:r w:rsidRPr="003D7D05">
        <w:rPr>
          <w:color w:val="000000"/>
        </w:rPr>
        <w:t>hydrant</w:t>
      </w:r>
      <w:r w:rsidRPr="003D7D05">
        <w:rPr>
          <w:color w:val="000000"/>
        </w:rPr>
        <w:t xml:space="preserve"> and fire hose testing, underground coal mine operators are required to maintain records of testing </w:t>
      </w:r>
      <w:r w:rsidRPr="003D7D05">
        <w:rPr>
          <w:color w:val="000000"/>
        </w:rPr>
        <w:t>as long as</w:t>
      </w:r>
      <w:r w:rsidRPr="003D7D05">
        <w:rPr>
          <w:color w:val="000000"/>
        </w:rPr>
        <w:t xml:space="preserve"> the mine is active. There is a 1-year record retention requirement for the certification of mine emergency response training for the </w:t>
      </w:r>
      <w:r w:rsidRPr="003D7D05">
        <w:rPr>
          <w:color w:val="000000"/>
        </w:rPr>
        <w:t>responsible person</w:t>
      </w:r>
      <w:r w:rsidRPr="003D7D05">
        <w:rPr>
          <w:color w:val="000000"/>
        </w:rPr>
        <w:t>. No records are required to be maintained for more than 3 years. This collection of information is otherwise consistent with the guidelines found in 5 CFR 1320.5 and does not contain any requirements for respondents to report more frequently than on a quarterly basis.</w:t>
      </w:r>
      <w:r w:rsidRPr="003D7D05">
        <w:t xml:space="preserve"> </w:t>
      </w:r>
    </w:p>
    <w:p w:rsidR="004040AC" w:rsidRPr="003D7D05" w:rsidP="004040AC" w14:paraId="149AAEF5" w14:textId="77777777">
      <w:pPr>
        <w:autoSpaceDE w:val="0"/>
        <w:autoSpaceDN w:val="0"/>
        <w:adjustRightInd w:val="0"/>
        <w:rPr>
          <w:color w:val="000000"/>
        </w:rPr>
      </w:pPr>
    </w:p>
    <w:p w:rsidR="004040AC" w:rsidRPr="003D7D05" w:rsidP="004040AC" w14:paraId="0D36B6A9" w14:textId="77777777">
      <w:pPr>
        <w:autoSpaceDE w:val="0"/>
        <w:autoSpaceDN w:val="0"/>
        <w:adjustRightInd w:val="0"/>
        <w:rPr>
          <w:b/>
          <w:bCs/>
          <w:color w:val="000000"/>
        </w:rPr>
      </w:pPr>
      <w:r w:rsidRPr="003D7D05">
        <w:rPr>
          <w:b/>
          <w:bCs/>
          <w:color w:val="000000"/>
        </w:rPr>
        <w:t xml:space="preserve">8. If applicable, provide a copy and identify the date and page number of </w:t>
      </w:r>
      <w:r w:rsidRPr="003D7D05">
        <w:rPr>
          <w:b/>
          <w:bCs/>
          <w:color w:val="000000"/>
        </w:rPr>
        <w:t>publication</w:t>
      </w:r>
      <w:r w:rsidRPr="003D7D05">
        <w:rPr>
          <w:b/>
          <w:bCs/>
          <w:color w:val="000000"/>
        </w:rPr>
        <w:t xml:space="preserve"> in the </w:t>
      </w:r>
      <w:r w:rsidRPr="003D7D05">
        <w:rPr>
          <w:b/>
          <w:bCs/>
          <w:i/>
          <w:iCs/>
          <w:color w:val="000000"/>
        </w:rPr>
        <w:t>Federal Register</w:t>
      </w:r>
      <w:r w:rsidRPr="003D7D05">
        <w:rPr>
          <w:b/>
          <w:bCs/>
          <w:color w:val="000000"/>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040AC" w:rsidRPr="003D7D05" w:rsidP="004040AC" w14:paraId="070A3A14" w14:textId="77777777">
      <w:pPr>
        <w:autoSpaceDE w:val="0"/>
        <w:autoSpaceDN w:val="0"/>
        <w:adjustRightInd w:val="0"/>
        <w:rPr>
          <w:color w:val="000000"/>
        </w:rPr>
      </w:pPr>
    </w:p>
    <w:p w:rsidR="004040AC" w:rsidRPr="003D7D05" w:rsidP="004040AC" w14:paraId="2E62CC16" w14:textId="77777777">
      <w:pPr>
        <w:autoSpaceDE w:val="0"/>
        <w:autoSpaceDN w:val="0"/>
        <w:adjustRightInd w:val="0"/>
        <w:rPr>
          <w:b/>
          <w:bCs/>
          <w:color w:val="000000"/>
        </w:rPr>
      </w:pPr>
      <w:r w:rsidRPr="003D7D05">
        <w:rPr>
          <w:b/>
          <w:bCs/>
          <w:color w:val="000000"/>
        </w:rPr>
        <w:t>Describe efforts to consult with persons outside the agency to obtain their views on the availability of data; frequency of collection; clarity of instructions and recordkeeping, disclosure, or reporting format (if any); and on the data elements to be recorded, disclosed, or reported.</w:t>
      </w:r>
    </w:p>
    <w:p w:rsidR="004040AC" w:rsidRPr="003D7D05" w:rsidP="004040AC" w14:paraId="1F3C3206" w14:textId="77777777">
      <w:pPr>
        <w:autoSpaceDE w:val="0"/>
        <w:autoSpaceDN w:val="0"/>
        <w:adjustRightInd w:val="0"/>
        <w:rPr>
          <w:b/>
          <w:bCs/>
          <w:color w:val="000000"/>
        </w:rPr>
      </w:pPr>
    </w:p>
    <w:p w:rsidR="004040AC" w:rsidRPr="003D7D05" w:rsidP="004040AC" w14:paraId="6357D556" w14:textId="77777777">
      <w:pPr>
        <w:autoSpaceDE w:val="0"/>
        <w:autoSpaceDN w:val="0"/>
        <w:adjustRightInd w:val="0"/>
        <w:rPr>
          <w:b/>
          <w:bCs/>
          <w:color w:val="000000"/>
        </w:rPr>
      </w:pPr>
      <w:r w:rsidRPr="003D7D05">
        <w:rPr>
          <w:b/>
          <w:bCs/>
          <w:color w:val="00000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040AC" w:rsidRPr="003D7D05" w:rsidP="004040AC" w14:paraId="3BA0372F" w14:textId="77777777">
      <w:pPr>
        <w:autoSpaceDE w:val="0"/>
        <w:autoSpaceDN w:val="0"/>
        <w:adjustRightInd w:val="0"/>
        <w:rPr>
          <w:color w:val="000000"/>
        </w:rPr>
      </w:pPr>
    </w:p>
    <w:p w:rsidR="00335311" w:rsidP="00553EC6" w14:paraId="4253BEE6" w14:textId="77777777">
      <w:pPr>
        <w:autoSpaceDE w:val="0"/>
        <w:autoSpaceDN w:val="0"/>
        <w:adjustRightInd w:val="0"/>
      </w:pPr>
      <w:bookmarkStart w:id="11" w:name="_Hlk167099687"/>
      <w:r w:rsidRPr="003D7D05">
        <w:t xml:space="preserve">In accordance with 5 CFR 1320.8(d), MSHA will publish the proposed information collection requirements in the </w:t>
      </w:r>
      <w:r w:rsidRPr="003D7D05">
        <w:rPr>
          <w:i/>
          <w:iCs/>
        </w:rPr>
        <w:t>Federal Register</w:t>
      </w:r>
      <w:r w:rsidRPr="003D7D05">
        <w:t xml:space="preserve">, notifying the public that these information collection requirements are being reviewed in accordance with the Paperwork Reduction Act of 1995, and providing 60 days for the public to submit comments.  </w:t>
      </w:r>
      <w:r w:rsidRPr="0036428E" w:rsidR="0036428E">
        <w:t>MSHA published a 60-day Federal Register notice on May 29, 2025</w:t>
      </w:r>
      <w:r w:rsidR="0036428E">
        <w:t xml:space="preserve"> (</w:t>
      </w:r>
      <w:r w:rsidRPr="0036428E" w:rsidR="0036428E">
        <w:t>90 FR 22758</w:t>
      </w:r>
      <w:r w:rsidR="0036428E">
        <w:t>).</w:t>
      </w:r>
      <w:r w:rsidR="00BC236C">
        <w:t xml:space="preserve"> MSHA received </w:t>
      </w:r>
      <w:r w:rsidR="00014BCB">
        <w:t>2</w:t>
      </w:r>
      <w:r w:rsidR="00BC236C">
        <w:t xml:space="preserve"> anonymous comment</w:t>
      </w:r>
      <w:r w:rsidR="00014BCB">
        <w:t>s</w:t>
      </w:r>
      <w:r w:rsidR="00BC236C">
        <w:t xml:space="preserve">. </w:t>
      </w:r>
    </w:p>
    <w:p w:rsidR="00335311" w:rsidP="00553EC6" w14:paraId="0F0C7B5A" w14:textId="77777777">
      <w:pPr>
        <w:autoSpaceDE w:val="0"/>
        <w:autoSpaceDN w:val="0"/>
        <w:adjustRightInd w:val="0"/>
      </w:pPr>
    </w:p>
    <w:p w:rsidR="00335311" w:rsidP="00553EC6" w14:paraId="4626334C" w14:textId="10079C86">
      <w:pPr>
        <w:autoSpaceDE w:val="0"/>
        <w:autoSpaceDN w:val="0"/>
        <w:adjustRightInd w:val="0"/>
      </w:pPr>
      <w:r>
        <w:t>C</w:t>
      </w:r>
      <w:r w:rsidRPr="00553EC6">
        <w:t xml:space="preserve">ommenter #1 stated “The agency collection should be revised to update the agency to the proper agency management for MSHA regulation changes. The list of collection items are needed for safety purposes for health, fire prevention and having a plan in place in case of an emergency. Having the fire extinguishers tested and available every 6 months and verification of all warning systems, are all requirements applicable for policies issued by the Director of the agency. These policies should reference certification requirements, testing records with maps and locations, and other relevant data requirements for each mandatory system. The emergency evacuation and firefighting instructions should be required as part of regulatory compliance policies and procedures.” </w:t>
      </w:r>
    </w:p>
    <w:p w:rsidR="00335311" w:rsidP="00553EC6" w14:paraId="031CA979" w14:textId="77777777">
      <w:pPr>
        <w:autoSpaceDE w:val="0"/>
        <w:autoSpaceDN w:val="0"/>
        <w:adjustRightInd w:val="0"/>
      </w:pPr>
    </w:p>
    <w:p w:rsidR="001F0BF1" w:rsidP="001F0BF1" w14:paraId="760111B9" w14:textId="77777777">
      <w:pPr>
        <w:autoSpaceDE w:val="0"/>
        <w:autoSpaceDN w:val="0"/>
        <w:adjustRightInd w:val="0"/>
      </w:pPr>
      <w:r>
        <w:t>Safety Division Draft Response:</w:t>
      </w:r>
    </w:p>
    <w:p w:rsidR="001F0BF1" w:rsidP="001F0BF1" w14:paraId="2211E2F7" w14:textId="77777777">
      <w:pPr>
        <w:autoSpaceDE w:val="0"/>
        <w:autoSpaceDN w:val="0"/>
        <w:adjustRightInd w:val="0"/>
      </w:pPr>
    </w:p>
    <w:p w:rsidR="001F0BF1" w:rsidP="001F0BF1" w14:paraId="233CE1D8" w14:textId="77777777">
      <w:pPr>
        <w:autoSpaceDE w:val="0"/>
        <w:autoSpaceDN w:val="0"/>
        <w:adjustRightInd w:val="0"/>
      </w:pPr>
      <w:r>
        <w:t xml:space="preserve">Under 30 CFR 75.1100-3, chemical fire extinguishers must be examined every six months </w:t>
      </w:r>
      <w:r>
        <w:t>and that</w:t>
      </w:r>
      <w:r>
        <w:t xml:space="preserve"> the date of the examination be recorded on a permanent tag attached to the extinguisher.</w:t>
      </w:r>
    </w:p>
    <w:p w:rsidR="001F0BF1" w:rsidP="001F0BF1" w14:paraId="71B0D336" w14:textId="77777777">
      <w:pPr>
        <w:autoSpaceDE w:val="0"/>
        <w:autoSpaceDN w:val="0"/>
        <w:adjustRightInd w:val="0"/>
      </w:pPr>
    </w:p>
    <w:p w:rsidR="001F0BF1" w:rsidP="001F0BF1" w14:paraId="27A3C437" w14:textId="77777777">
      <w:pPr>
        <w:autoSpaceDE w:val="0"/>
        <w:autoSpaceDN w:val="0"/>
        <w:adjustRightInd w:val="0"/>
      </w:pPr>
      <w:r>
        <w:t xml:space="preserve">Under 30 CFR 75.1502, each mine operator must adopt and follow a mine emergency evacuation and firefighting program of instruction that addresses all mine emergencies created </w:t>
      </w:r>
      <w:r>
        <w:t>as a result of</w:t>
      </w:r>
      <w:r>
        <w:t xml:space="preserve"> a fire, an explosion, or a gas or water inundation. Under 30 CFR 75.1502(a), mine operators must submit this program of instruction, and any revisions, to MSHA for its approval and to train miners regarding the use of the program of instruction. Under 30 CFR 75.1502(b), mine operators must instruct miners in any changes to the program of instruction before implementation of such approved changes.</w:t>
      </w:r>
    </w:p>
    <w:p w:rsidR="001F0BF1" w:rsidP="001F0BF1" w14:paraId="50AB46B9" w14:textId="77777777">
      <w:pPr>
        <w:autoSpaceDE w:val="0"/>
        <w:autoSpaceDN w:val="0"/>
        <w:adjustRightInd w:val="0"/>
      </w:pPr>
    </w:p>
    <w:p w:rsidR="001F0BF1" w:rsidP="001F0BF1" w14:paraId="55C511C1" w14:textId="77777777">
      <w:pPr>
        <w:autoSpaceDE w:val="0"/>
        <w:autoSpaceDN w:val="0"/>
        <w:adjustRightInd w:val="0"/>
      </w:pPr>
      <w:r>
        <w:t>Fire suppression equipment tests are conducted on a regular basis to ensure that all equipment (30 CFR 75.1100-3 (chemical fire extinguishers); 30 CFR 75.1103-8 (sensor and warning devices); and 30 CFR 75.1103-11 (hydrants and hoses)) are in working order and ready for use in the event of a fire. The emergency evacuation provisions – including the mine emergency evacuation and firefighting program of instruction, mine emergency evacuation training and drills including a realistic drill, review of the mine and escape-way map, the firefighting plan, operation of fire suppression equipment available in the mine, and location and use of firefighting equipment and materials – are used to determine whether a mine operator has adequate procedures and equipment to protect miners in the event of a fire or other mine emergency.</w:t>
      </w:r>
    </w:p>
    <w:p w:rsidR="001F0BF1" w:rsidP="001F0BF1" w14:paraId="0446FE32" w14:textId="77777777">
      <w:pPr>
        <w:autoSpaceDE w:val="0"/>
        <w:autoSpaceDN w:val="0"/>
        <w:adjustRightInd w:val="0"/>
      </w:pPr>
    </w:p>
    <w:p w:rsidR="00335311" w:rsidP="001F0BF1" w14:paraId="0D3F5233" w14:textId="329278EA">
      <w:pPr>
        <w:autoSpaceDE w:val="0"/>
        <w:autoSpaceDN w:val="0"/>
        <w:adjustRightInd w:val="0"/>
      </w:pPr>
      <w:r>
        <w:t>MSHA appreciates the anonymous comment regarding updating the Standard. However, the collection of information requirements contained in the ICR are to extend the regulations currently in place and approved by OMB. Introducing new practices, procedures, and requirements to the Standard are outside the scope of this notice, which is meant to extend the existing collection of information requirements for a further three years.</w:t>
      </w:r>
    </w:p>
    <w:p w:rsidR="001F0BF1" w:rsidP="001F0BF1" w14:paraId="067F0796" w14:textId="77777777">
      <w:pPr>
        <w:autoSpaceDE w:val="0"/>
        <w:autoSpaceDN w:val="0"/>
        <w:adjustRightInd w:val="0"/>
      </w:pPr>
    </w:p>
    <w:p w:rsidR="004040AC" w:rsidP="00553EC6" w14:paraId="0C71D1FB" w14:textId="3A3D6AB2">
      <w:pPr>
        <w:autoSpaceDE w:val="0"/>
        <w:autoSpaceDN w:val="0"/>
        <w:adjustRightInd w:val="0"/>
      </w:pPr>
      <w:r>
        <w:t xml:space="preserve">Commenter #2 </w:t>
      </w:r>
      <w:r w:rsidR="00335311">
        <w:t xml:space="preserve">stated </w:t>
      </w:r>
      <w:r>
        <w:t>“I recommend collecting the information and increasing safety for miners by collecting more information on fire safety. Deregulation is always bad for American workers, consumers, and taxpayers. Deregulation costs American taxpayers more in OSHA claims, property damage, and other compensation. We do not want another Crandall mine disaster.”</w:t>
      </w:r>
    </w:p>
    <w:p w:rsidR="00553EC6" w:rsidP="004040AC" w14:paraId="31DBCD5A" w14:textId="77777777">
      <w:pPr>
        <w:autoSpaceDE w:val="0"/>
        <w:autoSpaceDN w:val="0"/>
        <w:adjustRightInd w:val="0"/>
      </w:pPr>
    </w:p>
    <w:p w:rsidR="001F0BF1" w:rsidP="001F0BF1" w14:paraId="3DF52005" w14:textId="77777777">
      <w:pPr>
        <w:autoSpaceDE w:val="0"/>
        <w:autoSpaceDN w:val="0"/>
        <w:adjustRightInd w:val="0"/>
      </w:pPr>
      <w:r>
        <w:t>Safety Division Draft Response:</w:t>
      </w:r>
    </w:p>
    <w:p w:rsidR="001F0BF1" w:rsidP="001F0BF1" w14:paraId="7FDA3DA0" w14:textId="77777777">
      <w:pPr>
        <w:autoSpaceDE w:val="0"/>
        <w:autoSpaceDN w:val="0"/>
        <w:adjustRightInd w:val="0"/>
      </w:pPr>
    </w:p>
    <w:p w:rsidR="001F0BF1" w:rsidP="001F0BF1" w14:paraId="727B0CD9" w14:textId="77777777">
      <w:pPr>
        <w:autoSpaceDE w:val="0"/>
        <w:autoSpaceDN w:val="0"/>
        <w:adjustRightInd w:val="0"/>
      </w:pPr>
      <w:r>
        <w:t>Section 103(h) of the Federal Mine Safety and Health Act of 1977, as amended (Mine Act), 30 U.S.C.  813(h), authorizes the Mine Safety and Health Administration (MSHA) to collect information necessary to carry out its duty in protecting the safety and health of miners. Further, section 101(a) of the Mine Act, 30 U.S.C. 811(a), authorizes the Secretary of Labor (Secretary) to develop, promulgate, and revise as may be appropriate, improved mandatory health or safety standards for the protection of life and prevention of injuries in coal, metal, and nonmetal mines.</w:t>
      </w:r>
    </w:p>
    <w:p w:rsidR="001F0BF1" w:rsidP="001F0BF1" w14:paraId="75A8C60F" w14:textId="77777777">
      <w:pPr>
        <w:autoSpaceDE w:val="0"/>
        <w:autoSpaceDN w:val="0"/>
        <w:adjustRightInd w:val="0"/>
      </w:pPr>
    </w:p>
    <w:p w:rsidR="001F0BF1" w:rsidP="001F0BF1" w14:paraId="66C31692" w14:textId="77777777">
      <w:pPr>
        <w:autoSpaceDE w:val="0"/>
        <w:autoSpaceDN w:val="0"/>
        <w:adjustRightInd w:val="0"/>
      </w:pPr>
      <w:r>
        <w:t>In order to</w:t>
      </w:r>
      <w:r>
        <w:t xml:space="preserve"> fulfill the statutory mandates to promote miners’ health and safety, MSHA requires the collection of information under the information collection request entitled Underground Coal Mine Fire Protection.  The information collection is intended for MSHA to use the information to determine mine operators' compliance with approved training plans, to monitor safety-training programs, and to report to Congress.</w:t>
      </w:r>
    </w:p>
    <w:p w:rsidR="001F0BF1" w:rsidP="001F0BF1" w14:paraId="6545D93F" w14:textId="77777777">
      <w:pPr>
        <w:autoSpaceDE w:val="0"/>
        <w:autoSpaceDN w:val="0"/>
        <w:adjustRightInd w:val="0"/>
      </w:pPr>
    </w:p>
    <w:p w:rsidR="001F0BF1" w:rsidP="001F0BF1" w14:paraId="43AC298B" w14:textId="77777777">
      <w:pPr>
        <w:autoSpaceDE w:val="0"/>
        <w:autoSpaceDN w:val="0"/>
        <w:adjustRightInd w:val="0"/>
      </w:pPr>
      <w:r>
        <w:t xml:space="preserve">Regular examinations of fire suppression equipment </w:t>
      </w:r>
      <w:r>
        <w:t>ensures</w:t>
      </w:r>
      <w:r>
        <w:t xml:space="preserve"> that the equipment is operational and ready for use should a fire occur. Records of these examinations are required to ensure that this fire suppression equipment is adequately maintained and available for use in the event of an emergency.</w:t>
      </w:r>
    </w:p>
    <w:p w:rsidR="001F0BF1" w:rsidP="001F0BF1" w14:paraId="3EC2834D" w14:textId="77777777">
      <w:pPr>
        <w:autoSpaceDE w:val="0"/>
        <w:autoSpaceDN w:val="0"/>
        <w:adjustRightInd w:val="0"/>
      </w:pPr>
    </w:p>
    <w:p w:rsidR="00553EC6" w:rsidRPr="003D7D05" w:rsidP="001F0BF1" w14:paraId="33CDC8F7" w14:textId="4733F797">
      <w:pPr>
        <w:autoSpaceDE w:val="0"/>
        <w:autoSpaceDN w:val="0"/>
        <w:adjustRightInd w:val="0"/>
      </w:pPr>
      <w:r>
        <w:t>MSHA appreciates the anonymous comment supporting the collection of information and its impact on miner safety.</w:t>
      </w:r>
    </w:p>
    <w:bookmarkEnd w:id="11"/>
    <w:p w:rsidR="004040AC" w:rsidRPr="003D7D05" w:rsidP="004040AC" w14:paraId="05913DBD" w14:textId="77777777">
      <w:pPr>
        <w:autoSpaceDE w:val="0"/>
        <w:autoSpaceDN w:val="0"/>
        <w:adjustRightInd w:val="0"/>
        <w:rPr>
          <w:bCs/>
        </w:rPr>
      </w:pPr>
    </w:p>
    <w:p w:rsidR="004040AC" w:rsidRPr="003D7D05" w:rsidP="004040AC" w14:paraId="2FFA2DF0" w14:textId="77777777">
      <w:pPr>
        <w:autoSpaceDE w:val="0"/>
        <w:autoSpaceDN w:val="0"/>
        <w:adjustRightInd w:val="0"/>
        <w:rPr>
          <w:b/>
          <w:bCs/>
          <w:color w:val="000000"/>
        </w:rPr>
      </w:pPr>
      <w:r w:rsidRPr="003D7D05">
        <w:rPr>
          <w:b/>
          <w:bCs/>
          <w:color w:val="000000"/>
        </w:rPr>
        <w:t>9. Explain any decision to provide any payment or gift to respondents, other than remuneration of contractors or grantees.</w:t>
      </w:r>
    </w:p>
    <w:p w:rsidR="004040AC" w:rsidRPr="003D7D05" w:rsidP="004040AC" w14:paraId="2BC12575" w14:textId="77777777">
      <w:pPr>
        <w:autoSpaceDE w:val="0"/>
        <w:autoSpaceDN w:val="0"/>
        <w:adjustRightInd w:val="0"/>
        <w:rPr>
          <w:color w:val="000000"/>
        </w:rPr>
      </w:pPr>
    </w:p>
    <w:p w:rsidR="004040AC" w:rsidRPr="003D7D05" w:rsidP="004040AC" w14:paraId="2BC6C81B" w14:textId="77777777">
      <w:pPr>
        <w:autoSpaceDE w:val="0"/>
        <w:autoSpaceDN w:val="0"/>
        <w:adjustRightInd w:val="0"/>
        <w:rPr>
          <w:color w:val="000000"/>
        </w:rPr>
      </w:pPr>
      <w:r w:rsidRPr="003D7D05">
        <w:rPr>
          <w:color w:val="000000"/>
        </w:rPr>
        <w:t>MSHA does not provide payments or gifts to respondents.</w:t>
      </w:r>
    </w:p>
    <w:p w:rsidR="004040AC" w:rsidRPr="003D7D05" w:rsidP="004040AC" w14:paraId="03F77C0B" w14:textId="77777777">
      <w:pPr>
        <w:autoSpaceDE w:val="0"/>
        <w:autoSpaceDN w:val="0"/>
        <w:adjustRightInd w:val="0"/>
        <w:rPr>
          <w:color w:val="000000"/>
        </w:rPr>
      </w:pPr>
    </w:p>
    <w:p w:rsidR="004040AC" w:rsidRPr="003D7D05" w:rsidP="004040AC" w14:paraId="485E695E" w14:textId="77777777">
      <w:pPr>
        <w:autoSpaceDE w:val="0"/>
        <w:autoSpaceDN w:val="0"/>
        <w:adjustRightInd w:val="0"/>
        <w:rPr>
          <w:b/>
          <w:bCs/>
          <w:color w:val="000000"/>
        </w:rPr>
      </w:pPr>
      <w:r w:rsidRPr="003D7D05">
        <w:rPr>
          <w:b/>
          <w:bCs/>
          <w:color w:val="000000"/>
        </w:rPr>
        <w:t>10. Describe any assurance of confidentiality provided to respondents and the basis for the assurance in statue, regulation, or agency policy.</w:t>
      </w:r>
    </w:p>
    <w:p w:rsidR="004040AC" w:rsidRPr="003D7D05" w:rsidP="004040AC" w14:paraId="68FD1DE7" w14:textId="77777777">
      <w:pPr>
        <w:autoSpaceDE w:val="0"/>
        <w:autoSpaceDN w:val="0"/>
        <w:adjustRightInd w:val="0"/>
        <w:rPr>
          <w:color w:val="000000"/>
        </w:rPr>
      </w:pPr>
    </w:p>
    <w:p w:rsidR="004040AC" w:rsidRPr="003D7D05" w:rsidP="004040AC" w14:paraId="51711031" w14:textId="77777777">
      <w:pPr>
        <w:autoSpaceDE w:val="0"/>
        <w:autoSpaceDN w:val="0"/>
        <w:adjustRightInd w:val="0"/>
        <w:rPr>
          <w:color w:val="000000"/>
        </w:rPr>
      </w:pPr>
      <w:r w:rsidRPr="003D7D05">
        <w:t xml:space="preserve">There is no assurance of confidentiality provided to respondents. </w:t>
      </w:r>
      <w:r w:rsidRPr="003D7D05">
        <w:rPr>
          <w:color w:val="000000"/>
        </w:rPr>
        <w:t>There is no personal information requiring confidentiality. The conduct of investigations and tests is required by 30 CFR 18.9 to be held as confidential and MSHA will not disclose principles or patentable features; nor will MSHA disclose to persons other than the applicant the results of tests, chemical analysis of materials or any details of the applicant’s drawings, specifications, instructions, and related material.</w:t>
      </w:r>
    </w:p>
    <w:p w:rsidR="004040AC" w:rsidRPr="003D7D05" w:rsidP="004040AC" w14:paraId="79870981" w14:textId="77777777">
      <w:pPr>
        <w:rPr>
          <w:b/>
          <w:bCs/>
          <w:color w:val="000000"/>
        </w:rPr>
      </w:pPr>
    </w:p>
    <w:p w:rsidR="004040AC" w:rsidRPr="003D7D05" w:rsidP="004040AC" w14:paraId="4C8494AC" w14:textId="77777777">
      <w:pPr>
        <w:autoSpaceDE w:val="0"/>
        <w:autoSpaceDN w:val="0"/>
        <w:adjustRightInd w:val="0"/>
        <w:rPr>
          <w:b/>
          <w:bCs/>
          <w:color w:val="000000"/>
        </w:rPr>
      </w:pPr>
      <w:r w:rsidRPr="003D7D05">
        <w:rPr>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040AC" w:rsidRPr="003D7D05" w:rsidP="004040AC" w14:paraId="1548593D" w14:textId="77777777">
      <w:pPr>
        <w:autoSpaceDE w:val="0"/>
        <w:autoSpaceDN w:val="0"/>
        <w:adjustRightInd w:val="0"/>
        <w:rPr>
          <w:color w:val="000000"/>
        </w:rPr>
      </w:pPr>
    </w:p>
    <w:p w:rsidR="004040AC" w:rsidRPr="003D7D05" w:rsidP="004040AC" w14:paraId="139428F8" w14:textId="77777777">
      <w:pPr>
        <w:autoSpaceDE w:val="0"/>
        <w:autoSpaceDN w:val="0"/>
        <w:adjustRightInd w:val="0"/>
        <w:rPr>
          <w:color w:val="000000"/>
        </w:rPr>
      </w:pPr>
      <w:r w:rsidRPr="003D7D05">
        <w:rPr>
          <w:color w:val="000000"/>
        </w:rPr>
        <w:t>There are no questions of a sensitive nature.</w:t>
      </w:r>
    </w:p>
    <w:p w:rsidR="004040AC" w:rsidRPr="003D7D05" w:rsidP="004040AC" w14:paraId="35F46139" w14:textId="77777777">
      <w:pPr>
        <w:pStyle w:val="Default"/>
        <w:rPr>
          <w:rFonts w:ascii="Times New Roman" w:hAnsi="Times New Roman" w:cs="Times New Roman"/>
        </w:rPr>
      </w:pPr>
      <w:r w:rsidRPr="003D7D05">
        <w:rPr>
          <w:rFonts w:ascii="Times New Roman" w:hAnsi="Times New Roman" w:cs="Times New Roman"/>
        </w:rPr>
        <w:t xml:space="preserve"> </w:t>
      </w:r>
    </w:p>
    <w:p w:rsidR="004040AC" w:rsidRPr="003D7D05" w:rsidP="004040AC" w14:paraId="7B42AB35" w14:textId="77777777">
      <w:pPr>
        <w:pStyle w:val="Default"/>
        <w:rPr>
          <w:rFonts w:ascii="Times New Roman" w:hAnsi="Times New Roman" w:cs="Times New Roman"/>
        </w:rPr>
      </w:pPr>
      <w:r w:rsidRPr="003D7D05">
        <w:rPr>
          <w:rFonts w:ascii="Times New Roman" w:hAnsi="Times New Roman" w:cs="Times New Roman"/>
          <w:b/>
          <w:bCs/>
        </w:rPr>
        <w:t>12. Provide estimates of the hour burden of the collection of information. The statement should:</w:t>
      </w:r>
    </w:p>
    <w:p w:rsidR="004040AC" w:rsidRPr="003D7D05" w:rsidP="004040AC" w14:paraId="47AF18D9" w14:textId="77777777">
      <w:pPr>
        <w:pStyle w:val="Default"/>
        <w:numPr>
          <w:ilvl w:val="0"/>
          <w:numId w:val="6"/>
        </w:numPr>
        <w:rPr>
          <w:rFonts w:ascii="Times New Roman" w:hAnsi="Times New Roman" w:cs="Times New Roman"/>
        </w:rPr>
      </w:pPr>
      <w:r w:rsidRPr="003D7D05">
        <w:rPr>
          <w:rFonts w:ascii="Times New Roman" w:hAnsi="Times New Roman" w:cs="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040AC" w:rsidRPr="003D7D05" w:rsidP="004040AC" w14:paraId="23591BC5" w14:textId="77777777">
      <w:pPr>
        <w:pStyle w:val="Default"/>
        <w:ind w:left="720"/>
        <w:rPr>
          <w:rFonts w:ascii="Times New Roman" w:hAnsi="Times New Roman" w:cs="Times New Roman"/>
        </w:rPr>
      </w:pPr>
    </w:p>
    <w:p w:rsidR="004040AC" w:rsidRPr="003D7D05" w:rsidP="004040AC" w14:paraId="2C8B0D5D" w14:textId="77777777">
      <w:pPr>
        <w:pStyle w:val="Default"/>
        <w:numPr>
          <w:ilvl w:val="0"/>
          <w:numId w:val="6"/>
        </w:numPr>
        <w:rPr>
          <w:rFonts w:ascii="Times New Roman" w:hAnsi="Times New Roman" w:cs="Times New Roman"/>
        </w:rPr>
      </w:pPr>
      <w:r w:rsidRPr="003D7D05">
        <w:rPr>
          <w:rFonts w:ascii="Times New Roman" w:hAnsi="Times New Roman" w:cs="Times New Roman"/>
          <w:b/>
          <w:bCs/>
        </w:rPr>
        <w:t>If this request for approval covers more than one form, provide separate hour burden estimates for each form and aggregate the hour burdens.</w:t>
      </w:r>
    </w:p>
    <w:p w:rsidR="004040AC" w:rsidRPr="003D7D05" w:rsidP="004040AC" w14:paraId="6D8C767C" w14:textId="77777777">
      <w:pPr>
        <w:pStyle w:val="Default"/>
        <w:ind w:left="720"/>
        <w:rPr>
          <w:rFonts w:ascii="Times New Roman" w:hAnsi="Times New Roman" w:cs="Times New Roman"/>
        </w:rPr>
      </w:pPr>
    </w:p>
    <w:p w:rsidR="004040AC" w:rsidRPr="003D7D05" w:rsidP="004040AC" w14:paraId="40AA5ABF" w14:textId="77777777">
      <w:pPr>
        <w:pStyle w:val="Default"/>
        <w:numPr>
          <w:ilvl w:val="0"/>
          <w:numId w:val="6"/>
        </w:numPr>
        <w:rPr>
          <w:rFonts w:ascii="Times New Roman" w:hAnsi="Times New Roman" w:cs="Times New Roman"/>
          <w:b/>
          <w:bCs/>
        </w:rPr>
      </w:pPr>
      <w:r w:rsidRPr="003D7D05">
        <w:rPr>
          <w:rFonts w:ascii="Times New Roman" w:hAnsi="Times New Roman" w:cs="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040AC" w:rsidRPr="003D7D05" w:rsidP="004040AC" w14:paraId="62683A36" w14:textId="77777777">
      <w:pPr>
        <w:pStyle w:val="Default"/>
        <w:rPr>
          <w:rFonts w:ascii="Times New Roman" w:hAnsi="Times New Roman" w:cs="Times New Roman"/>
          <w:b/>
          <w:bCs/>
        </w:rPr>
      </w:pPr>
    </w:p>
    <w:p w:rsidR="004040AC" w:rsidRPr="003D7D05" w:rsidP="004040AC" w14:paraId="538E07E0" w14:textId="77777777">
      <w:pPr>
        <w:contextualSpacing/>
      </w:pPr>
      <w:r w:rsidRPr="003D7D05">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004040AC" w:rsidRPr="003D7D05" w:rsidP="004040AC" w14:paraId="0AD1098D" w14:textId="77777777">
      <w:pPr>
        <w:rPr>
          <w:bCs/>
        </w:rPr>
      </w:pPr>
    </w:p>
    <w:p w:rsidR="004040AC" w:rsidRPr="003D7D05" w:rsidP="004040AC" w14:paraId="10680C4A" w14:textId="77777777">
      <w:pPr>
        <w:rPr>
          <w:bCs/>
        </w:rPr>
      </w:pPr>
      <w:r w:rsidRPr="003D7D05">
        <w:t xml:space="preserve">Based on inspection data taken from MSHAs Centralized Application System (MCAS), there were 148 active underground coal mines in 2024 that are affected by this information collection. </w:t>
      </w:r>
    </w:p>
    <w:p w:rsidR="004040AC" w:rsidRPr="003D7D05" w:rsidP="004040AC" w14:paraId="02AC30DA" w14:textId="77777777">
      <w:pPr>
        <w:rPr>
          <w:bCs/>
        </w:rPr>
      </w:pPr>
    </w:p>
    <w:p w:rsidR="004040AC" w:rsidRPr="003D7D05" w:rsidP="004040AC" w14:paraId="22DAD6FD" w14:textId="77777777">
      <w:pPr>
        <w:rPr>
          <w:b/>
        </w:rPr>
      </w:pPr>
      <w:r w:rsidRPr="003D7D05">
        <w:rPr>
          <w:b/>
        </w:rPr>
        <w:t>Wage Rates Determination</w:t>
      </w:r>
      <w:r>
        <w:rPr>
          <w:rStyle w:val="FootnoteReference"/>
        </w:rPr>
        <w:footnoteReference w:id="2"/>
      </w:r>
    </w:p>
    <w:p w:rsidR="004040AC" w:rsidRPr="003D7D05" w:rsidP="004040AC" w14:paraId="40767FCE" w14:textId="77777777">
      <w:pPr>
        <w:rPr>
          <w:bCs/>
        </w:rPr>
      </w:pPr>
    </w:p>
    <w:p w:rsidR="004040AC" w:rsidRPr="003D7D05" w:rsidP="004040AC" w14:paraId="1D11CECA" w14:textId="77777777">
      <w:pPr>
        <w:pStyle w:val="Default"/>
        <w:rPr>
          <w:rFonts w:ascii="Times New Roman" w:hAnsi="Times New Roman" w:cs="Times New Roman"/>
        </w:rPr>
      </w:pPr>
      <w:r w:rsidRPr="003D7D05">
        <w:rPr>
          <w:rFonts w:ascii="Times New Roman" w:hAnsi="Times New Roman" w:cs="Times New Roman"/>
        </w:rPr>
        <w:t xml:space="preserve">MSHA uses data from </w:t>
      </w:r>
      <w:r w:rsidRPr="003D7D05">
        <w:rPr>
          <w:rFonts w:ascii="Times New Roman" w:hAnsi="Times New Roman" w:cs="Times New Roman"/>
        </w:rPr>
        <w:t>the May</w:t>
      </w:r>
      <w:r w:rsidRPr="003D7D05">
        <w:rPr>
          <w:rFonts w:ascii="Times New Roman" w:hAnsi="Times New Roman" w:cs="Times New Roman"/>
        </w:rPr>
        <w:t xml:space="preserve"> 2023 Occupational Employment and Wage Statistics (OEWS) published by the Bureau of Labor Statistics (BLS) for hourly wage rates</w:t>
      </w:r>
      <w:r>
        <w:rPr>
          <w:rFonts w:ascii="Times New Roman" w:hAnsi="Times New Roman" w:cs="Times New Roman"/>
          <w:vertAlign w:val="superscript"/>
        </w:rPr>
        <w:footnoteReference w:id="3"/>
      </w:r>
      <w:r w:rsidRPr="003D7D05">
        <w:rPr>
          <w:rFonts w:ascii="Times New Roman" w:hAnsi="Times New Roman" w:cs="Times New Roman"/>
        </w:rPr>
        <w:t xml:space="preserve"> and adjusts the rates for </w:t>
      </w:r>
      <w:r w:rsidRPr="003D7D05">
        <w:rPr>
          <w:rFonts w:ascii="Times New Roman" w:hAnsi="Times New Roman" w:cs="Times New Roman"/>
        </w:rPr>
        <w:t>benefits,</w:t>
      </w:r>
      <w:r>
        <w:rPr>
          <w:rFonts w:ascii="Times New Roman" w:hAnsi="Times New Roman" w:cs="Times New Roman"/>
          <w:vertAlign w:val="superscript"/>
        </w:rPr>
        <w:footnoteReference w:id="4"/>
      </w:r>
      <w:r w:rsidRPr="003D7D05">
        <w:rPr>
          <w:rFonts w:ascii="Times New Roman" w:hAnsi="Times New Roman" w:cs="Times New Roman"/>
        </w:rPr>
        <w:t xml:space="preserve"> wage inflation,</w:t>
      </w:r>
      <w:r>
        <w:rPr>
          <w:rFonts w:ascii="Times New Roman" w:hAnsi="Times New Roman" w:cs="Times New Roman"/>
          <w:vertAlign w:val="superscript"/>
        </w:rPr>
        <w:footnoteReference w:id="5"/>
      </w:r>
      <w:r w:rsidRPr="003D7D05">
        <w:rPr>
          <w:rFonts w:ascii="Times New Roman" w:hAnsi="Times New Roman" w:cs="Times New Roman"/>
        </w:rPr>
        <w:t xml:space="preserve"> and overhead costs.</w:t>
      </w:r>
      <w:r>
        <w:rPr>
          <w:rStyle w:val="FootnoteReference"/>
          <w:rFonts w:ascii="Times New Roman" w:hAnsi="Times New Roman" w:cs="Times New Roman"/>
        </w:rPr>
        <w:footnoteReference w:id="6"/>
      </w:r>
      <w:r w:rsidRPr="003D7D05">
        <w:rPr>
          <w:rFonts w:ascii="Times New Roman" w:hAnsi="Times New Roman" w:cs="Times New Roman"/>
        </w:rPr>
        <w:t xml:space="preserve"> The occupations listed below in Table 12-1 are those that were determined to be relevant for the cost calculations.</w:t>
      </w:r>
    </w:p>
    <w:p w:rsidR="004040AC" w:rsidRPr="003D7D05" w:rsidP="004040AC" w14:paraId="4F36E3C3" w14:textId="77777777">
      <w:pPr>
        <w:pStyle w:val="Default"/>
        <w:rPr>
          <w:rFonts w:ascii="Times New Roman" w:hAnsi="Times New Roman" w:cs="Times New Roman"/>
        </w:rPr>
      </w:pPr>
    </w:p>
    <w:p w:rsidR="004040AC" w:rsidRPr="003D7D05" w:rsidP="004040AC" w14:paraId="07CC9B84" w14:textId="77777777">
      <w:pPr>
        <w:ind w:right="720"/>
        <w:rPr>
          <w:b/>
          <w:bCs/>
        </w:rPr>
      </w:pPr>
      <w:bookmarkStart w:id="13" w:name="_Hlk114568286"/>
      <w:r w:rsidRPr="003D7D05">
        <w:rPr>
          <w:b/>
          <w:bCs/>
          <w:iCs/>
        </w:rPr>
        <w:t>Table 12-1. Hourly Wage Rates</w:t>
      </w:r>
    </w:p>
    <w:tbl>
      <w:tblPr>
        <w:tblStyle w:val="TableGrid"/>
        <w:tblW w:w="0" w:type="auto"/>
        <w:tblLook w:val="04A0"/>
      </w:tblPr>
      <w:tblGrid>
        <w:gridCol w:w="1456"/>
        <w:gridCol w:w="861"/>
        <w:gridCol w:w="928"/>
        <w:gridCol w:w="1516"/>
        <w:gridCol w:w="1516"/>
        <w:gridCol w:w="1473"/>
        <w:gridCol w:w="1600"/>
      </w:tblGrid>
      <w:tr w14:paraId="03001EF2" w14:textId="77777777" w:rsidTr="00FD7987">
        <w:tblPrEx>
          <w:tblW w:w="0" w:type="auto"/>
          <w:tblLook w:val="04A0"/>
        </w:tblPrEx>
        <w:tc>
          <w:tcPr>
            <w:tcW w:w="1456" w:type="dxa"/>
            <w:shd w:val="clear" w:color="auto" w:fill="95B3D7" w:themeFill="accent1" w:themeFillTint="99"/>
            <w:vAlign w:val="center"/>
          </w:tcPr>
          <w:bookmarkEnd w:id="13"/>
          <w:p w:rsidR="004040AC" w:rsidRPr="003D7D05" w:rsidP="00FD7987" w14:paraId="4F76CB1A" w14:textId="77777777">
            <w:pPr>
              <w:rPr>
                <w:b/>
                <w:bCs/>
                <w:iCs/>
                <w:sz w:val="20"/>
                <w:szCs w:val="20"/>
              </w:rPr>
            </w:pPr>
            <w:r w:rsidRPr="003D7D05">
              <w:rPr>
                <w:b/>
                <w:bCs/>
                <w:iCs/>
                <w:sz w:val="20"/>
                <w:szCs w:val="20"/>
              </w:rPr>
              <w:t>Occupation</w:t>
            </w:r>
          </w:p>
        </w:tc>
        <w:tc>
          <w:tcPr>
            <w:tcW w:w="861" w:type="dxa"/>
            <w:shd w:val="clear" w:color="auto" w:fill="95B3D7" w:themeFill="accent1" w:themeFillTint="99"/>
            <w:vAlign w:val="center"/>
          </w:tcPr>
          <w:p w:rsidR="004040AC" w:rsidRPr="003D7D05" w:rsidP="00FD7987" w14:paraId="1B5A8E79" w14:textId="77777777">
            <w:pPr>
              <w:jc w:val="center"/>
              <w:rPr>
                <w:b/>
                <w:bCs/>
                <w:iCs/>
                <w:sz w:val="20"/>
                <w:szCs w:val="20"/>
              </w:rPr>
            </w:pPr>
            <w:r w:rsidRPr="003D7D05">
              <w:rPr>
                <w:b/>
                <w:bCs/>
                <w:iCs/>
                <w:sz w:val="20"/>
                <w:szCs w:val="20"/>
              </w:rPr>
              <w:t>NAICS Code</w:t>
            </w:r>
          </w:p>
        </w:tc>
        <w:tc>
          <w:tcPr>
            <w:tcW w:w="928" w:type="dxa"/>
            <w:shd w:val="clear" w:color="auto" w:fill="95B3D7" w:themeFill="accent1" w:themeFillTint="99"/>
            <w:vAlign w:val="center"/>
          </w:tcPr>
          <w:p w:rsidR="004040AC" w:rsidRPr="003D7D05" w:rsidP="00FD7987" w14:paraId="7C186C41" w14:textId="77777777">
            <w:pPr>
              <w:jc w:val="center"/>
              <w:rPr>
                <w:b/>
                <w:bCs/>
                <w:iCs/>
                <w:sz w:val="20"/>
                <w:szCs w:val="20"/>
              </w:rPr>
            </w:pPr>
            <w:r w:rsidRPr="003D7D05">
              <w:rPr>
                <w:b/>
                <w:bCs/>
                <w:iCs/>
                <w:sz w:val="20"/>
                <w:szCs w:val="20"/>
              </w:rPr>
              <w:t>Mean Wage Rate</w:t>
            </w:r>
          </w:p>
        </w:tc>
        <w:tc>
          <w:tcPr>
            <w:tcW w:w="1516" w:type="dxa"/>
            <w:shd w:val="clear" w:color="auto" w:fill="95B3D7" w:themeFill="accent1" w:themeFillTint="99"/>
            <w:vAlign w:val="center"/>
          </w:tcPr>
          <w:p w:rsidR="004040AC" w:rsidRPr="003D7D05" w:rsidP="00FD7987" w14:paraId="4FFDF193" w14:textId="77777777">
            <w:pPr>
              <w:jc w:val="center"/>
              <w:rPr>
                <w:b/>
                <w:bCs/>
                <w:iCs/>
                <w:sz w:val="20"/>
                <w:szCs w:val="20"/>
              </w:rPr>
            </w:pPr>
            <w:r w:rsidRPr="003D7D05">
              <w:rPr>
                <w:b/>
                <w:bCs/>
                <w:iCs/>
                <w:sz w:val="20"/>
                <w:szCs w:val="20"/>
              </w:rPr>
              <w:t>Benefit Multiplier</w:t>
            </w:r>
          </w:p>
        </w:tc>
        <w:tc>
          <w:tcPr>
            <w:tcW w:w="1516" w:type="dxa"/>
            <w:shd w:val="clear" w:color="auto" w:fill="95B3D7" w:themeFill="accent1" w:themeFillTint="99"/>
            <w:vAlign w:val="center"/>
          </w:tcPr>
          <w:p w:rsidR="004040AC" w:rsidRPr="003D7D05" w:rsidP="00FD7987" w14:paraId="5C2966E6" w14:textId="77777777">
            <w:pPr>
              <w:jc w:val="center"/>
              <w:rPr>
                <w:b/>
                <w:bCs/>
                <w:iCs/>
                <w:sz w:val="20"/>
                <w:szCs w:val="20"/>
              </w:rPr>
            </w:pPr>
            <w:r w:rsidRPr="003D7D05">
              <w:rPr>
                <w:b/>
                <w:bCs/>
                <w:iCs/>
                <w:sz w:val="20"/>
                <w:szCs w:val="20"/>
              </w:rPr>
              <w:t>Inflation Multiplier</w:t>
            </w:r>
          </w:p>
        </w:tc>
        <w:tc>
          <w:tcPr>
            <w:tcW w:w="1473" w:type="dxa"/>
            <w:shd w:val="clear" w:color="auto" w:fill="95B3D7" w:themeFill="accent1" w:themeFillTint="99"/>
            <w:vAlign w:val="center"/>
          </w:tcPr>
          <w:p w:rsidR="004040AC" w:rsidRPr="003D7D05" w:rsidP="00FD7987" w14:paraId="3B5D5EDF" w14:textId="77777777">
            <w:pPr>
              <w:jc w:val="center"/>
              <w:rPr>
                <w:b/>
                <w:bCs/>
                <w:iCs/>
                <w:sz w:val="20"/>
                <w:szCs w:val="20"/>
              </w:rPr>
            </w:pPr>
            <w:r w:rsidRPr="003D7D05">
              <w:rPr>
                <w:b/>
                <w:bCs/>
                <w:iCs/>
                <w:sz w:val="20"/>
                <w:szCs w:val="20"/>
              </w:rPr>
              <w:t>Overhead Cost Multiplier</w:t>
            </w:r>
          </w:p>
        </w:tc>
        <w:tc>
          <w:tcPr>
            <w:tcW w:w="1600" w:type="dxa"/>
            <w:shd w:val="clear" w:color="auto" w:fill="95B3D7" w:themeFill="accent1" w:themeFillTint="99"/>
            <w:vAlign w:val="center"/>
          </w:tcPr>
          <w:p w:rsidR="004040AC" w:rsidRPr="003D7D05" w:rsidP="00FD7987" w14:paraId="080D5846" w14:textId="77777777">
            <w:pPr>
              <w:jc w:val="center"/>
              <w:rPr>
                <w:b/>
                <w:bCs/>
                <w:iCs/>
                <w:sz w:val="20"/>
                <w:szCs w:val="20"/>
              </w:rPr>
            </w:pPr>
            <w:r w:rsidRPr="003D7D05">
              <w:rPr>
                <w:b/>
                <w:bCs/>
                <w:iCs/>
                <w:sz w:val="20"/>
                <w:szCs w:val="20"/>
              </w:rPr>
              <w:t>Loaded Hourly Wage Rate</w:t>
            </w:r>
          </w:p>
        </w:tc>
      </w:tr>
      <w:tr w14:paraId="6EAF177E" w14:textId="77777777" w:rsidTr="00FD7987">
        <w:tblPrEx>
          <w:tblW w:w="0" w:type="auto"/>
          <w:tblLook w:val="04A0"/>
        </w:tblPrEx>
        <w:tc>
          <w:tcPr>
            <w:tcW w:w="1456" w:type="dxa"/>
            <w:shd w:val="clear" w:color="auto" w:fill="95B3D7" w:themeFill="accent1" w:themeFillTint="99"/>
            <w:vAlign w:val="center"/>
          </w:tcPr>
          <w:p w:rsidR="004040AC" w:rsidRPr="003D7D05" w:rsidP="00FD7987" w14:paraId="36AFCF28" w14:textId="77777777">
            <w:pPr>
              <w:jc w:val="center"/>
              <w:rPr>
                <w:b/>
                <w:bCs/>
                <w:iCs/>
                <w:sz w:val="20"/>
                <w:szCs w:val="20"/>
              </w:rPr>
            </w:pPr>
          </w:p>
        </w:tc>
        <w:tc>
          <w:tcPr>
            <w:tcW w:w="861" w:type="dxa"/>
            <w:shd w:val="clear" w:color="auto" w:fill="95B3D7" w:themeFill="accent1" w:themeFillTint="99"/>
            <w:vAlign w:val="center"/>
          </w:tcPr>
          <w:p w:rsidR="004040AC" w:rsidRPr="003D7D05" w:rsidP="00FD7987" w14:paraId="11AAEF94" w14:textId="77777777">
            <w:pPr>
              <w:jc w:val="center"/>
              <w:rPr>
                <w:b/>
                <w:bCs/>
                <w:iCs/>
                <w:sz w:val="20"/>
                <w:szCs w:val="20"/>
              </w:rPr>
            </w:pPr>
          </w:p>
        </w:tc>
        <w:tc>
          <w:tcPr>
            <w:tcW w:w="928" w:type="dxa"/>
            <w:shd w:val="clear" w:color="auto" w:fill="95B3D7" w:themeFill="accent1" w:themeFillTint="99"/>
          </w:tcPr>
          <w:p w:rsidR="004040AC" w:rsidRPr="003D7D05" w:rsidP="00FD7987" w14:paraId="65B5B42A" w14:textId="77777777">
            <w:pPr>
              <w:jc w:val="center"/>
              <w:rPr>
                <w:b/>
                <w:bCs/>
                <w:iCs/>
                <w:sz w:val="20"/>
                <w:szCs w:val="20"/>
              </w:rPr>
            </w:pPr>
            <w:r w:rsidRPr="003D7D05">
              <w:rPr>
                <w:iCs/>
                <w:sz w:val="20"/>
                <w:szCs w:val="20"/>
              </w:rPr>
              <w:t>A</w:t>
            </w:r>
          </w:p>
        </w:tc>
        <w:tc>
          <w:tcPr>
            <w:tcW w:w="1516" w:type="dxa"/>
            <w:shd w:val="clear" w:color="auto" w:fill="95B3D7" w:themeFill="accent1" w:themeFillTint="99"/>
          </w:tcPr>
          <w:p w:rsidR="004040AC" w:rsidRPr="003D7D05" w:rsidP="00FD7987" w14:paraId="06CDA054" w14:textId="77777777">
            <w:pPr>
              <w:jc w:val="center"/>
              <w:rPr>
                <w:b/>
                <w:bCs/>
                <w:iCs/>
                <w:sz w:val="20"/>
                <w:szCs w:val="20"/>
              </w:rPr>
            </w:pPr>
            <w:r w:rsidRPr="003D7D05">
              <w:rPr>
                <w:iCs/>
                <w:sz w:val="20"/>
                <w:szCs w:val="20"/>
              </w:rPr>
              <w:t>B</w:t>
            </w:r>
          </w:p>
        </w:tc>
        <w:tc>
          <w:tcPr>
            <w:tcW w:w="1516" w:type="dxa"/>
            <w:shd w:val="clear" w:color="auto" w:fill="95B3D7" w:themeFill="accent1" w:themeFillTint="99"/>
          </w:tcPr>
          <w:p w:rsidR="004040AC" w:rsidRPr="003D7D05" w:rsidP="00FD7987" w14:paraId="198C6DAA" w14:textId="77777777">
            <w:pPr>
              <w:jc w:val="center"/>
              <w:rPr>
                <w:b/>
                <w:bCs/>
                <w:iCs/>
                <w:sz w:val="20"/>
                <w:szCs w:val="20"/>
              </w:rPr>
            </w:pPr>
            <w:r w:rsidRPr="003D7D05">
              <w:rPr>
                <w:iCs/>
                <w:sz w:val="20"/>
                <w:szCs w:val="20"/>
              </w:rPr>
              <w:t>C</w:t>
            </w:r>
          </w:p>
        </w:tc>
        <w:tc>
          <w:tcPr>
            <w:tcW w:w="1473" w:type="dxa"/>
            <w:shd w:val="clear" w:color="auto" w:fill="95B3D7" w:themeFill="accent1" w:themeFillTint="99"/>
          </w:tcPr>
          <w:p w:rsidR="004040AC" w:rsidRPr="003D7D05" w:rsidP="00FD7987" w14:paraId="3B57E09C" w14:textId="77777777">
            <w:pPr>
              <w:jc w:val="center"/>
              <w:rPr>
                <w:b/>
                <w:bCs/>
                <w:iCs/>
                <w:sz w:val="20"/>
                <w:szCs w:val="20"/>
              </w:rPr>
            </w:pPr>
            <w:r w:rsidRPr="003D7D05">
              <w:rPr>
                <w:iCs/>
                <w:sz w:val="20"/>
                <w:szCs w:val="20"/>
              </w:rPr>
              <w:t>D</w:t>
            </w:r>
          </w:p>
        </w:tc>
        <w:tc>
          <w:tcPr>
            <w:tcW w:w="1600" w:type="dxa"/>
            <w:shd w:val="clear" w:color="auto" w:fill="95B3D7" w:themeFill="accent1" w:themeFillTint="99"/>
          </w:tcPr>
          <w:p w:rsidR="004040AC" w:rsidRPr="003D7D05" w:rsidP="00FD7987" w14:paraId="35508FF2" w14:textId="77777777">
            <w:pPr>
              <w:jc w:val="center"/>
              <w:rPr>
                <w:b/>
                <w:bCs/>
                <w:iCs/>
                <w:sz w:val="20"/>
                <w:szCs w:val="20"/>
              </w:rPr>
            </w:pPr>
            <w:r w:rsidRPr="003D7D05">
              <w:rPr>
                <w:iCs/>
                <w:sz w:val="20"/>
                <w:szCs w:val="20"/>
              </w:rPr>
              <w:t>A x B x C x D</w:t>
            </w:r>
          </w:p>
        </w:tc>
      </w:tr>
      <w:tr w14:paraId="0308EFC3" w14:textId="77777777" w:rsidTr="00FD7987">
        <w:tblPrEx>
          <w:tblW w:w="0" w:type="auto"/>
          <w:tblLook w:val="04A0"/>
        </w:tblPrEx>
        <w:tc>
          <w:tcPr>
            <w:tcW w:w="1456" w:type="dxa"/>
            <w:vAlign w:val="center"/>
          </w:tcPr>
          <w:p w:rsidR="004040AC" w:rsidRPr="003D7D05" w:rsidP="00FD7987" w14:paraId="4E254225" w14:textId="77777777">
            <w:pPr>
              <w:rPr>
                <w:iCs/>
                <w:sz w:val="20"/>
                <w:szCs w:val="20"/>
              </w:rPr>
            </w:pPr>
            <w:r w:rsidRPr="003D7D05">
              <w:rPr>
                <w:iCs/>
                <w:sz w:val="20"/>
                <w:szCs w:val="20"/>
              </w:rPr>
              <w:t>Clerk [a]</w:t>
            </w:r>
          </w:p>
        </w:tc>
        <w:tc>
          <w:tcPr>
            <w:tcW w:w="861" w:type="dxa"/>
            <w:vAlign w:val="center"/>
          </w:tcPr>
          <w:p w:rsidR="004040AC" w:rsidRPr="003D7D05" w:rsidP="00FD7987" w14:paraId="06676B93" w14:textId="77777777">
            <w:pPr>
              <w:jc w:val="center"/>
              <w:rPr>
                <w:iCs/>
                <w:sz w:val="20"/>
                <w:szCs w:val="20"/>
              </w:rPr>
            </w:pPr>
            <w:r w:rsidRPr="003D7D05">
              <w:rPr>
                <w:iCs/>
                <w:sz w:val="20"/>
                <w:szCs w:val="20"/>
              </w:rPr>
              <w:t>212100</w:t>
            </w:r>
          </w:p>
        </w:tc>
        <w:tc>
          <w:tcPr>
            <w:tcW w:w="928" w:type="dxa"/>
            <w:vAlign w:val="center"/>
          </w:tcPr>
          <w:p w:rsidR="004040AC" w:rsidRPr="003D7D05" w:rsidP="00FD7987" w14:paraId="4896899E" w14:textId="77777777">
            <w:pPr>
              <w:jc w:val="center"/>
              <w:rPr>
                <w:iCs/>
                <w:sz w:val="20"/>
                <w:szCs w:val="20"/>
              </w:rPr>
            </w:pPr>
            <w:r w:rsidRPr="003D7D05">
              <w:rPr>
                <w:sz w:val="20"/>
                <w:szCs w:val="20"/>
              </w:rPr>
              <w:t xml:space="preserve">$22.81 </w:t>
            </w:r>
          </w:p>
        </w:tc>
        <w:tc>
          <w:tcPr>
            <w:tcW w:w="1516" w:type="dxa"/>
            <w:vAlign w:val="center"/>
          </w:tcPr>
          <w:p w:rsidR="004040AC" w:rsidRPr="003D7D05" w:rsidP="00FD7987" w14:paraId="522A5A79" w14:textId="77777777">
            <w:pPr>
              <w:jc w:val="center"/>
              <w:rPr>
                <w:iCs/>
                <w:sz w:val="20"/>
                <w:szCs w:val="20"/>
              </w:rPr>
            </w:pPr>
            <w:r w:rsidRPr="003D7D05">
              <w:rPr>
                <w:sz w:val="20"/>
                <w:szCs w:val="20"/>
              </w:rPr>
              <w:t>1.456</w:t>
            </w:r>
          </w:p>
        </w:tc>
        <w:tc>
          <w:tcPr>
            <w:tcW w:w="1516" w:type="dxa"/>
            <w:vAlign w:val="center"/>
          </w:tcPr>
          <w:p w:rsidR="004040AC" w:rsidRPr="003D7D05" w:rsidP="00FD7987" w14:paraId="3DDDB943" w14:textId="77777777">
            <w:pPr>
              <w:jc w:val="center"/>
              <w:rPr>
                <w:iCs/>
                <w:sz w:val="20"/>
                <w:szCs w:val="20"/>
              </w:rPr>
            </w:pPr>
            <w:r w:rsidRPr="003D7D05">
              <w:rPr>
                <w:sz w:val="20"/>
                <w:szCs w:val="20"/>
              </w:rPr>
              <w:t>1.048</w:t>
            </w:r>
          </w:p>
        </w:tc>
        <w:tc>
          <w:tcPr>
            <w:tcW w:w="1473" w:type="dxa"/>
            <w:vAlign w:val="center"/>
          </w:tcPr>
          <w:p w:rsidR="004040AC" w:rsidRPr="003D7D05" w:rsidP="00FD7987" w14:paraId="7E1908FE" w14:textId="77777777">
            <w:pPr>
              <w:jc w:val="center"/>
              <w:rPr>
                <w:iCs/>
                <w:sz w:val="20"/>
                <w:szCs w:val="20"/>
              </w:rPr>
            </w:pPr>
            <w:r w:rsidRPr="003D7D05">
              <w:rPr>
                <w:sz w:val="20"/>
                <w:szCs w:val="20"/>
              </w:rPr>
              <w:t>1.01</w:t>
            </w:r>
          </w:p>
        </w:tc>
        <w:tc>
          <w:tcPr>
            <w:tcW w:w="1600" w:type="dxa"/>
            <w:vAlign w:val="center"/>
          </w:tcPr>
          <w:p w:rsidR="004040AC" w:rsidRPr="003D7D05" w:rsidP="00FD7987" w14:paraId="217AE752" w14:textId="77777777">
            <w:pPr>
              <w:jc w:val="center"/>
              <w:rPr>
                <w:iCs/>
                <w:sz w:val="20"/>
                <w:szCs w:val="20"/>
              </w:rPr>
            </w:pPr>
            <w:r w:rsidRPr="003D7D05">
              <w:rPr>
                <w:sz w:val="20"/>
                <w:szCs w:val="20"/>
              </w:rPr>
              <w:t xml:space="preserve">$35.16 </w:t>
            </w:r>
          </w:p>
        </w:tc>
      </w:tr>
      <w:tr w14:paraId="6845F57E" w14:textId="77777777" w:rsidTr="00FD7987">
        <w:tblPrEx>
          <w:tblW w:w="0" w:type="auto"/>
          <w:tblLook w:val="04A0"/>
        </w:tblPrEx>
        <w:tc>
          <w:tcPr>
            <w:tcW w:w="1456" w:type="dxa"/>
            <w:vAlign w:val="center"/>
          </w:tcPr>
          <w:p w:rsidR="004040AC" w:rsidRPr="003D7D05" w:rsidP="00FD7987" w14:paraId="08E2BD72" w14:textId="77777777">
            <w:pPr>
              <w:rPr>
                <w:iCs/>
                <w:sz w:val="20"/>
                <w:szCs w:val="20"/>
              </w:rPr>
            </w:pPr>
            <w:r w:rsidRPr="003D7D05">
              <w:rPr>
                <w:iCs/>
                <w:sz w:val="20"/>
                <w:szCs w:val="20"/>
              </w:rPr>
              <w:t>Miner [b]</w:t>
            </w:r>
          </w:p>
        </w:tc>
        <w:tc>
          <w:tcPr>
            <w:tcW w:w="861" w:type="dxa"/>
            <w:vAlign w:val="center"/>
          </w:tcPr>
          <w:p w:rsidR="004040AC" w:rsidRPr="003D7D05" w:rsidP="00FD7987" w14:paraId="7D8A7B54" w14:textId="77777777">
            <w:pPr>
              <w:jc w:val="center"/>
              <w:rPr>
                <w:iCs/>
                <w:sz w:val="20"/>
                <w:szCs w:val="20"/>
              </w:rPr>
            </w:pPr>
            <w:r w:rsidRPr="003D7D05">
              <w:rPr>
                <w:iCs/>
                <w:sz w:val="20"/>
                <w:szCs w:val="20"/>
              </w:rPr>
              <w:t>212100</w:t>
            </w:r>
          </w:p>
        </w:tc>
        <w:tc>
          <w:tcPr>
            <w:tcW w:w="928" w:type="dxa"/>
            <w:vAlign w:val="center"/>
          </w:tcPr>
          <w:p w:rsidR="004040AC" w:rsidRPr="003D7D05" w:rsidP="00FD7987" w14:paraId="44AA5033" w14:textId="77777777">
            <w:pPr>
              <w:jc w:val="center"/>
              <w:rPr>
                <w:iCs/>
                <w:sz w:val="20"/>
                <w:szCs w:val="20"/>
              </w:rPr>
            </w:pPr>
            <w:r w:rsidRPr="003D7D05">
              <w:rPr>
                <w:sz w:val="20"/>
                <w:szCs w:val="20"/>
              </w:rPr>
              <w:t>$31.57</w:t>
            </w:r>
          </w:p>
        </w:tc>
        <w:tc>
          <w:tcPr>
            <w:tcW w:w="1516" w:type="dxa"/>
            <w:vAlign w:val="center"/>
          </w:tcPr>
          <w:p w:rsidR="004040AC" w:rsidRPr="003D7D05" w:rsidP="00FD7987" w14:paraId="54D38779" w14:textId="77777777">
            <w:pPr>
              <w:jc w:val="center"/>
              <w:rPr>
                <w:iCs/>
                <w:sz w:val="20"/>
                <w:szCs w:val="20"/>
              </w:rPr>
            </w:pPr>
            <w:r w:rsidRPr="003D7D05">
              <w:rPr>
                <w:sz w:val="20"/>
                <w:szCs w:val="20"/>
              </w:rPr>
              <w:t>1.456</w:t>
            </w:r>
          </w:p>
        </w:tc>
        <w:tc>
          <w:tcPr>
            <w:tcW w:w="1516" w:type="dxa"/>
            <w:vAlign w:val="center"/>
          </w:tcPr>
          <w:p w:rsidR="004040AC" w:rsidRPr="003D7D05" w:rsidP="00FD7987" w14:paraId="520109B8" w14:textId="77777777">
            <w:pPr>
              <w:jc w:val="center"/>
              <w:rPr>
                <w:iCs/>
                <w:sz w:val="20"/>
                <w:szCs w:val="20"/>
              </w:rPr>
            </w:pPr>
            <w:r w:rsidRPr="003D7D05">
              <w:rPr>
                <w:sz w:val="20"/>
                <w:szCs w:val="20"/>
              </w:rPr>
              <w:t>1.048</w:t>
            </w:r>
          </w:p>
        </w:tc>
        <w:tc>
          <w:tcPr>
            <w:tcW w:w="1473" w:type="dxa"/>
            <w:vAlign w:val="center"/>
          </w:tcPr>
          <w:p w:rsidR="004040AC" w:rsidRPr="003D7D05" w:rsidP="00FD7987" w14:paraId="0CDEACBE" w14:textId="77777777">
            <w:pPr>
              <w:jc w:val="center"/>
              <w:rPr>
                <w:iCs/>
                <w:sz w:val="20"/>
                <w:szCs w:val="20"/>
              </w:rPr>
            </w:pPr>
            <w:r w:rsidRPr="003D7D05">
              <w:rPr>
                <w:sz w:val="20"/>
                <w:szCs w:val="20"/>
              </w:rPr>
              <w:t>1.01</w:t>
            </w:r>
          </w:p>
        </w:tc>
        <w:tc>
          <w:tcPr>
            <w:tcW w:w="1600" w:type="dxa"/>
            <w:vAlign w:val="center"/>
          </w:tcPr>
          <w:p w:rsidR="004040AC" w:rsidRPr="003D7D05" w:rsidP="00FD7987" w14:paraId="5595A0C8" w14:textId="77777777">
            <w:pPr>
              <w:jc w:val="center"/>
              <w:rPr>
                <w:iCs/>
                <w:sz w:val="20"/>
                <w:szCs w:val="20"/>
              </w:rPr>
            </w:pPr>
            <w:r w:rsidRPr="003D7D05">
              <w:rPr>
                <w:sz w:val="20"/>
                <w:szCs w:val="20"/>
              </w:rPr>
              <w:t>$48.65</w:t>
            </w:r>
          </w:p>
        </w:tc>
      </w:tr>
      <w:tr w14:paraId="044E5636" w14:textId="77777777" w:rsidTr="00FD7987">
        <w:tblPrEx>
          <w:tblW w:w="0" w:type="auto"/>
          <w:tblLook w:val="04A0"/>
        </w:tblPrEx>
        <w:tc>
          <w:tcPr>
            <w:tcW w:w="1456" w:type="dxa"/>
            <w:vAlign w:val="center"/>
          </w:tcPr>
          <w:p w:rsidR="004040AC" w:rsidRPr="003D7D05" w:rsidP="00FD7987" w14:paraId="5EE7BEA2" w14:textId="77777777">
            <w:pPr>
              <w:rPr>
                <w:iCs/>
                <w:sz w:val="20"/>
                <w:szCs w:val="20"/>
              </w:rPr>
            </w:pPr>
            <w:r w:rsidRPr="003D7D05">
              <w:rPr>
                <w:iCs/>
                <w:sz w:val="20"/>
                <w:szCs w:val="20"/>
              </w:rPr>
              <w:t>Certified Person [c]</w:t>
            </w:r>
          </w:p>
        </w:tc>
        <w:tc>
          <w:tcPr>
            <w:tcW w:w="861" w:type="dxa"/>
            <w:vAlign w:val="center"/>
          </w:tcPr>
          <w:p w:rsidR="004040AC" w:rsidRPr="003D7D05" w:rsidP="00FD7987" w14:paraId="7B894136" w14:textId="77777777">
            <w:pPr>
              <w:jc w:val="center"/>
              <w:rPr>
                <w:iCs/>
                <w:sz w:val="20"/>
                <w:szCs w:val="20"/>
              </w:rPr>
            </w:pPr>
            <w:r w:rsidRPr="003D7D05">
              <w:rPr>
                <w:iCs/>
                <w:sz w:val="20"/>
                <w:szCs w:val="20"/>
              </w:rPr>
              <w:t>212100</w:t>
            </w:r>
          </w:p>
        </w:tc>
        <w:tc>
          <w:tcPr>
            <w:tcW w:w="928" w:type="dxa"/>
            <w:vAlign w:val="center"/>
          </w:tcPr>
          <w:p w:rsidR="004040AC" w:rsidRPr="003D7D05" w:rsidP="00FD7987" w14:paraId="5B97B831" w14:textId="77777777">
            <w:pPr>
              <w:jc w:val="center"/>
              <w:rPr>
                <w:iCs/>
                <w:sz w:val="20"/>
                <w:szCs w:val="20"/>
              </w:rPr>
            </w:pPr>
            <w:r w:rsidRPr="003D7D05">
              <w:rPr>
                <w:sz w:val="20"/>
                <w:szCs w:val="20"/>
              </w:rPr>
              <w:t>$34.81</w:t>
            </w:r>
          </w:p>
        </w:tc>
        <w:tc>
          <w:tcPr>
            <w:tcW w:w="1516" w:type="dxa"/>
            <w:vAlign w:val="center"/>
          </w:tcPr>
          <w:p w:rsidR="004040AC" w:rsidRPr="003D7D05" w:rsidP="00FD7987" w14:paraId="66820824" w14:textId="77777777">
            <w:pPr>
              <w:jc w:val="center"/>
              <w:rPr>
                <w:iCs/>
                <w:sz w:val="20"/>
                <w:szCs w:val="20"/>
              </w:rPr>
            </w:pPr>
            <w:r w:rsidRPr="003D7D05">
              <w:rPr>
                <w:sz w:val="20"/>
                <w:szCs w:val="20"/>
              </w:rPr>
              <w:t>1.456</w:t>
            </w:r>
          </w:p>
        </w:tc>
        <w:tc>
          <w:tcPr>
            <w:tcW w:w="1516" w:type="dxa"/>
            <w:vAlign w:val="center"/>
          </w:tcPr>
          <w:p w:rsidR="004040AC" w:rsidRPr="003D7D05" w:rsidP="00FD7987" w14:paraId="257F2CD7" w14:textId="77777777">
            <w:pPr>
              <w:jc w:val="center"/>
              <w:rPr>
                <w:iCs/>
                <w:sz w:val="20"/>
                <w:szCs w:val="20"/>
              </w:rPr>
            </w:pPr>
            <w:r w:rsidRPr="003D7D05">
              <w:rPr>
                <w:sz w:val="20"/>
                <w:szCs w:val="20"/>
              </w:rPr>
              <w:t>1.048</w:t>
            </w:r>
          </w:p>
        </w:tc>
        <w:tc>
          <w:tcPr>
            <w:tcW w:w="1473" w:type="dxa"/>
            <w:vAlign w:val="center"/>
          </w:tcPr>
          <w:p w:rsidR="004040AC" w:rsidRPr="003D7D05" w:rsidP="00FD7987" w14:paraId="1AE7ECD4" w14:textId="77777777">
            <w:pPr>
              <w:jc w:val="center"/>
              <w:rPr>
                <w:iCs/>
                <w:sz w:val="20"/>
                <w:szCs w:val="20"/>
              </w:rPr>
            </w:pPr>
            <w:r w:rsidRPr="003D7D05">
              <w:rPr>
                <w:sz w:val="20"/>
                <w:szCs w:val="20"/>
              </w:rPr>
              <w:t>1.01</w:t>
            </w:r>
          </w:p>
        </w:tc>
        <w:tc>
          <w:tcPr>
            <w:tcW w:w="1600" w:type="dxa"/>
            <w:vAlign w:val="center"/>
          </w:tcPr>
          <w:p w:rsidR="004040AC" w:rsidRPr="003D7D05" w:rsidP="00FD7987" w14:paraId="4E7547BF" w14:textId="77777777">
            <w:pPr>
              <w:jc w:val="center"/>
              <w:rPr>
                <w:iCs/>
                <w:sz w:val="20"/>
                <w:szCs w:val="20"/>
              </w:rPr>
            </w:pPr>
            <w:r w:rsidRPr="003D7D05">
              <w:rPr>
                <w:sz w:val="20"/>
                <w:szCs w:val="20"/>
              </w:rPr>
              <w:t>$53.64</w:t>
            </w:r>
          </w:p>
        </w:tc>
      </w:tr>
      <w:tr w14:paraId="1EA2E02A" w14:textId="77777777" w:rsidTr="00FD7987">
        <w:tblPrEx>
          <w:tblW w:w="0" w:type="auto"/>
          <w:tblLook w:val="04A0"/>
        </w:tblPrEx>
        <w:tc>
          <w:tcPr>
            <w:tcW w:w="1456" w:type="dxa"/>
            <w:vAlign w:val="center"/>
          </w:tcPr>
          <w:p w:rsidR="004040AC" w:rsidRPr="003D7D05" w:rsidP="00FD7987" w14:paraId="4C4E17B4" w14:textId="77777777">
            <w:pPr>
              <w:rPr>
                <w:iCs/>
                <w:sz w:val="20"/>
                <w:szCs w:val="20"/>
              </w:rPr>
            </w:pPr>
            <w:r w:rsidRPr="003D7D05">
              <w:rPr>
                <w:iCs/>
                <w:sz w:val="20"/>
                <w:szCs w:val="20"/>
              </w:rPr>
              <w:t>Mining Engineer [d]</w:t>
            </w:r>
          </w:p>
        </w:tc>
        <w:tc>
          <w:tcPr>
            <w:tcW w:w="861" w:type="dxa"/>
            <w:vAlign w:val="center"/>
          </w:tcPr>
          <w:p w:rsidR="004040AC" w:rsidRPr="003D7D05" w:rsidP="00FD7987" w14:paraId="6AF0362B" w14:textId="77777777">
            <w:pPr>
              <w:jc w:val="center"/>
              <w:rPr>
                <w:iCs/>
                <w:sz w:val="20"/>
                <w:szCs w:val="20"/>
              </w:rPr>
            </w:pPr>
            <w:r w:rsidRPr="003D7D05">
              <w:rPr>
                <w:iCs/>
                <w:sz w:val="20"/>
                <w:szCs w:val="20"/>
              </w:rPr>
              <w:t>212100</w:t>
            </w:r>
          </w:p>
        </w:tc>
        <w:tc>
          <w:tcPr>
            <w:tcW w:w="928" w:type="dxa"/>
            <w:vAlign w:val="center"/>
          </w:tcPr>
          <w:p w:rsidR="004040AC" w:rsidRPr="003D7D05" w:rsidP="00FD7987" w14:paraId="1C5B1166" w14:textId="77777777">
            <w:pPr>
              <w:jc w:val="center"/>
              <w:rPr>
                <w:iCs/>
                <w:sz w:val="20"/>
                <w:szCs w:val="20"/>
              </w:rPr>
            </w:pPr>
            <w:r w:rsidRPr="003D7D05">
              <w:rPr>
                <w:sz w:val="20"/>
                <w:szCs w:val="20"/>
              </w:rPr>
              <w:t>$58.10</w:t>
            </w:r>
          </w:p>
        </w:tc>
        <w:tc>
          <w:tcPr>
            <w:tcW w:w="1516" w:type="dxa"/>
            <w:vAlign w:val="center"/>
          </w:tcPr>
          <w:p w:rsidR="004040AC" w:rsidRPr="003D7D05" w:rsidP="00FD7987" w14:paraId="6CB7409B" w14:textId="77777777">
            <w:pPr>
              <w:jc w:val="center"/>
              <w:rPr>
                <w:iCs/>
                <w:sz w:val="20"/>
                <w:szCs w:val="20"/>
              </w:rPr>
            </w:pPr>
            <w:r w:rsidRPr="003D7D05">
              <w:rPr>
                <w:sz w:val="20"/>
                <w:szCs w:val="20"/>
              </w:rPr>
              <w:t>1.456</w:t>
            </w:r>
          </w:p>
        </w:tc>
        <w:tc>
          <w:tcPr>
            <w:tcW w:w="1516" w:type="dxa"/>
            <w:vAlign w:val="center"/>
          </w:tcPr>
          <w:p w:rsidR="004040AC" w:rsidRPr="003D7D05" w:rsidP="00FD7987" w14:paraId="4D36703F" w14:textId="77777777">
            <w:pPr>
              <w:jc w:val="center"/>
              <w:rPr>
                <w:iCs/>
                <w:sz w:val="20"/>
                <w:szCs w:val="20"/>
              </w:rPr>
            </w:pPr>
            <w:r w:rsidRPr="003D7D05">
              <w:rPr>
                <w:sz w:val="20"/>
                <w:szCs w:val="20"/>
              </w:rPr>
              <w:t>1.048</w:t>
            </w:r>
          </w:p>
        </w:tc>
        <w:tc>
          <w:tcPr>
            <w:tcW w:w="1473" w:type="dxa"/>
            <w:vAlign w:val="center"/>
          </w:tcPr>
          <w:p w:rsidR="004040AC" w:rsidRPr="003D7D05" w:rsidP="00FD7987" w14:paraId="3C7CF721" w14:textId="77777777">
            <w:pPr>
              <w:jc w:val="center"/>
              <w:rPr>
                <w:iCs/>
                <w:sz w:val="20"/>
                <w:szCs w:val="20"/>
              </w:rPr>
            </w:pPr>
            <w:r w:rsidRPr="003D7D05">
              <w:rPr>
                <w:sz w:val="20"/>
                <w:szCs w:val="20"/>
              </w:rPr>
              <w:t>1.01</w:t>
            </w:r>
          </w:p>
        </w:tc>
        <w:tc>
          <w:tcPr>
            <w:tcW w:w="1600" w:type="dxa"/>
            <w:vAlign w:val="center"/>
          </w:tcPr>
          <w:p w:rsidR="004040AC" w:rsidRPr="003D7D05" w:rsidP="00FD7987" w14:paraId="21218974" w14:textId="77777777">
            <w:pPr>
              <w:jc w:val="center"/>
              <w:rPr>
                <w:iCs/>
                <w:sz w:val="20"/>
                <w:szCs w:val="20"/>
              </w:rPr>
            </w:pPr>
            <w:r w:rsidRPr="003D7D05">
              <w:rPr>
                <w:sz w:val="20"/>
                <w:szCs w:val="20"/>
              </w:rPr>
              <w:t>$89.53</w:t>
            </w:r>
          </w:p>
        </w:tc>
      </w:tr>
      <w:tr w14:paraId="48B6DEB4" w14:textId="77777777" w:rsidTr="00FD7987">
        <w:tblPrEx>
          <w:tblW w:w="0" w:type="auto"/>
          <w:tblLook w:val="04A0"/>
        </w:tblPrEx>
        <w:tc>
          <w:tcPr>
            <w:tcW w:w="1456" w:type="dxa"/>
            <w:vAlign w:val="center"/>
          </w:tcPr>
          <w:p w:rsidR="004040AC" w:rsidRPr="003D7D05" w:rsidP="00FD7987" w14:paraId="697E677F" w14:textId="77777777">
            <w:pPr>
              <w:rPr>
                <w:iCs/>
                <w:sz w:val="20"/>
                <w:szCs w:val="20"/>
              </w:rPr>
            </w:pPr>
            <w:r w:rsidRPr="003D7D05">
              <w:rPr>
                <w:iCs/>
                <w:sz w:val="20"/>
                <w:szCs w:val="20"/>
              </w:rPr>
              <w:t>Mining Supervisor [e]</w:t>
            </w:r>
          </w:p>
        </w:tc>
        <w:tc>
          <w:tcPr>
            <w:tcW w:w="861" w:type="dxa"/>
            <w:vAlign w:val="center"/>
          </w:tcPr>
          <w:p w:rsidR="004040AC" w:rsidRPr="003D7D05" w:rsidP="00FD7987" w14:paraId="315574D7" w14:textId="77777777">
            <w:pPr>
              <w:jc w:val="center"/>
              <w:rPr>
                <w:iCs/>
                <w:sz w:val="20"/>
                <w:szCs w:val="20"/>
              </w:rPr>
            </w:pPr>
            <w:r w:rsidRPr="003D7D05">
              <w:rPr>
                <w:iCs/>
                <w:sz w:val="20"/>
                <w:szCs w:val="20"/>
              </w:rPr>
              <w:t>212100</w:t>
            </w:r>
          </w:p>
        </w:tc>
        <w:tc>
          <w:tcPr>
            <w:tcW w:w="928" w:type="dxa"/>
            <w:vAlign w:val="center"/>
          </w:tcPr>
          <w:p w:rsidR="004040AC" w:rsidRPr="003D7D05" w:rsidP="00FD7987" w14:paraId="36701FB1" w14:textId="77777777">
            <w:pPr>
              <w:jc w:val="center"/>
              <w:rPr>
                <w:iCs/>
                <w:sz w:val="20"/>
                <w:szCs w:val="20"/>
              </w:rPr>
            </w:pPr>
            <w:r w:rsidRPr="003D7D05">
              <w:rPr>
                <w:sz w:val="20"/>
                <w:szCs w:val="20"/>
              </w:rPr>
              <w:t xml:space="preserve">$52.49 </w:t>
            </w:r>
          </w:p>
        </w:tc>
        <w:tc>
          <w:tcPr>
            <w:tcW w:w="1516" w:type="dxa"/>
            <w:vAlign w:val="center"/>
          </w:tcPr>
          <w:p w:rsidR="004040AC" w:rsidRPr="003D7D05" w:rsidP="00FD7987" w14:paraId="067C9D00" w14:textId="77777777">
            <w:pPr>
              <w:jc w:val="center"/>
              <w:rPr>
                <w:iCs/>
                <w:sz w:val="20"/>
                <w:szCs w:val="20"/>
              </w:rPr>
            </w:pPr>
            <w:r w:rsidRPr="003D7D05">
              <w:rPr>
                <w:sz w:val="20"/>
                <w:szCs w:val="20"/>
              </w:rPr>
              <w:t>1.456</w:t>
            </w:r>
          </w:p>
        </w:tc>
        <w:tc>
          <w:tcPr>
            <w:tcW w:w="1516" w:type="dxa"/>
            <w:vAlign w:val="center"/>
          </w:tcPr>
          <w:p w:rsidR="004040AC" w:rsidRPr="003D7D05" w:rsidP="00FD7987" w14:paraId="759FB85A" w14:textId="77777777">
            <w:pPr>
              <w:jc w:val="center"/>
              <w:rPr>
                <w:iCs/>
                <w:sz w:val="20"/>
                <w:szCs w:val="20"/>
              </w:rPr>
            </w:pPr>
            <w:r w:rsidRPr="003D7D05">
              <w:rPr>
                <w:sz w:val="20"/>
                <w:szCs w:val="20"/>
              </w:rPr>
              <w:t>1.048</w:t>
            </w:r>
          </w:p>
        </w:tc>
        <w:tc>
          <w:tcPr>
            <w:tcW w:w="1473" w:type="dxa"/>
            <w:vAlign w:val="center"/>
          </w:tcPr>
          <w:p w:rsidR="004040AC" w:rsidRPr="003D7D05" w:rsidP="00FD7987" w14:paraId="0B704D1C" w14:textId="77777777">
            <w:pPr>
              <w:jc w:val="center"/>
              <w:rPr>
                <w:iCs/>
                <w:sz w:val="20"/>
                <w:szCs w:val="20"/>
              </w:rPr>
            </w:pPr>
            <w:r w:rsidRPr="003D7D05">
              <w:rPr>
                <w:sz w:val="20"/>
                <w:szCs w:val="20"/>
              </w:rPr>
              <w:t>1.01</w:t>
            </w:r>
          </w:p>
        </w:tc>
        <w:tc>
          <w:tcPr>
            <w:tcW w:w="1600" w:type="dxa"/>
            <w:vAlign w:val="center"/>
          </w:tcPr>
          <w:p w:rsidR="004040AC" w:rsidRPr="003D7D05" w:rsidP="00FD7987" w14:paraId="6E4ADAC0" w14:textId="77777777">
            <w:pPr>
              <w:jc w:val="center"/>
              <w:rPr>
                <w:iCs/>
                <w:sz w:val="20"/>
                <w:szCs w:val="20"/>
              </w:rPr>
            </w:pPr>
            <w:r w:rsidRPr="003D7D05">
              <w:rPr>
                <w:sz w:val="20"/>
                <w:szCs w:val="20"/>
              </w:rPr>
              <w:t xml:space="preserve">$80.89 </w:t>
            </w:r>
          </w:p>
        </w:tc>
      </w:tr>
    </w:tbl>
    <w:p w:rsidR="004040AC" w:rsidRPr="003D7D05" w:rsidP="004040AC" w14:paraId="2A8A690C" w14:textId="77777777">
      <w:pPr>
        <w:pStyle w:val="Default"/>
        <w:rPr>
          <w:rFonts w:ascii="Times New Roman" w:hAnsi="Times New Roman" w:cs="Times New Roman"/>
          <w:sz w:val="20"/>
          <w:szCs w:val="20"/>
        </w:rPr>
      </w:pPr>
      <w:r w:rsidRPr="003D7D05">
        <w:rPr>
          <w:rFonts w:ascii="Times New Roman" w:hAnsi="Times New Roman" w:cs="Times New Roman"/>
          <w:sz w:val="20"/>
          <w:szCs w:val="20"/>
        </w:rPr>
        <w:t xml:space="preserve">Notes: </w:t>
      </w:r>
    </w:p>
    <w:p w:rsidR="004040AC" w:rsidRPr="003D7D05" w:rsidP="004040AC" w14:paraId="1AECBA0B" w14:textId="77777777">
      <w:pPr>
        <w:pStyle w:val="Default"/>
        <w:rPr>
          <w:rFonts w:ascii="Times New Roman" w:hAnsi="Times New Roman" w:cs="Times New Roman"/>
          <w:sz w:val="20"/>
          <w:szCs w:val="20"/>
        </w:rPr>
      </w:pPr>
      <w:r w:rsidRPr="003D7D05">
        <w:rPr>
          <w:rFonts w:ascii="Times New Roman" w:hAnsi="Times New Roman" w:cs="Times New Roman"/>
          <w:sz w:val="20"/>
          <w:szCs w:val="20"/>
        </w:rPr>
        <w:t>Benefit Multiplier – MSHA uses the latest 4-quarter moving average 2023Q4-2024Q3 to determine that 31.3 percent of total loaded wages are benefits for private industry workers in construction, extraction, farming, fishing, and forestry occupations. The benefit multiplier is 1.456 = 1+(0.313</w:t>
      </w:r>
      <w:r w:rsidRPr="003D7D05">
        <w:rPr>
          <w:rFonts w:ascii="Times New Roman" w:hAnsi="Times New Roman" w:cs="Times New Roman"/>
          <w:sz w:val="20"/>
          <w:szCs w:val="20"/>
        </w:rPr>
        <w:t>/(</w:t>
      </w:r>
      <w:r w:rsidRPr="003D7D05">
        <w:rPr>
          <w:rFonts w:ascii="Times New Roman" w:hAnsi="Times New Roman" w:cs="Times New Roman"/>
          <w:sz w:val="20"/>
          <w:szCs w:val="20"/>
        </w:rPr>
        <w:t xml:space="preserve">1-0.313)). </w:t>
      </w:r>
    </w:p>
    <w:p w:rsidR="004040AC" w:rsidRPr="003D7D05" w:rsidP="004040AC" w14:paraId="06A9F2D2" w14:textId="77777777">
      <w:pPr>
        <w:pStyle w:val="Default"/>
        <w:rPr>
          <w:rFonts w:ascii="Times New Roman" w:hAnsi="Times New Roman" w:cs="Times New Roman"/>
          <w:sz w:val="20"/>
          <w:szCs w:val="20"/>
        </w:rPr>
      </w:pPr>
      <w:r w:rsidRPr="003D7D05">
        <w:rPr>
          <w:rFonts w:ascii="Times New Roman" w:hAnsi="Times New Roman" w:cs="Times New Roman"/>
          <w:sz w:val="20"/>
          <w:szCs w:val="20"/>
        </w:rPr>
        <w:t xml:space="preserve">Inflation Multiplier – The inflation multiplier is determined by using the employment price index from the most current quarter, 2024Q3, divided by the base year and quarter of the OEWS employment and wage statistics, 2023Q2, for private industry workers in construction, extraction, farming, fishing, and forestry occupations, current dollar index. The inflation multiplier is 1.048 = 164.8/157.3. </w:t>
      </w:r>
    </w:p>
    <w:p w:rsidR="004040AC" w:rsidRPr="003D7D05" w:rsidP="004040AC" w14:paraId="40D505F5" w14:textId="77777777">
      <w:pPr>
        <w:pStyle w:val="Default"/>
        <w:rPr>
          <w:rFonts w:ascii="Times New Roman" w:hAnsi="Times New Roman" w:cs="Times New Roman"/>
          <w:sz w:val="20"/>
          <w:szCs w:val="20"/>
        </w:rPr>
      </w:pPr>
      <w:r w:rsidRPr="003D7D05">
        <w:rPr>
          <w:rFonts w:ascii="Times New Roman" w:hAnsi="Times New Roman" w:cs="Times New Roman"/>
          <w:sz w:val="20"/>
          <w:szCs w:val="20"/>
        </w:rPr>
        <w:t>Overhead Multiplier – MSHA uses the overhead multiplier of 1.01.</w:t>
      </w:r>
    </w:p>
    <w:p w:rsidR="004040AC" w:rsidRPr="003D7D05" w:rsidP="004040AC" w14:paraId="47524D2A" w14:textId="77777777">
      <w:pPr>
        <w:rPr>
          <w:sz w:val="20"/>
          <w:szCs w:val="20"/>
        </w:rPr>
      </w:pPr>
      <w:r w:rsidRPr="003D7D05">
        <w:rPr>
          <w:sz w:val="20"/>
          <w:szCs w:val="20"/>
        </w:rPr>
        <w:t>[a] The Standard Occupation Codes (SOCs) used for this occupation are (43-3031), (43-3051), (43-3061 (43-5071), and (43-9061).</w:t>
      </w:r>
    </w:p>
    <w:p w:rsidR="004040AC" w:rsidRPr="003D7D05" w:rsidP="004040AC" w14:paraId="3B6710D6" w14:textId="77777777">
      <w:pPr>
        <w:rPr>
          <w:sz w:val="20"/>
          <w:szCs w:val="20"/>
        </w:rPr>
      </w:pPr>
      <w:r w:rsidRPr="003D7D05">
        <w:rPr>
          <w:sz w:val="20"/>
          <w:szCs w:val="20"/>
        </w:rPr>
        <w:t>[b] The SOCs used for this occupation are (47-500), (49-9043), (49-9071), (51-9021), and (53-7000).</w:t>
      </w:r>
    </w:p>
    <w:p w:rsidR="004040AC" w:rsidRPr="003D7D05" w:rsidP="004040AC" w14:paraId="7BFDADA4" w14:textId="77777777">
      <w:pPr>
        <w:rPr>
          <w:sz w:val="20"/>
          <w:szCs w:val="20"/>
        </w:rPr>
      </w:pPr>
      <w:r w:rsidRPr="003D7D05">
        <w:rPr>
          <w:sz w:val="20"/>
          <w:szCs w:val="20"/>
        </w:rPr>
        <w:t>[c] The SOCs used for this occupation are (47-500), (49-9043), (49-9071), (51-9021), and (53-7000). Additionally, instead of the mean wage the 75</w:t>
      </w:r>
      <w:r w:rsidRPr="003D7D05">
        <w:rPr>
          <w:sz w:val="20"/>
          <w:szCs w:val="20"/>
          <w:vertAlign w:val="superscript"/>
        </w:rPr>
        <w:t>th</w:t>
      </w:r>
      <w:r w:rsidRPr="003D7D05">
        <w:rPr>
          <w:sz w:val="20"/>
          <w:szCs w:val="20"/>
        </w:rPr>
        <w:t xml:space="preserve"> percentile wage is used to account for extra knowledge and experience.</w:t>
      </w:r>
    </w:p>
    <w:p w:rsidR="004040AC" w:rsidRPr="003D7D05" w:rsidP="004040AC" w14:paraId="4DFB6CDB" w14:textId="77777777">
      <w:pPr>
        <w:rPr>
          <w:sz w:val="20"/>
          <w:szCs w:val="20"/>
        </w:rPr>
      </w:pPr>
      <w:r w:rsidRPr="003D7D05">
        <w:rPr>
          <w:sz w:val="20"/>
          <w:szCs w:val="20"/>
        </w:rPr>
        <w:t>[d] The SOCs used for this occupation are (17-2071), (17-2081), (17-2112), (17-2141), and (17-2151). Additionally, instead of the mean wage the 75</w:t>
      </w:r>
      <w:r w:rsidRPr="003D7D05">
        <w:rPr>
          <w:sz w:val="20"/>
          <w:szCs w:val="20"/>
          <w:vertAlign w:val="superscript"/>
        </w:rPr>
        <w:t>th</w:t>
      </w:r>
      <w:r w:rsidRPr="003D7D05">
        <w:rPr>
          <w:sz w:val="20"/>
          <w:szCs w:val="20"/>
        </w:rPr>
        <w:t xml:space="preserve"> percentile wage is used to account for extra knowledge and experience.</w:t>
      </w:r>
    </w:p>
    <w:p w:rsidR="004040AC" w:rsidRPr="003D7D05" w:rsidP="004040AC" w14:paraId="418BE633" w14:textId="77777777">
      <w:pPr>
        <w:rPr>
          <w:sz w:val="20"/>
          <w:szCs w:val="20"/>
        </w:rPr>
      </w:pPr>
      <w:r w:rsidRPr="003D7D05">
        <w:rPr>
          <w:sz w:val="20"/>
          <w:szCs w:val="20"/>
        </w:rPr>
        <w:t>[e] The SOCs used for this occupation are (47-1011), (49-1011), (51-1011), and (53-1047).</w:t>
      </w:r>
    </w:p>
    <w:p w:rsidR="004040AC" w:rsidRPr="003D7D05" w:rsidP="004040AC" w14:paraId="2F0B07CC" w14:textId="77777777">
      <w:pPr>
        <w:pStyle w:val="Default"/>
        <w:rPr>
          <w:rFonts w:ascii="Times New Roman" w:hAnsi="Times New Roman" w:cs="Times New Roman"/>
          <w:b/>
          <w:bCs/>
        </w:rPr>
      </w:pPr>
    </w:p>
    <w:p w:rsidR="00005D19" w14:paraId="7804F826" w14:textId="77777777">
      <w:pPr>
        <w:rPr>
          <w:rFonts w:eastAsia="Calibri"/>
          <w:b/>
          <w:bCs/>
          <w:color w:val="000000"/>
        </w:rPr>
      </w:pPr>
      <w:r>
        <w:rPr>
          <w:b/>
          <w:bCs/>
        </w:rPr>
        <w:br w:type="page"/>
      </w:r>
    </w:p>
    <w:p w:rsidR="004040AC" w:rsidRPr="003D7D05" w:rsidP="004040AC" w14:paraId="5536EBB5" w14:textId="4F4DD584">
      <w:pPr>
        <w:pStyle w:val="Default"/>
        <w:rPr>
          <w:rFonts w:ascii="Times New Roman" w:hAnsi="Times New Roman" w:cs="Times New Roman"/>
          <w:b/>
          <w:bCs/>
        </w:rPr>
      </w:pPr>
      <w:r w:rsidRPr="003D7D05">
        <w:rPr>
          <w:rFonts w:ascii="Times New Roman" w:hAnsi="Times New Roman" w:cs="Times New Roman"/>
          <w:b/>
          <w:bCs/>
        </w:rPr>
        <w:t>Hour Burden</w:t>
      </w:r>
    </w:p>
    <w:p w:rsidR="004040AC" w:rsidRPr="003D7D05" w:rsidP="004040AC" w14:paraId="36FD6D59" w14:textId="77777777">
      <w:pPr>
        <w:pStyle w:val="Default"/>
        <w:rPr>
          <w:rFonts w:ascii="Times New Roman" w:hAnsi="Times New Roman" w:cs="Times New Roman"/>
          <w:b/>
          <w:bCs/>
        </w:rPr>
      </w:pPr>
    </w:p>
    <w:p w:rsidR="004040AC" w:rsidRPr="003D7D05" w:rsidP="004040AC" w14:paraId="3358CD12" w14:textId="77777777">
      <w:pPr>
        <w:pStyle w:val="ListParagraph"/>
        <w:numPr>
          <w:ilvl w:val="0"/>
          <w:numId w:val="12"/>
        </w:numPr>
        <w:autoSpaceDE w:val="0"/>
        <w:autoSpaceDN w:val="0"/>
        <w:adjustRightInd w:val="0"/>
        <w:rPr>
          <w:b/>
          <w:bCs/>
          <w:color w:val="000000"/>
        </w:rPr>
      </w:pPr>
      <w:r w:rsidRPr="003D7D05">
        <w:rPr>
          <w:b/>
          <w:bCs/>
          <w:color w:val="000000"/>
        </w:rPr>
        <w:t xml:space="preserve">Examining Chemical Extinguishers and Recording </w:t>
      </w:r>
    </w:p>
    <w:p w:rsidR="004040AC" w:rsidRPr="003D7D05" w:rsidP="004040AC" w14:paraId="70BFE7EE" w14:textId="77777777">
      <w:pPr>
        <w:pStyle w:val="Default"/>
        <w:rPr>
          <w:rFonts w:ascii="Times New Roman" w:hAnsi="Times New Roman" w:cs="Times New Roman"/>
        </w:rPr>
      </w:pPr>
    </w:p>
    <w:p w:rsidR="004040AC" w:rsidRPr="003D7D05" w:rsidP="004040AC" w14:paraId="0D317EBD" w14:textId="77777777">
      <w:pPr>
        <w:pStyle w:val="Default"/>
        <w:rPr>
          <w:rFonts w:ascii="Times New Roman" w:hAnsi="Times New Roman" w:cs="Times New Roman"/>
        </w:rPr>
      </w:pPr>
      <w:r w:rsidRPr="003D7D05">
        <w:rPr>
          <w:rFonts w:ascii="Times New Roman" w:hAnsi="Times New Roman" w:cs="Times New Roman"/>
        </w:rPr>
        <w:t xml:space="preserve">Under 30 CFR 75.1100-3, chemical fire extinguishers must be examined every 6 months and the date of the examination recorded on a permanent tag attached to the extinguisher. MSHA records show that across 148 active underground coal mines there are approximately 438 mechanized mining units (MMU) in operation, each requiring approximately 20 fire extinguishers (FE) and two examinations annually, totaling 17,520 examinations (= 438 </w:t>
      </w:r>
      <w:r w:rsidRPr="003D7D05">
        <w:rPr>
          <w:rFonts w:ascii="Times New Roman" w:hAnsi="Times New Roman" w:cs="Times New Roman"/>
        </w:rPr>
        <w:t>MMU</w:t>
      </w:r>
      <w:r w:rsidRPr="003D7D05">
        <w:rPr>
          <w:rFonts w:ascii="Times New Roman" w:hAnsi="Times New Roman" w:cs="Times New Roman"/>
        </w:rPr>
        <w:t xml:space="preserve"> X 20 FE X 2 examinations). MSHA estimates that it takes a miner, earning $48.65 per hour, approximately 2 minutes to check each fire extinguisher and record the results on the tag.</w:t>
      </w:r>
    </w:p>
    <w:p w:rsidR="004040AC" w:rsidRPr="003D7D05" w:rsidP="004040AC" w14:paraId="3ED7D414" w14:textId="77777777">
      <w:pPr>
        <w:pStyle w:val="Default"/>
        <w:rPr>
          <w:rFonts w:ascii="Times New Roman" w:hAnsi="Times New Roman" w:cs="Times New Roman"/>
        </w:rPr>
      </w:pPr>
    </w:p>
    <w:p w:rsidR="004040AC" w:rsidRPr="003D7D05" w:rsidP="004040AC" w14:paraId="78EFDEAD" w14:textId="77777777">
      <w:pPr>
        <w:autoSpaceDE w:val="0"/>
        <w:autoSpaceDN w:val="0"/>
        <w:adjustRightInd w:val="0"/>
        <w:rPr>
          <w:b/>
          <w:bCs/>
          <w:color w:val="000000"/>
        </w:rPr>
      </w:pPr>
      <w:r w:rsidRPr="003D7D05">
        <w:rPr>
          <w:b/>
          <w:bCs/>
        </w:rPr>
        <w:t>Table 12-2.</w:t>
      </w:r>
      <w:r w:rsidRPr="003D7D05">
        <w:rPr>
          <w:b/>
          <w:bCs/>
          <w:color w:val="000000"/>
        </w:rPr>
        <w:t xml:space="preserve"> Estimated Annual Respondent Hour and Cost Burden, Examining Chemical Extinguishers and Recording (30 CFR 75.1100-3)</w:t>
      </w:r>
    </w:p>
    <w:tbl>
      <w:tblPr>
        <w:tblStyle w:val="TableGrid"/>
        <w:tblW w:w="9715" w:type="dxa"/>
        <w:tblLayout w:type="fixed"/>
        <w:tblLook w:val="04A0"/>
      </w:tblPr>
      <w:tblGrid>
        <w:gridCol w:w="1615"/>
        <w:gridCol w:w="1350"/>
        <w:gridCol w:w="1260"/>
        <w:gridCol w:w="1530"/>
        <w:gridCol w:w="990"/>
        <w:gridCol w:w="900"/>
        <w:gridCol w:w="900"/>
        <w:gridCol w:w="1170"/>
      </w:tblGrid>
      <w:tr w14:paraId="3A05C5C4" w14:textId="77777777" w:rsidTr="00FD7987">
        <w:tblPrEx>
          <w:tblW w:w="9715" w:type="dxa"/>
          <w:tblLayout w:type="fixed"/>
          <w:tblLook w:val="04A0"/>
        </w:tblPrEx>
        <w:trPr>
          <w:trHeight w:val="980"/>
        </w:trPr>
        <w:tc>
          <w:tcPr>
            <w:tcW w:w="1615" w:type="dxa"/>
            <w:shd w:val="clear" w:color="auto" w:fill="95B3D7" w:themeFill="accent1" w:themeFillTint="99"/>
            <w:vAlign w:val="center"/>
            <w:hideMark/>
          </w:tcPr>
          <w:p w:rsidR="004040AC" w:rsidRPr="003D7D05" w:rsidP="00FD7987" w14:paraId="253E83C4" w14:textId="77777777">
            <w:pPr>
              <w:jc w:val="center"/>
              <w:rPr>
                <w:rFonts w:eastAsiaTheme="minorHAnsi"/>
                <w:b/>
                <w:bCs/>
                <w:sz w:val="20"/>
                <w:szCs w:val="20"/>
              </w:rPr>
            </w:pPr>
            <w:r w:rsidRPr="003D7D05">
              <w:rPr>
                <w:b/>
                <w:bCs/>
                <w:sz w:val="20"/>
                <w:szCs w:val="20"/>
              </w:rPr>
              <w:t>Activity (Occupation</w:t>
            </w:r>
            <w:r w:rsidRPr="003D7D05">
              <w:rPr>
                <w:sz w:val="20"/>
                <w:szCs w:val="20"/>
              </w:rPr>
              <w:t>)</w:t>
            </w:r>
          </w:p>
        </w:tc>
        <w:tc>
          <w:tcPr>
            <w:tcW w:w="1350" w:type="dxa"/>
            <w:shd w:val="clear" w:color="auto" w:fill="95B3D7" w:themeFill="accent1" w:themeFillTint="99"/>
            <w:vAlign w:val="center"/>
            <w:hideMark/>
          </w:tcPr>
          <w:p w:rsidR="004040AC" w:rsidRPr="003D7D05" w:rsidP="00FD7987" w14:paraId="6A51C5DA" w14:textId="77777777">
            <w:pPr>
              <w:jc w:val="center"/>
              <w:rPr>
                <w:rFonts w:eastAsiaTheme="minorHAnsi"/>
                <w:b/>
                <w:bCs/>
                <w:sz w:val="20"/>
                <w:szCs w:val="20"/>
              </w:rPr>
            </w:pPr>
            <w:r w:rsidRPr="003D7D05">
              <w:rPr>
                <w:rFonts w:eastAsiaTheme="minorHAnsi"/>
                <w:b/>
                <w:bCs/>
                <w:sz w:val="20"/>
                <w:szCs w:val="20"/>
              </w:rPr>
              <w:t>Number of Respondents (Mines)</w:t>
            </w:r>
          </w:p>
        </w:tc>
        <w:tc>
          <w:tcPr>
            <w:tcW w:w="1260" w:type="dxa"/>
            <w:shd w:val="clear" w:color="auto" w:fill="95B3D7" w:themeFill="accent1" w:themeFillTint="99"/>
            <w:vAlign w:val="center"/>
          </w:tcPr>
          <w:p w:rsidR="004040AC" w:rsidRPr="003D7D05" w:rsidP="00FD7987" w14:paraId="5E201941" w14:textId="77777777">
            <w:pPr>
              <w:jc w:val="center"/>
              <w:rPr>
                <w:rFonts w:eastAsiaTheme="minorHAnsi"/>
                <w:b/>
                <w:bCs/>
                <w:sz w:val="20"/>
                <w:szCs w:val="20"/>
              </w:rPr>
            </w:pPr>
            <w:r w:rsidRPr="003D7D05">
              <w:rPr>
                <w:rFonts w:eastAsiaTheme="minorHAnsi"/>
                <w:b/>
                <w:bCs/>
                <w:sz w:val="20"/>
                <w:szCs w:val="20"/>
              </w:rPr>
              <w:t>Number of Responses per Respondent</w:t>
            </w:r>
          </w:p>
        </w:tc>
        <w:tc>
          <w:tcPr>
            <w:tcW w:w="1530" w:type="dxa"/>
            <w:shd w:val="clear" w:color="auto" w:fill="95B3D7" w:themeFill="accent1" w:themeFillTint="99"/>
            <w:vAlign w:val="center"/>
          </w:tcPr>
          <w:p w:rsidR="004040AC" w:rsidRPr="003D7D05" w:rsidP="00FD7987" w14:paraId="1075C362" w14:textId="77777777">
            <w:pPr>
              <w:jc w:val="center"/>
              <w:rPr>
                <w:rFonts w:eastAsiaTheme="minorHAnsi"/>
                <w:b/>
                <w:bCs/>
                <w:sz w:val="20"/>
                <w:szCs w:val="20"/>
              </w:rPr>
            </w:pPr>
            <w:r w:rsidRPr="003D7D05">
              <w:rPr>
                <w:rFonts w:eastAsiaTheme="minorHAnsi"/>
                <w:b/>
                <w:bCs/>
                <w:sz w:val="20"/>
                <w:szCs w:val="20"/>
              </w:rPr>
              <w:t>Total Responses (Examinations)</w:t>
            </w:r>
          </w:p>
        </w:tc>
        <w:tc>
          <w:tcPr>
            <w:tcW w:w="990" w:type="dxa"/>
            <w:shd w:val="clear" w:color="auto" w:fill="95B3D7" w:themeFill="accent1" w:themeFillTint="99"/>
            <w:vAlign w:val="center"/>
          </w:tcPr>
          <w:p w:rsidR="004040AC" w:rsidRPr="003D7D05" w:rsidP="00FD7987" w14:paraId="10D5483E" w14:textId="77777777">
            <w:pPr>
              <w:jc w:val="center"/>
              <w:rPr>
                <w:rFonts w:eastAsiaTheme="minorHAnsi"/>
                <w:b/>
                <w:bCs/>
                <w:sz w:val="20"/>
                <w:szCs w:val="20"/>
              </w:rPr>
            </w:pPr>
            <w:r w:rsidRPr="003D7D05">
              <w:rPr>
                <w:rFonts w:eastAsiaTheme="minorHAnsi"/>
                <w:b/>
                <w:bCs/>
                <w:sz w:val="20"/>
                <w:szCs w:val="20"/>
              </w:rPr>
              <w:t>Average Burden (Hours)</w:t>
            </w:r>
          </w:p>
        </w:tc>
        <w:tc>
          <w:tcPr>
            <w:tcW w:w="900" w:type="dxa"/>
            <w:shd w:val="clear" w:color="auto" w:fill="95B3D7" w:themeFill="accent1" w:themeFillTint="99"/>
            <w:vAlign w:val="center"/>
            <w:hideMark/>
          </w:tcPr>
          <w:p w:rsidR="004040AC" w:rsidRPr="003D7D05" w:rsidP="00FD7987" w14:paraId="61412A7E" w14:textId="77777777">
            <w:pPr>
              <w:jc w:val="center"/>
              <w:rPr>
                <w:rFonts w:eastAsiaTheme="minorHAnsi"/>
                <w:b/>
                <w:bCs/>
                <w:sz w:val="20"/>
                <w:szCs w:val="20"/>
              </w:rPr>
            </w:pPr>
            <w:r w:rsidRPr="003D7D05">
              <w:rPr>
                <w:rFonts w:eastAsiaTheme="minorHAnsi"/>
                <w:b/>
                <w:bCs/>
                <w:sz w:val="20"/>
                <w:szCs w:val="20"/>
              </w:rPr>
              <w:t>Total Burden (Hours)</w:t>
            </w:r>
          </w:p>
        </w:tc>
        <w:tc>
          <w:tcPr>
            <w:tcW w:w="900" w:type="dxa"/>
            <w:shd w:val="clear" w:color="auto" w:fill="95B3D7" w:themeFill="accent1" w:themeFillTint="99"/>
            <w:vAlign w:val="center"/>
            <w:hideMark/>
          </w:tcPr>
          <w:p w:rsidR="004040AC" w:rsidRPr="003D7D05" w:rsidP="00FD7987" w14:paraId="1C0817EA" w14:textId="77777777">
            <w:pPr>
              <w:jc w:val="center"/>
              <w:rPr>
                <w:rFonts w:eastAsiaTheme="minorHAnsi"/>
                <w:b/>
                <w:bCs/>
                <w:sz w:val="20"/>
                <w:szCs w:val="20"/>
              </w:rPr>
            </w:pPr>
            <w:r w:rsidRPr="003D7D05">
              <w:rPr>
                <w:rFonts w:eastAsiaTheme="minorHAnsi"/>
                <w:b/>
                <w:bCs/>
                <w:sz w:val="20"/>
                <w:szCs w:val="20"/>
              </w:rPr>
              <w:t>Hourly Wage Rate</w:t>
            </w:r>
          </w:p>
        </w:tc>
        <w:tc>
          <w:tcPr>
            <w:tcW w:w="1170" w:type="dxa"/>
            <w:shd w:val="clear" w:color="auto" w:fill="95B3D7" w:themeFill="accent1" w:themeFillTint="99"/>
            <w:vAlign w:val="center"/>
            <w:hideMark/>
          </w:tcPr>
          <w:p w:rsidR="004040AC" w:rsidRPr="003D7D05" w:rsidP="00FD7987" w14:paraId="7D8A344F" w14:textId="77777777">
            <w:pPr>
              <w:jc w:val="center"/>
              <w:rPr>
                <w:rFonts w:eastAsiaTheme="minorHAnsi"/>
                <w:b/>
                <w:bCs/>
                <w:sz w:val="20"/>
                <w:szCs w:val="20"/>
              </w:rPr>
            </w:pPr>
            <w:r w:rsidRPr="003D7D05">
              <w:rPr>
                <w:rFonts w:eastAsiaTheme="minorHAnsi"/>
                <w:b/>
                <w:bCs/>
                <w:sz w:val="20"/>
                <w:szCs w:val="20"/>
              </w:rPr>
              <w:t>Toal Burden Cost</w:t>
            </w:r>
          </w:p>
        </w:tc>
      </w:tr>
      <w:tr w14:paraId="3A1C642F" w14:textId="77777777" w:rsidTr="00FD7987">
        <w:tblPrEx>
          <w:tblW w:w="9715" w:type="dxa"/>
          <w:tblLayout w:type="fixed"/>
          <w:tblLook w:val="04A0"/>
        </w:tblPrEx>
        <w:trPr>
          <w:trHeight w:val="363"/>
        </w:trPr>
        <w:tc>
          <w:tcPr>
            <w:tcW w:w="1615" w:type="dxa"/>
            <w:noWrap/>
            <w:hideMark/>
          </w:tcPr>
          <w:p w:rsidR="004040AC" w:rsidRPr="003D7D05" w:rsidP="00FD7987" w14:paraId="0A80CED7" w14:textId="77777777">
            <w:pPr>
              <w:rPr>
                <w:rFonts w:eastAsiaTheme="minorHAnsi"/>
                <w:bCs/>
                <w:sz w:val="20"/>
                <w:szCs w:val="20"/>
              </w:rPr>
            </w:pPr>
            <w:r w:rsidRPr="003D7D05">
              <w:rPr>
                <w:sz w:val="20"/>
                <w:szCs w:val="20"/>
              </w:rPr>
              <w:t>Examining Chemical Extinguishers and Recording (Miner)</w:t>
            </w:r>
          </w:p>
        </w:tc>
        <w:tc>
          <w:tcPr>
            <w:tcW w:w="1350" w:type="dxa"/>
            <w:noWrap/>
            <w:vAlign w:val="center"/>
          </w:tcPr>
          <w:p w:rsidR="004040AC" w:rsidRPr="003D7D05" w:rsidP="00FD7987" w14:paraId="0A8BD165" w14:textId="77777777">
            <w:pPr>
              <w:jc w:val="right"/>
              <w:rPr>
                <w:rFonts w:eastAsiaTheme="minorHAnsi"/>
                <w:bCs/>
                <w:sz w:val="20"/>
                <w:szCs w:val="20"/>
              </w:rPr>
            </w:pPr>
            <w:r w:rsidRPr="003D7D05">
              <w:rPr>
                <w:rFonts w:eastAsiaTheme="minorHAnsi"/>
                <w:bCs/>
                <w:sz w:val="20"/>
                <w:szCs w:val="20"/>
              </w:rPr>
              <w:t>148</w:t>
            </w:r>
          </w:p>
        </w:tc>
        <w:tc>
          <w:tcPr>
            <w:tcW w:w="1260" w:type="dxa"/>
            <w:vAlign w:val="center"/>
          </w:tcPr>
          <w:p w:rsidR="004040AC" w:rsidRPr="003D7D05" w:rsidP="00FD7987" w14:paraId="30ECC784" w14:textId="77777777">
            <w:pPr>
              <w:jc w:val="right"/>
              <w:rPr>
                <w:rFonts w:eastAsiaTheme="minorHAnsi"/>
                <w:bCs/>
                <w:sz w:val="20"/>
                <w:szCs w:val="20"/>
              </w:rPr>
            </w:pPr>
            <w:r w:rsidRPr="003D7D05">
              <w:rPr>
                <w:rFonts w:eastAsiaTheme="minorHAnsi"/>
                <w:bCs/>
                <w:sz w:val="20"/>
                <w:szCs w:val="20"/>
              </w:rPr>
              <w:t>118.38</w:t>
            </w:r>
          </w:p>
        </w:tc>
        <w:tc>
          <w:tcPr>
            <w:tcW w:w="1530" w:type="dxa"/>
            <w:vAlign w:val="center"/>
          </w:tcPr>
          <w:p w:rsidR="004040AC" w:rsidRPr="003D7D05" w:rsidP="00FD7987" w14:paraId="06AED2CC" w14:textId="77777777">
            <w:pPr>
              <w:jc w:val="right"/>
              <w:rPr>
                <w:rFonts w:eastAsiaTheme="minorHAnsi"/>
                <w:bCs/>
                <w:sz w:val="20"/>
                <w:szCs w:val="20"/>
              </w:rPr>
            </w:pPr>
            <w:r w:rsidRPr="003D7D05">
              <w:rPr>
                <w:rFonts w:eastAsiaTheme="minorHAnsi"/>
                <w:bCs/>
                <w:sz w:val="20"/>
                <w:szCs w:val="20"/>
              </w:rPr>
              <w:t>17,520</w:t>
            </w:r>
          </w:p>
        </w:tc>
        <w:tc>
          <w:tcPr>
            <w:tcW w:w="990" w:type="dxa"/>
            <w:vAlign w:val="center"/>
          </w:tcPr>
          <w:p w:rsidR="004040AC" w:rsidRPr="003D7D05" w:rsidP="00FD7987" w14:paraId="7BD9864A" w14:textId="77777777">
            <w:pPr>
              <w:jc w:val="right"/>
              <w:rPr>
                <w:rFonts w:eastAsiaTheme="minorHAnsi"/>
                <w:bCs/>
                <w:sz w:val="20"/>
                <w:szCs w:val="20"/>
              </w:rPr>
            </w:pPr>
            <w:r w:rsidRPr="003D7D05">
              <w:rPr>
                <w:rFonts w:eastAsiaTheme="minorHAnsi"/>
                <w:bCs/>
                <w:sz w:val="20"/>
                <w:szCs w:val="20"/>
              </w:rPr>
              <w:t>0.03</w:t>
            </w:r>
          </w:p>
        </w:tc>
        <w:tc>
          <w:tcPr>
            <w:tcW w:w="900" w:type="dxa"/>
            <w:noWrap/>
            <w:vAlign w:val="center"/>
          </w:tcPr>
          <w:p w:rsidR="004040AC" w:rsidRPr="003D7D05" w:rsidP="00FD7987" w14:paraId="6301CF33" w14:textId="77777777">
            <w:pPr>
              <w:jc w:val="right"/>
              <w:rPr>
                <w:rFonts w:eastAsiaTheme="minorHAnsi"/>
                <w:bCs/>
                <w:sz w:val="20"/>
                <w:szCs w:val="20"/>
              </w:rPr>
            </w:pPr>
            <w:r w:rsidRPr="003D7D05">
              <w:rPr>
                <w:rFonts w:eastAsiaTheme="minorHAnsi"/>
                <w:bCs/>
                <w:sz w:val="20"/>
                <w:szCs w:val="20"/>
              </w:rPr>
              <w:t>584.00</w:t>
            </w:r>
          </w:p>
        </w:tc>
        <w:tc>
          <w:tcPr>
            <w:tcW w:w="900" w:type="dxa"/>
            <w:noWrap/>
            <w:vAlign w:val="center"/>
            <w:hideMark/>
          </w:tcPr>
          <w:p w:rsidR="004040AC" w:rsidRPr="003D7D05" w:rsidP="00FD7987" w14:paraId="5776BD5B" w14:textId="77777777">
            <w:pPr>
              <w:jc w:val="right"/>
              <w:rPr>
                <w:rFonts w:eastAsiaTheme="minorHAnsi"/>
                <w:bCs/>
                <w:sz w:val="20"/>
                <w:szCs w:val="20"/>
              </w:rPr>
            </w:pPr>
            <w:r w:rsidRPr="003D7D05">
              <w:rPr>
                <w:rFonts w:eastAsiaTheme="minorHAnsi"/>
                <w:bCs/>
                <w:sz w:val="20"/>
                <w:szCs w:val="20"/>
              </w:rPr>
              <w:t>$48.65</w:t>
            </w:r>
          </w:p>
        </w:tc>
        <w:tc>
          <w:tcPr>
            <w:tcW w:w="1170" w:type="dxa"/>
            <w:noWrap/>
            <w:vAlign w:val="center"/>
            <w:hideMark/>
          </w:tcPr>
          <w:p w:rsidR="004040AC" w:rsidRPr="003D7D05" w:rsidP="00FD7987" w14:paraId="014B2022" w14:textId="77777777">
            <w:pPr>
              <w:jc w:val="right"/>
              <w:rPr>
                <w:rFonts w:eastAsiaTheme="minorHAnsi"/>
                <w:bCs/>
                <w:sz w:val="20"/>
                <w:szCs w:val="20"/>
              </w:rPr>
            </w:pPr>
            <w:r w:rsidRPr="003D7D05">
              <w:rPr>
                <w:rFonts w:eastAsiaTheme="minorHAnsi"/>
                <w:bCs/>
                <w:sz w:val="20"/>
                <w:szCs w:val="20"/>
              </w:rPr>
              <w:t>$28,410.62</w:t>
            </w:r>
          </w:p>
        </w:tc>
      </w:tr>
      <w:tr w14:paraId="35EBBBEF" w14:textId="77777777" w:rsidTr="00FD7987">
        <w:tblPrEx>
          <w:tblW w:w="9715" w:type="dxa"/>
          <w:tblLayout w:type="fixed"/>
          <w:tblLook w:val="04A0"/>
        </w:tblPrEx>
        <w:trPr>
          <w:trHeight w:val="363"/>
        </w:trPr>
        <w:tc>
          <w:tcPr>
            <w:tcW w:w="1615" w:type="dxa"/>
            <w:shd w:val="clear" w:color="auto" w:fill="auto"/>
            <w:noWrap/>
            <w:vAlign w:val="center"/>
            <w:hideMark/>
          </w:tcPr>
          <w:p w:rsidR="004040AC" w:rsidRPr="003D7D05" w:rsidP="00FD7987" w14:paraId="6E3C42E1" w14:textId="77777777">
            <w:pPr>
              <w:jc w:val="right"/>
              <w:rPr>
                <w:rFonts w:eastAsiaTheme="minorHAnsi"/>
                <w:b/>
                <w:bCs/>
                <w:i/>
                <w:iCs/>
                <w:sz w:val="20"/>
                <w:szCs w:val="20"/>
              </w:rPr>
            </w:pPr>
            <w:r w:rsidRPr="003D7D05">
              <w:rPr>
                <w:b/>
                <w:bCs/>
                <w:i/>
                <w:iCs/>
                <w:color w:val="000000"/>
                <w:sz w:val="22"/>
                <w:szCs w:val="22"/>
              </w:rPr>
              <w:t>Total (Rounded)</w:t>
            </w:r>
          </w:p>
        </w:tc>
        <w:tc>
          <w:tcPr>
            <w:tcW w:w="1350" w:type="dxa"/>
            <w:shd w:val="clear" w:color="auto" w:fill="auto"/>
            <w:vAlign w:val="center"/>
          </w:tcPr>
          <w:p w:rsidR="004040AC" w:rsidRPr="003D7D05" w:rsidP="00FD7987" w14:paraId="18DE94F2" w14:textId="77777777">
            <w:pPr>
              <w:jc w:val="right"/>
              <w:rPr>
                <w:rFonts w:eastAsiaTheme="minorHAnsi"/>
                <w:b/>
                <w:bCs/>
                <w:i/>
                <w:iCs/>
                <w:sz w:val="20"/>
                <w:szCs w:val="20"/>
              </w:rPr>
            </w:pPr>
            <w:r w:rsidRPr="003D7D05">
              <w:rPr>
                <w:rFonts w:eastAsiaTheme="minorHAnsi"/>
                <w:b/>
                <w:bCs/>
                <w:i/>
                <w:iCs/>
                <w:sz w:val="20"/>
                <w:szCs w:val="20"/>
              </w:rPr>
              <w:t>148</w:t>
            </w:r>
          </w:p>
        </w:tc>
        <w:tc>
          <w:tcPr>
            <w:tcW w:w="1260" w:type="dxa"/>
            <w:shd w:val="clear" w:color="auto" w:fill="000000" w:themeFill="text1"/>
            <w:vAlign w:val="center"/>
          </w:tcPr>
          <w:p w:rsidR="004040AC" w:rsidRPr="003D7D05" w:rsidP="00FD7987" w14:paraId="2E04CE46" w14:textId="77777777">
            <w:pPr>
              <w:jc w:val="right"/>
              <w:rPr>
                <w:rFonts w:eastAsiaTheme="minorHAnsi"/>
                <w:b/>
                <w:bCs/>
                <w:i/>
                <w:iCs/>
                <w:sz w:val="20"/>
                <w:szCs w:val="20"/>
              </w:rPr>
            </w:pPr>
          </w:p>
        </w:tc>
        <w:tc>
          <w:tcPr>
            <w:tcW w:w="1530" w:type="dxa"/>
            <w:shd w:val="clear" w:color="auto" w:fill="auto"/>
            <w:vAlign w:val="center"/>
          </w:tcPr>
          <w:p w:rsidR="004040AC" w:rsidRPr="003D7D05" w:rsidP="00FD7987" w14:paraId="096A1C6A" w14:textId="77777777">
            <w:pPr>
              <w:jc w:val="right"/>
              <w:rPr>
                <w:rFonts w:eastAsiaTheme="minorHAnsi"/>
                <w:b/>
                <w:bCs/>
                <w:i/>
                <w:iCs/>
                <w:sz w:val="20"/>
                <w:szCs w:val="20"/>
              </w:rPr>
            </w:pPr>
            <w:r w:rsidRPr="003D7D05">
              <w:rPr>
                <w:rFonts w:eastAsiaTheme="minorHAnsi"/>
                <w:b/>
                <w:bCs/>
                <w:i/>
                <w:iCs/>
                <w:sz w:val="20"/>
                <w:szCs w:val="20"/>
              </w:rPr>
              <w:t>17,520</w:t>
            </w:r>
          </w:p>
        </w:tc>
        <w:tc>
          <w:tcPr>
            <w:tcW w:w="990" w:type="dxa"/>
            <w:shd w:val="clear" w:color="auto" w:fill="000000" w:themeFill="text1"/>
            <w:vAlign w:val="center"/>
          </w:tcPr>
          <w:p w:rsidR="004040AC" w:rsidRPr="003D7D05" w:rsidP="00FD7987" w14:paraId="46D0BED6" w14:textId="77777777">
            <w:pPr>
              <w:jc w:val="right"/>
              <w:rPr>
                <w:rFonts w:eastAsiaTheme="minorHAnsi"/>
                <w:b/>
                <w:bCs/>
                <w:i/>
                <w:iCs/>
                <w:sz w:val="20"/>
                <w:szCs w:val="20"/>
              </w:rPr>
            </w:pPr>
          </w:p>
        </w:tc>
        <w:tc>
          <w:tcPr>
            <w:tcW w:w="900" w:type="dxa"/>
            <w:shd w:val="clear" w:color="auto" w:fill="auto"/>
            <w:vAlign w:val="center"/>
          </w:tcPr>
          <w:p w:rsidR="004040AC" w:rsidRPr="003D7D05" w:rsidP="00FD7987" w14:paraId="5135F7A6" w14:textId="77777777">
            <w:pPr>
              <w:jc w:val="right"/>
              <w:rPr>
                <w:rFonts w:eastAsiaTheme="minorHAnsi"/>
                <w:b/>
                <w:bCs/>
                <w:i/>
                <w:iCs/>
                <w:sz w:val="20"/>
                <w:szCs w:val="20"/>
              </w:rPr>
            </w:pPr>
            <w:r w:rsidRPr="003D7D05">
              <w:rPr>
                <w:rFonts w:eastAsiaTheme="minorHAnsi"/>
                <w:b/>
                <w:bCs/>
                <w:i/>
                <w:iCs/>
                <w:sz w:val="20"/>
                <w:szCs w:val="20"/>
              </w:rPr>
              <w:t>584</w:t>
            </w:r>
          </w:p>
        </w:tc>
        <w:tc>
          <w:tcPr>
            <w:tcW w:w="900" w:type="dxa"/>
            <w:shd w:val="clear" w:color="auto" w:fill="000000" w:themeFill="text1"/>
            <w:noWrap/>
            <w:vAlign w:val="center"/>
            <w:hideMark/>
          </w:tcPr>
          <w:p w:rsidR="004040AC" w:rsidRPr="003D7D05" w:rsidP="00FD7987" w14:paraId="1E6A8854" w14:textId="77777777">
            <w:pPr>
              <w:jc w:val="right"/>
              <w:rPr>
                <w:rFonts w:eastAsiaTheme="minorHAnsi"/>
                <w:b/>
                <w:bCs/>
                <w:i/>
                <w:iCs/>
                <w:sz w:val="20"/>
                <w:szCs w:val="20"/>
              </w:rPr>
            </w:pPr>
          </w:p>
        </w:tc>
        <w:tc>
          <w:tcPr>
            <w:tcW w:w="1170" w:type="dxa"/>
            <w:shd w:val="clear" w:color="auto" w:fill="auto"/>
            <w:noWrap/>
            <w:vAlign w:val="center"/>
            <w:hideMark/>
          </w:tcPr>
          <w:p w:rsidR="004040AC" w:rsidRPr="003D7D05" w:rsidP="00FD7987" w14:paraId="77FCBD01" w14:textId="77777777">
            <w:pPr>
              <w:jc w:val="right"/>
              <w:rPr>
                <w:rFonts w:eastAsiaTheme="minorHAnsi"/>
                <w:b/>
                <w:bCs/>
                <w:i/>
                <w:iCs/>
                <w:sz w:val="20"/>
                <w:szCs w:val="20"/>
              </w:rPr>
            </w:pPr>
            <w:r w:rsidRPr="003D7D05">
              <w:rPr>
                <w:rFonts w:eastAsiaTheme="minorHAnsi"/>
                <w:b/>
                <w:bCs/>
                <w:i/>
                <w:iCs/>
                <w:sz w:val="20"/>
                <w:szCs w:val="20"/>
              </w:rPr>
              <w:t>$28,411</w:t>
            </w:r>
          </w:p>
        </w:tc>
      </w:tr>
    </w:tbl>
    <w:p w:rsidR="004040AC" w:rsidRPr="003D7D05" w:rsidP="004040AC" w14:paraId="2F95A14F" w14:textId="77777777">
      <w:pPr>
        <w:pStyle w:val="Default"/>
        <w:rPr>
          <w:rFonts w:ascii="Times New Roman" w:hAnsi="Times New Roman" w:cs="Times New Roman"/>
          <w:sz w:val="20"/>
          <w:szCs w:val="20"/>
        </w:rPr>
      </w:pPr>
      <w:r w:rsidRPr="003D7D05">
        <w:rPr>
          <w:rFonts w:ascii="Times New Roman" w:hAnsi="Times New Roman" w:cs="Times New Roman"/>
          <w:sz w:val="20"/>
          <w:szCs w:val="20"/>
        </w:rPr>
        <w:t xml:space="preserve">Note: The number of responses per respondents is </w:t>
      </w:r>
      <w:r w:rsidRPr="003D7D05">
        <w:rPr>
          <w:rFonts w:ascii="Times New Roman" w:eastAsia="Times New Roman" w:hAnsi="Times New Roman" w:cs="Times New Roman"/>
          <w:sz w:val="20"/>
          <w:szCs w:val="20"/>
        </w:rPr>
        <w:t>calculated by dividing the number of responses by the number of respondents.</w:t>
      </w:r>
    </w:p>
    <w:p w:rsidR="004040AC" w:rsidRPr="003D7D05" w:rsidP="004040AC" w14:paraId="1A5A133E" w14:textId="77777777">
      <w:pPr>
        <w:autoSpaceDE w:val="0"/>
        <w:autoSpaceDN w:val="0"/>
        <w:adjustRightInd w:val="0"/>
        <w:ind w:left="360"/>
        <w:rPr>
          <w:color w:val="000000"/>
        </w:rPr>
      </w:pPr>
    </w:p>
    <w:p w:rsidR="004040AC" w:rsidRPr="003D7D05" w:rsidP="004040AC" w14:paraId="0CA0E634" w14:textId="64426031">
      <w:pPr>
        <w:pStyle w:val="ListParagraph"/>
        <w:numPr>
          <w:ilvl w:val="0"/>
          <w:numId w:val="12"/>
        </w:numPr>
        <w:rPr>
          <w:b/>
          <w:bCs/>
          <w:color w:val="000000"/>
        </w:rPr>
      </w:pPr>
      <w:r w:rsidRPr="003D7D05">
        <w:rPr>
          <w:b/>
          <w:bCs/>
          <w:color w:val="000000"/>
        </w:rPr>
        <w:t xml:space="preserve">Updating Maps or Schematic with Locations of Sensors </w:t>
      </w:r>
      <w:r w:rsidR="00F90098">
        <w:rPr>
          <w:b/>
          <w:bCs/>
          <w:color w:val="000000"/>
        </w:rPr>
        <w:t>of</w:t>
      </w:r>
      <w:r w:rsidRPr="003D7D05">
        <w:rPr>
          <w:b/>
          <w:bCs/>
          <w:color w:val="000000"/>
        </w:rPr>
        <w:t xml:space="preserve"> </w:t>
      </w:r>
      <w:r w:rsidRPr="003D7D05">
        <w:rPr>
          <w:b/>
          <w:bCs/>
          <w:color w:val="000000"/>
        </w:rPr>
        <w:t>Automatic Fire Warning Devices</w:t>
      </w:r>
    </w:p>
    <w:p w:rsidR="004040AC" w:rsidRPr="003D7D05" w:rsidP="004040AC" w14:paraId="13AC009B" w14:textId="77777777">
      <w:pPr>
        <w:autoSpaceDE w:val="0"/>
        <w:autoSpaceDN w:val="0"/>
        <w:adjustRightInd w:val="0"/>
      </w:pPr>
    </w:p>
    <w:p w:rsidR="004040AC" w:rsidRPr="003D7D05" w:rsidP="004040AC" w14:paraId="489FF820" w14:textId="77777777">
      <w:pPr>
        <w:autoSpaceDE w:val="0"/>
        <w:autoSpaceDN w:val="0"/>
        <w:adjustRightInd w:val="0"/>
      </w:pPr>
      <w:r w:rsidRPr="003D7D05">
        <w:t>Under 30 CFR 75.1103-5(a)(2)(ii), a notation must be made on a map or schematic to show the locations of sensors and the intended direction of air flow. The map or schematic must also be updated within 24 hours of any changes.</w:t>
      </w:r>
    </w:p>
    <w:p w:rsidR="004040AC" w:rsidRPr="003D7D05" w:rsidP="004040AC" w14:paraId="3BFEB7D8" w14:textId="77777777">
      <w:pPr>
        <w:autoSpaceDE w:val="0"/>
        <w:autoSpaceDN w:val="0"/>
        <w:adjustRightInd w:val="0"/>
      </w:pPr>
    </w:p>
    <w:p w:rsidR="004040AC" w:rsidRPr="003D7D05" w:rsidP="004040AC" w14:paraId="35DFB99A" w14:textId="77777777">
      <w:pPr>
        <w:autoSpaceDE w:val="0"/>
        <w:autoSpaceDN w:val="0"/>
        <w:adjustRightInd w:val="0"/>
      </w:pPr>
      <w:r w:rsidRPr="003D7D05">
        <w:t xml:space="preserve">MSHA estimates that, for each of the 148 actively producing underground coal mines, the map or schematic would be updated with 12 notations per year (1 per month), totaling 1,776 updates (= 148 mines X 12 updates). MSHA estimates that it will take an engineer, earning a wage of $89.53 per hour, 5 minutes to update a map or schematic. </w:t>
      </w:r>
    </w:p>
    <w:p w:rsidR="004040AC" w:rsidRPr="003D7D05" w:rsidP="004040AC" w14:paraId="62E02482" w14:textId="77777777">
      <w:pPr>
        <w:pStyle w:val="Default"/>
        <w:rPr>
          <w:rFonts w:ascii="Times New Roman" w:hAnsi="Times New Roman" w:cs="Times New Roman"/>
        </w:rPr>
      </w:pPr>
    </w:p>
    <w:p w:rsidR="00005D19" w14:paraId="2639E0CA" w14:textId="77777777">
      <w:pPr>
        <w:rPr>
          <w:b/>
          <w:bCs/>
        </w:rPr>
      </w:pPr>
      <w:r>
        <w:rPr>
          <w:b/>
          <w:bCs/>
        </w:rPr>
        <w:br w:type="page"/>
      </w:r>
    </w:p>
    <w:p w:rsidR="004040AC" w:rsidRPr="003D7D05" w:rsidP="004040AC" w14:paraId="4BE567B7" w14:textId="71B0C9C8">
      <w:pPr>
        <w:autoSpaceDE w:val="0"/>
        <w:autoSpaceDN w:val="0"/>
        <w:adjustRightInd w:val="0"/>
        <w:rPr>
          <w:b/>
          <w:bCs/>
          <w:color w:val="000000"/>
        </w:rPr>
      </w:pPr>
      <w:r w:rsidRPr="003D7D05">
        <w:rPr>
          <w:b/>
          <w:bCs/>
        </w:rPr>
        <w:t>Table 12-3.</w:t>
      </w:r>
      <w:r w:rsidRPr="003D7D05">
        <w:rPr>
          <w:b/>
          <w:bCs/>
          <w:color w:val="000000"/>
        </w:rPr>
        <w:t xml:space="preserve"> Estimated Annual Respondent Hour and Cost Burden,</w:t>
      </w:r>
      <w:r w:rsidRPr="003D7D05">
        <w:rPr>
          <w:b/>
          <w:bCs/>
        </w:rPr>
        <w:t xml:space="preserve"> </w:t>
      </w:r>
      <w:r w:rsidRPr="003D7D05">
        <w:rPr>
          <w:b/>
          <w:bCs/>
          <w:color w:val="000000"/>
        </w:rPr>
        <w:t xml:space="preserve">Updating Maps or Schematic with Locations of Sensors </w:t>
      </w:r>
      <w:r w:rsidR="00F90098">
        <w:rPr>
          <w:b/>
          <w:bCs/>
          <w:color w:val="000000"/>
        </w:rPr>
        <w:t>of</w:t>
      </w:r>
      <w:r w:rsidRPr="003D7D05">
        <w:rPr>
          <w:b/>
          <w:bCs/>
          <w:color w:val="000000"/>
        </w:rPr>
        <w:t xml:space="preserve"> </w:t>
      </w:r>
      <w:r w:rsidRPr="003D7D05">
        <w:rPr>
          <w:b/>
          <w:bCs/>
          <w:color w:val="000000"/>
        </w:rPr>
        <w:t>Automatic Fire Warning Devices (30 CFR 75.1103-5)</w:t>
      </w:r>
    </w:p>
    <w:tbl>
      <w:tblPr>
        <w:tblStyle w:val="TableGrid"/>
        <w:tblW w:w="9625" w:type="dxa"/>
        <w:tblLayout w:type="fixed"/>
        <w:tblLook w:val="04A0"/>
      </w:tblPr>
      <w:tblGrid>
        <w:gridCol w:w="1435"/>
        <w:gridCol w:w="1350"/>
        <w:gridCol w:w="1260"/>
        <w:gridCol w:w="1170"/>
        <w:gridCol w:w="1260"/>
        <w:gridCol w:w="990"/>
        <w:gridCol w:w="990"/>
        <w:gridCol w:w="1170"/>
      </w:tblGrid>
      <w:tr w14:paraId="0791192A" w14:textId="77777777" w:rsidTr="00FD7987">
        <w:tblPrEx>
          <w:tblW w:w="9625" w:type="dxa"/>
          <w:tblLayout w:type="fixed"/>
          <w:tblLook w:val="04A0"/>
        </w:tblPrEx>
        <w:trPr>
          <w:trHeight w:val="747"/>
        </w:trPr>
        <w:tc>
          <w:tcPr>
            <w:tcW w:w="1435" w:type="dxa"/>
            <w:shd w:val="clear" w:color="auto" w:fill="95B3D7" w:themeFill="accent1" w:themeFillTint="99"/>
            <w:vAlign w:val="center"/>
            <w:hideMark/>
          </w:tcPr>
          <w:p w:rsidR="004040AC" w:rsidRPr="003D7D05" w:rsidP="00FD7987" w14:paraId="3AC8C52D" w14:textId="77777777">
            <w:pPr>
              <w:jc w:val="center"/>
              <w:rPr>
                <w:rFonts w:eastAsiaTheme="minorHAnsi"/>
                <w:b/>
                <w:bCs/>
                <w:sz w:val="20"/>
                <w:szCs w:val="20"/>
              </w:rPr>
            </w:pPr>
            <w:r w:rsidRPr="003D7D05">
              <w:rPr>
                <w:b/>
                <w:bCs/>
                <w:sz w:val="20"/>
                <w:szCs w:val="20"/>
              </w:rPr>
              <w:t>Activity (Occupation</w:t>
            </w:r>
            <w:r w:rsidRPr="003D7D05">
              <w:rPr>
                <w:sz w:val="20"/>
                <w:szCs w:val="20"/>
              </w:rPr>
              <w:t>)</w:t>
            </w:r>
          </w:p>
        </w:tc>
        <w:tc>
          <w:tcPr>
            <w:tcW w:w="1350" w:type="dxa"/>
            <w:shd w:val="clear" w:color="auto" w:fill="95B3D7" w:themeFill="accent1" w:themeFillTint="99"/>
            <w:vAlign w:val="center"/>
            <w:hideMark/>
          </w:tcPr>
          <w:p w:rsidR="004040AC" w:rsidRPr="003D7D05" w:rsidP="00FD7987" w14:paraId="43412631" w14:textId="77777777">
            <w:pPr>
              <w:jc w:val="center"/>
              <w:rPr>
                <w:rFonts w:eastAsiaTheme="minorHAnsi"/>
                <w:b/>
                <w:bCs/>
                <w:sz w:val="20"/>
                <w:szCs w:val="20"/>
              </w:rPr>
            </w:pPr>
            <w:r w:rsidRPr="003D7D05">
              <w:rPr>
                <w:rFonts w:eastAsiaTheme="minorHAnsi"/>
                <w:b/>
                <w:bCs/>
                <w:sz w:val="20"/>
                <w:szCs w:val="20"/>
              </w:rPr>
              <w:t>Number of Respondents (Mines)</w:t>
            </w:r>
          </w:p>
        </w:tc>
        <w:tc>
          <w:tcPr>
            <w:tcW w:w="1260" w:type="dxa"/>
            <w:shd w:val="clear" w:color="auto" w:fill="95B3D7" w:themeFill="accent1" w:themeFillTint="99"/>
            <w:vAlign w:val="center"/>
          </w:tcPr>
          <w:p w:rsidR="004040AC" w:rsidRPr="003D7D05" w:rsidP="00FD7987" w14:paraId="3562ED49" w14:textId="77777777">
            <w:pPr>
              <w:jc w:val="center"/>
              <w:rPr>
                <w:rFonts w:eastAsiaTheme="minorHAnsi"/>
                <w:b/>
                <w:bCs/>
                <w:sz w:val="20"/>
                <w:szCs w:val="20"/>
              </w:rPr>
            </w:pPr>
            <w:r w:rsidRPr="003D7D05">
              <w:rPr>
                <w:rFonts w:eastAsiaTheme="minorHAnsi"/>
                <w:b/>
                <w:bCs/>
                <w:sz w:val="20"/>
                <w:szCs w:val="20"/>
              </w:rPr>
              <w:t>Number of Responses per Respondent</w:t>
            </w:r>
          </w:p>
        </w:tc>
        <w:tc>
          <w:tcPr>
            <w:tcW w:w="1170" w:type="dxa"/>
            <w:shd w:val="clear" w:color="auto" w:fill="95B3D7" w:themeFill="accent1" w:themeFillTint="99"/>
            <w:vAlign w:val="center"/>
          </w:tcPr>
          <w:p w:rsidR="004040AC" w:rsidRPr="003D7D05" w:rsidP="00FD7987" w14:paraId="2F35C7F0" w14:textId="77777777">
            <w:pPr>
              <w:jc w:val="center"/>
              <w:rPr>
                <w:rFonts w:eastAsiaTheme="minorHAnsi"/>
                <w:b/>
                <w:bCs/>
                <w:sz w:val="20"/>
                <w:szCs w:val="20"/>
              </w:rPr>
            </w:pPr>
            <w:r w:rsidRPr="003D7D05">
              <w:rPr>
                <w:rFonts w:eastAsiaTheme="minorHAnsi"/>
                <w:b/>
                <w:bCs/>
                <w:sz w:val="20"/>
                <w:szCs w:val="20"/>
              </w:rPr>
              <w:t>Total Responses (Updates)</w:t>
            </w:r>
          </w:p>
        </w:tc>
        <w:tc>
          <w:tcPr>
            <w:tcW w:w="1260" w:type="dxa"/>
            <w:shd w:val="clear" w:color="auto" w:fill="95B3D7" w:themeFill="accent1" w:themeFillTint="99"/>
            <w:vAlign w:val="center"/>
          </w:tcPr>
          <w:p w:rsidR="004040AC" w:rsidRPr="003D7D05" w:rsidP="00FD7987" w14:paraId="3D44016D" w14:textId="77777777">
            <w:pPr>
              <w:jc w:val="center"/>
              <w:rPr>
                <w:rFonts w:eastAsiaTheme="minorHAnsi"/>
                <w:b/>
                <w:bCs/>
                <w:sz w:val="20"/>
                <w:szCs w:val="20"/>
              </w:rPr>
            </w:pPr>
            <w:r w:rsidRPr="003D7D05">
              <w:rPr>
                <w:rFonts w:eastAsiaTheme="minorHAnsi"/>
                <w:b/>
                <w:bCs/>
                <w:sz w:val="20"/>
                <w:szCs w:val="20"/>
              </w:rPr>
              <w:t>Average Burden (Hours)</w:t>
            </w:r>
          </w:p>
        </w:tc>
        <w:tc>
          <w:tcPr>
            <w:tcW w:w="990" w:type="dxa"/>
            <w:shd w:val="clear" w:color="auto" w:fill="95B3D7" w:themeFill="accent1" w:themeFillTint="99"/>
            <w:vAlign w:val="center"/>
            <w:hideMark/>
          </w:tcPr>
          <w:p w:rsidR="004040AC" w:rsidRPr="003D7D05" w:rsidP="00FD7987" w14:paraId="74F7981F" w14:textId="77777777">
            <w:pPr>
              <w:jc w:val="center"/>
              <w:rPr>
                <w:rFonts w:eastAsiaTheme="minorHAnsi"/>
                <w:b/>
                <w:bCs/>
                <w:sz w:val="20"/>
                <w:szCs w:val="20"/>
              </w:rPr>
            </w:pPr>
            <w:r w:rsidRPr="003D7D05">
              <w:rPr>
                <w:rFonts w:eastAsiaTheme="minorHAnsi"/>
                <w:b/>
                <w:bCs/>
                <w:sz w:val="20"/>
                <w:szCs w:val="20"/>
              </w:rPr>
              <w:t>Total Burden (Hours)</w:t>
            </w:r>
          </w:p>
        </w:tc>
        <w:tc>
          <w:tcPr>
            <w:tcW w:w="990" w:type="dxa"/>
            <w:shd w:val="clear" w:color="auto" w:fill="95B3D7" w:themeFill="accent1" w:themeFillTint="99"/>
            <w:vAlign w:val="center"/>
            <w:hideMark/>
          </w:tcPr>
          <w:p w:rsidR="004040AC" w:rsidRPr="003D7D05" w:rsidP="00FD7987" w14:paraId="5993E22F" w14:textId="77777777">
            <w:pPr>
              <w:jc w:val="center"/>
              <w:rPr>
                <w:rFonts w:eastAsiaTheme="minorHAnsi"/>
                <w:b/>
                <w:bCs/>
                <w:sz w:val="20"/>
                <w:szCs w:val="20"/>
              </w:rPr>
            </w:pPr>
            <w:r w:rsidRPr="003D7D05">
              <w:rPr>
                <w:rFonts w:eastAsiaTheme="minorHAnsi"/>
                <w:b/>
                <w:bCs/>
                <w:sz w:val="20"/>
                <w:szCs w:val="20"/>
              </w:rPr>
              <w:t>Hourly Wage Rate</w:t>
            </w:r>
          </w:p>
        </w:tc>
        <w:tc>
          <w:tcPr>
            <w:tcW w:w="1170" w:type="dxa"/>
            <w:shd w:val="clear" w:color="auto" w:fill="95B3D7" w:themeFill="accent1" w:themeFillTint="99"/>
            <w:vAlign w:val="center"/>
            <w:hideMark/>
          </w:tcPr>
          <w:p w:rsidR="004040AC" w:rsidRPr="003D7D05" w:rsidP="00FD7987" w14:paraId="195907E8" w14:textId="77777777">
            <w:pPr>
              <w:jc w:val="center"/>
              <w:rPr>
                <w:rFonts w:eastAsiaTheme="minorHAnsi"/>
                <w:b/>
                <w:bCs/>
                <w:sz w:val="20"/>
                <w:szCs w:val="20"/>
              </w:rPr>
            </w:pPr>
            <w:r w:rsidRPr="003D7D05">
              <w:rPr>
                <w:rFonts w:eastAsiaTheme="minorHAnsi"/>
                <w:b/>
                <w:bCs/>
                <w:sz w:val="20"/>
                <w:szCs w:val="20"/>
              </w:rPr>
              <w:t>Toal Burden Cost</w:t>
            </w:r>
          </w:p>
        </w:tc>
      </w:tr>
      <w:tr w14:paraId="0C27A9B3" w14:textId="77777777" w:rsidTr="00FD7987">
        <w:tblPrEx>
          <w:tblW w:w="9625" w:type="dxa"/>
          <w:tblLayout w:type="fixed"/>
          <w:tblLook w:val="04A0"/>
        </w:tblPrEx>
        <w:trPr>
          <w:trHeight w:val="363"/>
        </w:trPr>
        <w:tc>
          <w:tcPr>
            <w:tcW w:w="1435" w:type="dxa"/>
            <w:noWrap/>
            <w:hideMark/>
          </w:tcPr>
          <w:p w:rsidR="004040AC" w:rsidRPr="003D7D05" w:rsidP="00FD7987" w14:paraId="647F177A" w14:textId="77777777">
            <w:pPr>
              <w:rPr>
                <w:rFonts w:eastAsiaTheme="minorHAnsi"/>
                <w:bCs/>
                <w:sz w:val="20"/>
                <w:szCs w:val="20"/>
              </w:rPr>
            </w:pPr>
            <w:r w:rsidRPr="003D7D05">
              <w:rPr>
                <w:sz w:val="20"/>
                <w:szCs w:val="20"/>
              </w:rPr>
              <w:t>Updating Maps (Engineer)</w:t>
            </w:r>
          </w:p>
        </w:tc>
        <w:tc>
          <w:tcPr>
            <w:tcW w:w="1350" w:type="dxa"/>
            <w:noWrap/>
            <w:vAlign w:val="center"/>
          </w:tcPr>
          <w:p w:rsidR="004040AC" w:rsidRPr="003D7D05" w:rsidP="00FD7987" w14:paraId="7AB49E80" w14:textId="77777777">
            <w:pPr>
              <w:jc w:val="right"/>
              <w:rPr>
                <w:rFonts w:eastAsiaTheme="minorHAnsi"/>
                <w:bCs/>
                <w:sz w:val="20"/>
                <w:szCs w:val="20"/>
              </w:rPr>
            </w:pPr>
            <w:r w:rsidRPr="003D7D05">
              <w:rPr>
                <w:rFonts w:eastAsiaTheme="minorHAnsi"/>
                <w:bCs/>
                <w:sz w:val="20"/>
                <w:szCs w:val="20"/>
              </w:rPr>
              <w:t>148</w:t>
            </w:r>
          </w:p>
        </w:tc>
        <w:tc>
          <w:tcPr>
            <w:tcW w:w="1260" w:type="dxa"/>
            <w:vAlign w:val="center"/>
          </w:tcPr>
          <w:p w:rsidR="004040AC" w:rsidRPr="003D7D05" w:rsidP="00FD7987" w14:paraId="7E318603" w14:textId="77777777">
            <w:pPr>
              <w:jc w:val="right"/>
              <w:rPr>
                <w:rFonts w:eastAsiaTheme="minorHAnsi"/>
                <w:bCs/>
                <w:sz w:val="20"/>
                <w:szCs w:val="20"/>
              </w:rPr>
            </w:pPr>
            <w:r w:rsidRPr="003D7D05">
              <w:rPr>
                <w:rFonts w:eastAsiaTheme="minorHAnsi"/>
                <w:bCs/>
                <w:sz w:val="20"/>
                <w:szCs w:val="20"/>
              </w:rPr>
              <w:t>12</w:t>
            </w:r>
          </w:p>
        </w:tc>
        <w:tc>
          <w:tcPr>
            <w:tcW w:w="1170" w:type="dxa"/>
            <w:vAlign w:val="center"/>
          </w:tcPr>
          <w:p w:rsidR="004040AC" w:rsidRPr="003D7D05" w:rsidP="00FD7987" w14:paraId="4CEF287C" w14:textId="77777777">
            <w:pPr>
              <w:jc w:val="right"/>
              <w:rPr>
                <w:rFonts w:eastAsiaTheme="minorHAnsi"/>
                <w:bCs/>
                <w:sz w:val="20"/>
                <w:szCs w:val="20"/>
              </w:rPr>
            </w:pPr>
            <w:r w:rsidRPr="003D7D05">
              <w:rPr>
                <w:rFonts w:eastAsiaTheme="minorHAnsi"/>
                <w:bCs/>
                <w:sz w:val="20"/>
                <w:szCs w:val="20"/>
              </w:rPr>
              <w:t>1,776</w:t>
            </w:r>
          </w:p>
        </w:tc>
        <w:tc>
          <w:tcPr>
            <w:tcW w:w="1260" w:type="dxa"/>
            <w:vAlign w:val="center"/>
          </w:tcPr>
          <w:p w:rsidR="004040AC" w:rsidRPr="003D7D05" w:rsidP="00FD7987" w14:paraId="0DF0FF95" w14:textId="77777777">
            <w:pPr>
              <w:jc w:val="right"/>
              <w:rPr>
                <w:rFonts w:eastAsiaTheme="minorHAnsi"/>
                <w:bCs/>
                <w:sz w:val="20"/>
                <w:szCs w:val="20"/>
              </w:rPr>
            </w:pPr>
            <w:r w:rsidRPr="003D7D05">
              <w:rPr>
                <w:rFonts w:eastAsiaTheme="minorHAnsi"/>
                <w:bCs/>
                <w:sz w:val="20"/>
                <w:szCs w:val="20"/>
              </w:rPr>
              <w:t>0.08</w:t>
            </w:r>
          </w:p>
        </w:tc>
        <w:tc>
          <w:tcPr>
            <w:tcW w:w="990" w:type="dxa"/>
            <w:noWrap/>
            <w:vAlign w:val="center"/>
          </w:tcPr>
          <w:p w:rsidR="004040AC" w:rsidRPr="003D7D05" w:rsidP="00FD7987" w14:paraId="7189A522" w14:textId="77777777">
            <w:pPr>
              <w:jc w:val="right"/>
              <w:rPr>
                <w:rFonts w:eastAsiaTheme="minorHAnsi"/>
                <w:bCs/>
                <w:sz w:val="20"/>
                <w:szCs w:val="20"/>
              </w:rPr>
            </w:pPr>
            <w:r w:rsidRPr="003D7D05">
              <w:rPr>
                <w:rFonts w:eastAsiaTheme="minorHAnsi"/>
                <w:bCs/>
                <w:sz w:val="20"/>
                <w:szCs w:val="20"/>
              </w:rPr>
              <w:t>148.00</w:t>
            </w:r>
          </w:p>
        </w:tc>
        <w:tc>
          <w:tcPr>
            <w:tcW w:w="990" w:type="dxa"/>
            <w:noWrap/>
            <w:vAlign w:val="center"/>
            <w:hideMark/>
          </w:tcPr>
          <w:p w:rsidR="004040AC" w:rsidRPr="003D7D05" w:rsidP="00FD7987" w14:paraId="4890F76C" w14:textId="77777777">
            <w:pPr>
              <w:jc w:val="right"/>
              <w:rPr>
                <w:rFonts w:eastAsiaTheme="minorHAnsi"/>
                <w:bCs/>
                <w:sz w:val="20"/>
                <w:szCs w:val="20"/>
              </w:rPr>
            </w:pPr>
            <w:r w:rsidRPr="003D7D05">
              <w:rPr>
                <w:rFonts w:eastAsiaTheme="minorHAnsi"/>
                <w:bCs/>
                <w:sz w:val="20"/>
                <w:szCs w:val="20"/>
              </w:rPr>
              <w:t>$89.53</w:t>
            </w:r>
          </w:p>
        </w:tc>
        <w:tc>
          <w:tcPr>
            <w:tcW w:w="1170" w:type="dxa"/>
            <w:noWrap/>
            <w:vAlign w:val="center"/>
            <w:hideMark/>
          </w:tcPr>
          <w:p w:rsidR="004040AC" w:rsidRPr="003D7D05" w:rsidP="00FD7987" w14:paraId="7C70BDA0" w14:textId="77777777">
            <w:pPr>
              <w:jc w:val="right"/>
              <w:rPr>
                <w:rFonts w:eastAsiaTheme="minorHAnsi"/>
                <w:bCs/>
                <w:sz w:val="20"/>
                <w:szCs w:val="20"/>
              </w:rPr>
            </w:pPr>
            <w:r w:rsidRPr="003D7D05">
              <w:rPr>
                <w:rFonts w:eastAsiaTheme="minorHAnsi"/>
                <w:bCs/>
                <w:sz w:val="20"/>
                <w:szCs w:val="20"/>
              </w:rPr>
              <w:t>$13,250.96</w:t>
            </w:r>
          </w:p>
        </w:tc>
      </w:tr>
      <w:tr w14:paraId="4609D91A" w14:textId="77777777" w:rsidTr="00FD7987">
        <w:tblPrEx>
          <w:tblW w:w="9625" w:type="dxa"/>
          <w:tblLayout w:type="fixed"/>
          <w:tblLook w:val="04A0"/>
        </w:tblPrEx>
        <w:trPr>
          <w:trHeight w:val="363"/>
        </w:trPr>
        <w:tc>
          <w:tcPr>
            <w:tcW w:w="1435" w:type="dxa"/>
            <w:shd w:val="clear" w:color="auto" w:fill="auto"/>
            <w:noWrap/>
            <w:vAlign w:val="center"/>
            <w:hideMark/>
          </w:tcPr>
          <w:p w:rsidR="004040AC" w:rsidRPr="003D7D05" w:rsidP="00FD7987" w14:paraId="68A5F431" w14:textId="77777777">
            <w:pPr>
              <w:rPr>
                <w:rFonts w:eastAsiaTheme="minorHAnsi"/>
                <w:b/>
                <w:bCs/>
                <w:i/>
                <w:iCs/>
                <w:sz w:val="20"/>
                <w:szCs w:val="20"/>
              </w:rPr>
            </w:pPr>
            <w:r w:rsidRPr="003D7D05">
              <w:rPr>
                <w:rFonts w:eastAsiaTheme="minorHAnsi"/>
                <w:b/>
                <w:bCs/>
                <w:i/>
                <w:iCs/>
                <w:sz w:val="20"/>
                <w:szCs w:val="20"/>
              </w:rPr>
              <w:t>Subtotal (Rounded)</w:t>
            </w:r>
          </w:p>
        </w:tc>
        <w:tc>
          <w:tcPr>
            <w:tcW w:w="1350" w:type="dxa"/>
            <w:shd w:val="clear" w:color="auto" w:fill="auto"/>
            <w:vAlign w:val="center"/>
          </w:tcPr>
          <w:p w:rsidR="004040AC" w:rsidRPr="003D7D05" w:rsidP="00FD7987" w14:paraId="4195F689" w14:textId="77777777">
            <w:pPr>
              <w:jc w:val="right"/>
              <w:rPr>
                <w:rFonts w:eastAsiaTheme="minorHAnsi"/>
                <w:b/>
                <w:bCs/>
                <w:i/>
                <w:iCs/>
                <w:sz w:val="20"/>
                <w:szCs w:val="20"/>
              </w:rPr>
            </w:pPr>
            <w:r w:rsidRPr="003D7D05">
              <w:rPr>
                <w:rFonts w:eastAsiaTheme="minorHAnsi"/>
                <w:b/>
                <w:bCs/>
                <w:i/>
                <w:iCs/>
                <w:sz w:val="20"/>
                <w:szCs w:val="20"/>
              </w:rPr>
              <w:t>148</w:t>
            </w:r>
          </w:p>
        </w:tc>
        <w:tc>
          <w:tcPr>
            <w:tcW w:w="1260" w:type="dxa"/>
            <w:shd w:val="clear" w:color="auto" w:fill="000000" w:themeFill="text1"/>
            <w:vAlign w:val="center"/>
          </w:tcPr>
          <w:p w:rsidR="004040AC" w:rsidRPr="003D7D05" w:rsidP="00FD7987" w14:paraId="311FAD7A" w14:textId="77777777">
            <w:pPr>
              <w:jc w:val="right"/>
              <w:rPr>
                <w:rFonts w:eastAsiaTheme="minorHAnsi"/>
                <w:b/>
                <w:bCs/>
                <w:i/>
                <w:iCs/>
                <w:sz w:val="20"/>
                <w:szCs w:val="20"/>
              </w:rPr>
            </w:pPr>
          </w:p>
        </w:tc>
        <w:tc>
          <w:tcPr>
            <w:tcW w:w="1170" w:type="dxa"/>
            <w:shd w:val="clear" w:color="auto" w:fill="auto"/>
            <w:vAlign w:val="center"/>
          </w:tcPr>
          <w:p w:rsidR="004040AC" w:rsidRPr="003D7D05" w:rsidP="00FD7987" w14:paraId="274EF4A4" w14:textId="77777777">
            <w:pPr>
              <w:jc w:val="right"/>
              <w:rPr>
                <w:rFonts w:eastAsiaTheme="minorHAnsi"/>
                <w:b/>
                <w:bCs/>
                <w:i/>
                <w:iCs/>
                <w:sz w:val="20"/>
                <w:szCs w:val="20"/>
              </w:rPr>
            </w:pPr>
            <w:r w:rsidRPr="003D7D05">
              <w:rPr>
                <w:rFonts w:eastAsiaTheme="minorHAnsi"/>
                <w:b/>
                <w:bCs/>
                <w:i/>
                <w:iCs/>
                <w:sz w:val="20"/>
                <w:szCs w:val="20"/>
              </w:rPr>
              <w:t>1,766</w:t>
            </w:r>
          </w:p>
        </w:tc>
        <w:tc>
          <w:tcPr>
            <w:tcW w:w="1260" w:type="dxa"/>
            <w:shd w:val="clear" w:color="auto" w:fill="000000" w:themeFill="text1"/>
            <w:vAlign w:val="center"/>
          </w:tcPr>
          <w:p w:rsidR="004040AC" w:rsidRPr="003D7D05" w:rsidP="00FD7987" w14:paraId="1B0C10D2" w14:textId="77777777">
            <w:pPr>
              <w:jc w:val="right"/>
              <w:rPr>
                <w:rFonts w:eastAsiaTheme="minorHAnsi"/>
                <w:b/>
                <w:bCs/>
                <w:i/>
                <w:iCs/>
                <w:sz w:val="20"/>
                <w:szCs w:val="20"/>
              </w:rPr>
            </w:pPr>
          </w:p>
        </w:tc>
        <w:tc>
          <w:tcPr>
            <w:tcW w:w="990" w:type="dxa"/>
            <w:shd w:val="clear" w:color="auto" w:fill="auto"/>
            <w:vAlign w:val="center"/>
          </w:tcPr>
          <w:p w:rsidR="004040AC" w:rsidRPr="003D7D05" w:rsidP="00FD7987" w14:paraId="38EE0894" w14:textId="77777777">
            <w:pPr>
              <w:jc w:val="right"/>
              <w:rPr>
                <w:rFonts w:eastAsiaTheme="minorHAnsi"/>
                <w:b/>
                <w:bCs/>
                <w:i/>
                <w:iCs/>
                <w:sz w:val="20"/>
                <w:szCs w:val="20"/>
              </w:rPr>
            </w:pPr>
            <w:r w:rsidRPr="003D7D05">
              <w:rPr>
                <w:rFonts w:eastAsiaTheme="minorHAnsi"/>
                <w:b/>
                <w:bCs/>
                <w:i/>
                <w:iCs/>
                <w:sz w:val="20"/>
                <w:szCs w:val="20"/>
              </w:rPr>
              <w:t>148</w:t>
            </w:r>
          </w:p>
        </w:tc>
        <w:tc>
          <w:tcPr>
            <w:tcW w:w="990" w:type="dxa"/>
            <w:shd w:val="clear" w:color="auto" w:fill="000000" w:themeFill="text1"/>
            <w:noWrap/>
            <w:vAlign w:val="center"/>
            <w:hideMark/>
          </w:tcPr>
          <w:p w:rsidR="004040AC" w:rsidRPr="003D7D05" w:rsidP="00FD7987" w14:paraId="1ECBE9C3" w14:textId="77777777">
            <w:pPr>
              <w:jc w:val="right"/>
              <w:rPr>
                <w:rFonts w:eastAsiaTheme="minorHAnsi"/>
                <w:b/>
                <w:bCs/>
                <w:i/>
                <w:iCs/>
                <w:sz w:val="20"/>
                <w:szCs w:val="20"/>
              </w:rPr>
            </w:pPr>
          </w:p>
        </w:tc>
        <w:tc>
          <w:tcPr>
            <w:tcW w:w="1170" w:type="dxa"/>
            <w:shd w:val="clear" w:color="auto" w:fill="auto"/>
            <w:noWrap/>
            <w:vAlign w:val="center"/>
            <w:hideMark/>
          </w:tcPr>
          <w:p w:rsidR="004040AC" w:rsidRPr="003D7D05" w:rsidP="00FD7987" w14:paraId="0FD3A912" w14:textId="77777777">
            <w:pPr>
              <w:jc w:val="right"/>
              <w:rPr>
                <w:rFonts w:eastAsiaTheme="minorHAnsi"/>
                <w:b/>
                <w:bCs/>
                <w:i/>
                <w:iCs/>
                <w:sz w:val="20"/>
                <w:szCs w:val="20"/>
              </w:rPr>
            </w:pPr>
            <w:r w:rsidRPr="003D7D05">
              <w:rPr>
                <w:rFonts w:eastAsiaTheme="minorHAnsi"/>
                <w:b/>
                <w:bCs/>
                <w:i/>
                <w:iCs/>
                <w:sz w:val="20"/>
                <w:szCs w:val="20"/>
              </w:rPr>
              <w:t>$13,251</w:t>
            </w:r>
          </w:p>
        </w:tc>
      </w:tr>
    </w:tbl>
    <w:p w:rsidR="004040AC" w:rsidRPr="003D7D05" w:rsidP="004040AC" w14:paraId="02DA91D1" w14:textId="77777777">
      <w:pPr>
        <w:pStyle w:val="Default"/>
        <w:rPr>
          <w:rFonts w:ascii="Times New Roman" w:hAnsi="Times New Roman" w:cs="Times New Roman"/>
        </w:rPr>
      </w:pPr>
    </w:p>
    <w:p w:rsidR="004040AC" w:rsidRPr="003D7D05" w:rsidP="004040AC" w14:paraId="1618AA76" w14:textId="77777777">
      <w:pPr>
        <w:pStyle w:val="ListParagraph"/>
        <w:numPr>
          <w:ilvl w:val="0"/>
          <w:numId w:val="12"/>
        </w:numPr>
        <w:autoSpaceDE w:val="0"/>
        <w:autoSpaceDN w:val="0"/>
        <w:adjustRightInd w:val="0"/>
        <w:rPr>
          <w:b/>
          <w:bCs/>
          <w:color w:val="000000"/>
        </w:rPr>
      </w:pPr>
      <w:r w:rsidRPr="003D7D05">
        <w:rPr>
          <w:b/>
          <w:bCs/>
          <w:color w:val="000000"/>
        </w:rPr>
        <w:t>Functional Testing the Warning Signals and Calibrating Sensors in Automatic Fire Sensor and Warning Device Systems</w:t>
      </w:r>
    </w:p>
    <w:p w:rsidR="004040AC" w:rsidRPr="003D7D05" w:rsidP="004040AC" w14:paraId="4B5038CD" w14:textId="77777777">
      <w:pPr>
        <w:pStyle w:val="Default"/>
        <w:rPr>
          <w:rFonts w:ascii="Times New Roman" w:hAnsi="Times New Roman" w:cs="Times New Roman"/>
        </w:rPr>
      </w:pPr>
    </w:p>
    <w:p w:rsidR="004040AC" w:rsidRPr="003D7D05" w:rsidP="004040AC" w14:paraId="5F9FE956" w14:textId="0ACF9FC8">
      <w:pPr>
        <w:autoSpaceDE w:val="0"/>
        <w:autoSpaceDN w:val="0"/>
        <w:adjustRightInd w:val="0"/>
        <w:rPr>
          <w:color w:val="000000"/>
        </w:rPr>
      </w:pPr>
      <w:r w:rsidRPr="003D7D05">
        <w:rPr>
          <w:color w:val="000000"/>
        </w:rPr>
        <w:t xml:space="preserve">Under 30 CFR 75.1103-8(a), automatic fire sensor and warning device systems must be examined at least once each shift when belts are operated as part of a production shift. A functional test of the warning signals must be made at least once every seven days. Examination and maintenance of </w:t>
      </w:r>
      <w:r w:rsidR="00604531">
        <w:rPr>
          <w:color w:val="000000"/>
        </w:rPr>
        <w:t>the</w:t>
      </w:r>
      <w:r w:rsidRPr="003D7D05" w:rsidR="00604531">
        <w:rPr>
          <w:color w:val="000000"/>
        </w:rPr>
        <w:t xml:space="preserve"> </w:t>
      </w:r>
      <w:r w:rsidRPr="003D7D05">
        <w:rPr>
          <w:color w:val="000000"/>
        </w:rPr>
        <w:t xml:space="preserve">system must </w:t>
      </w:r>
      <w:r w:rsidRPr="003D7D05">
        <w:rPr>
          <w:color w:val="000000"/>
        </w:rPr>
        <w:t>be</w:t>
      </w:r>
      <w:r w:rsidRPr="003D7D05">
        <w:rPr>
          <w:color w:val="000000"/>
        </w:rPr>
        <w:t xml:space="preserve"> by a qualified person.</w:t>
      </w:r>
    </w:p>
    <w:p w:rsidR="004040AC" w:rsidRPr="003D7D05" w:rsidP="004040AC" w14:paraId="14C7726B" w14:textId="77777777">
      <w:pPr>
        <w:autoSpaceDE w:val="0"/>
        <w:autoSpaceDN w:val="0"/>
        <w:adjustRightInd w:val="0"/>
        <w:rPr>
          <w:color w:val="000000"/>
        </w:rPr>
      </w:pPr>
    </w:p>
    <w:p w:rsidR="004040AC" w:rsidRPr="003D7D05" w:rsidP="004040AC" w14:paraId="427D351C" w14:textId="77777777">
      <w:pPr>
        <w:autoSpaceDE w:val="0"/>
        <w:autoSpaceDN w:val="0"/>
        <w:adjustRightInd w:val="0"/>
        <w:rPr>
          <w:color w:val="000000"/>
        </w:rPr>
      </w:pPr>
      <w:r w:rsidRPr="003D7D05">
        <w:rPr>
          <w:color w:val="000000"/>
        </w:rPr>
        <w:t>Under 30 CFR 75.1103-8(c), sensors must be calibrated in accordance with the manufacturer's calibration instructions at intervals not to exceed 31 days. A record of the sensor calibrations must be maintained by the operator and kept for a period of one year.</w:t>
      </w:r>
    </w:p>
    <w:p w:rsidR="004040AC" w:rsidRPr="003D7D05" w:rsidP="004040AC" w14:paraId="586B3C87" w14:textId="77777777">
      <w:pPr>
        <w:autoSpaceDE w:val="0"/>
        <w:autoSpaceDN w:val="0"/>
        <w:adjustRightInd w:val="0"/>
        <w:rPr>
          <w:color w:val="000000"/>
        </w:rPr>
      </w:pPr>
    </w:p>
    <w:p w:rsidR="004040AC" w:rsidRPr="003D7D05" w:rsidP="004040AC" w14:paraId="24FDDA37" w14:textId="77777777">
      <w:pPr>
        <w:pStyle w:val="Default"/>
        <w:rPr>
          <w:rFonts w:ascii="Times New Roman" w:hAnsi="Times New Roman" w:cs="Times New Roman"/>
        </w:rPr>
      </w:pPr>
      <w:r w:rsidRPr="003D7D05">
        <w:rPr>
          <w:rFonts w:ascii="Times New Roman" w:hAnsi="Times New Roman" w:cs="Times New Roman"/>
        </w:rPr>
        <w:t xml:space="preserve">MSHA assumes that there are 148 active underground coal </w:t>
      </w:r>
      <w:r w:rsidRPr="003D7D05">
        <w:rPr>
          <w:rFonts w:ascii="Times New Roman" w:hAnsi="Times New Roman" w:cs="Times New Roman"/>
        </w:rPr>
        <w:t>mines</w:t>
      </w:r>
      <w:r w:rsidRPr="003D7D05">
        <w:rPr>
          <w:rFonts w:ascii="Times New Roman" w:hAnsi="Times New Roman" w:cs="Times New Roman"/>
        </w:rPr>
        <w:t xml:space="preserve"> and each mine is equipped with an average of 4 automatic fire </w:t>
      </w:r>
      <w:r w:rsidRPr="003D7D05">
        <w:rPr>
          <w:rFonts w:ascii="Times New Roman" w:hAnsi="Times New Roman" w:cs="Times New Roman"/>
        </w:rPr>
        <w:t>sensor</w:t>
      </w:r>
      <w:r w:rsidRPr="003D7D05">
        <w:rPr>
          <w:rFonts w:ascii="Times New Roman" w:hAnsi="Times New Roman" w:cs="Times New Roman"/>
        </w:rPr>
        <w:t xml:space="preserve"> and warning device systems. MSHA further assumes that each system must undergo a functional test weekly, resulting in 30,784 test records (= 148 mines X 4 systems X 52 weeks). MSHA estimates that it takes a mine supervisor, earning $80.89 per hour, approximately 15 minutes to conduct a functional test of the automated fire sensor system and approximately 3 minutes to certify the weekly test records.</w:t>
      </w:r>
    </w:p>
    <w:p w:rsidR="004040AC" w:rsidRPr="003D7D05" w:rsidP="004040AC" w14:paraId="39A93B49" w14:textId="77777777">
      <w:pPr>
        <w:pStyle w:val="Default"/>
        <w:rPr>
          <w:rFonts w:ascii="Times New Roman" w:hAnsi="Times New Roman" w:cs="Times New Roman"/>
        </w:rPr>
      </w:pPr>
    </w:p>
    <w:p w:rsidR="004040AC" w:rsidRPr="003D7D05" w:rsidP="004040AC" w14:paraId="2C54280D" w14:textId="77777777">
      <w:pPr>
        <w:pStyle w:val="Default"/>
        <w:rPr>
          <w:rFonts w:ascii="Times New Roman" w:hAnsi="Times New Roman" w:cs="Times New Roman"/>
        </w:rPr>
      </w:pPr>
      <w:r w:rsidRPr="003D7D05">
        <w:rPr>
          <w:rFonts w:ascii="Times New Roman" w:hAnsi="Times New Roman" w:cs="Times New Roman"/>
        </w:rPr>
        <w:t xml:space="preserve">MSHA assumes that each of the 148 active underground coal mines has an average of 47 automatic fire sensors, for a total of 6,956 sensors (= 148 mines X 47 sensors). MSHA further assumes that each sensor will be calibrated monthly, resulting in 83,472 records of sensor calibration (= 6,956 sensors X 12 months). MSHA estimates that it will take a supervisor, earning $80.98 per hour, approximately 1 minute to make a calibration record. </w:t>
      </w:r>
    </w:p>
    <w:p w:rsidR="004040AC" w:rsidRPr="003D7D05" w:rsidP="004040AC" w14:paraId="33914DF8" w14:textId="77777777">
      <w:pPr>
        <w:pStyle w:val="Default"/>
        <w:rPr>
          <w:rFonts w:ascii="Times New Roman" w:hAnsi="Times New Roman" w:cs="Times New Roman"/>
        </w:rPr>
      </w:pPr>
    </w:p>
    <w:p w:rsidR="004040AC" w:rsidRPr="003D7D05" w:rsidP="004040AC" w14:paraId="6868F55D" w14:textId="77777777">
      <w:pPr>
        <w:rPr>
          <w:b/>
          <w:bCs/>
        </w:rPr>
      </w:pPr>
      <w:r w:rsidRPr="003D7D05">
        <w:rPr>
          <w:b/>
          <w:bCs/>
        </w:rPr>
        <w:br w:type="page"/>
      </w:r>
    </w:p>
    <w:p w:rsidR="004040AC" w:rsidRPr="003D7D05" w:rsidP="004040AC" w14:paraId="1D99DB8F" w14:textId="77777777">
      <w:pPr>
        <w:autoSpaceDE w:val="0"/>
        <w:autoSpaceDN w:val="0"/>
        <w:adjustRightInd w:val="0"/>
        <w:rPr>
          <w:b/>
          <w:bCs/>
          <w:color w:val="000000"/>
        </w:rPr>
      </w:pPr>
      <w:r w:rsidRPr="003D7D05">
        <w:rPr>
          <w:b/>
          <w:bCs/>
        </w:rPr>
        <w:t>Table 12-4.</w:t>
      </w:r>
      <w:r w:rsidRPr="003D7D05">
        <w:rPr>
          <w:b/>
          <w:bCs/>
          <w:color w:val="000000"/>
        </w:rPr>
        <w:t xml:space="preserve"> Estimated Annual Respondent Hour and Cost Burden, Functional Testing the Warning Signals and Calibrating Sensors in Automatic Fire Sensor and Warning Device Systems (30 CFR 75.1103-8)</w:t>
      </w:r>
    </w:p>
    <w:tbl>
      <w:tblPr>
        <w:tblStyle w:val="TableGrid"/>
        <w:tblW w:w="9715" w:type="dxa"/>
        <w:tblLayout w:type="fixed"/>
        <w:tblLook w:val="04A0"/>
      </w:tblPr>
      <w:tblGrid>
        <w:gridCol w:w="1435"/>
        <w:gridCol w:w="1350"/>
        <w:gridCol w:w="1260"/>
        <w:gridCol w:w="1170"/>
        <w:gridCol w:w="1260"/>
        <w:gridCol w:w="990"/>
        <w:gridCol w:w="990"/>
        <w:gridCol w:w="1260"/>
      </w:tblGrid>
      <w:tr w14:paraId="6E137F7B" w14:textId="77777777" w:rsidTr="00FD7987">
        <w:tblPrEx>
          <w:tblW w:w="9715" w:type="dxa"/>
          <w:tblLayout w:type="fixed"/>
          <w:tblLook w:val="04A0"/>
        </w:tblPrEx>
        <w:trPr>
          <w:trHeight w:val="747"/>
        </w:trPr>
        <w:tc>
          <w:tcPr>
            <w:tcW w:w="1435" w:type="dxa"/>
            <w:shd w:val="clear" w:color="auto" w:fill="95B3D7" w:themeFill="accent1" w:themeFillTint="99"/>
            <w:vAlign w:val="center"/>
            <w:hideMark/>
          </w:tcPr>
          <w:p w:rsidR="004040AC" w:rsidRPr="003D7D05" w:rsidP="00FD7987" w14:paraId="3288D092" w14:textId="77777777">
            <w:pPr>
              <w:jc w:val="center"/>
              <w:rPr>
                <w:rFonts w:eastAsiaTheme="minorHAnsi"/>
                <w:b/>
                <w:bCs/>
                <w:sz w:val="20"/>
                <w:szCs w:val="20"/>
              </w:rPr>
            </w:pPr>
            <w:r w:rsidRPr="003D7D05">
              <w:rPr>
                <w:b/>
                <w:bCs/>
                <w:sz w:val="20"/>
                <w:szCs w:val="20"/>
              </w:rPr>
              <w:t>Activity (Occupation</w:t>
            </w:r>
            <w:r w:rsidRPr="003D7D05">
              <w:rPr>
                <w:sz w:val="20"/>
                <w:szCs w:val="20"/>
              </w:rPr>
              <w:t>)</w:t>
            </w:r>
          </w:p>
        </w:tc>
        <w:tc>
          <w:tcPr>
            <w:tcW w:w="1350" w:type="dxa"/>
            <w:shd w:val="clear" w:color="auto" w:fill="95B3D7" w:themeFill="accent1" w:themeFillTint="99"/>
            <w:vAlign w:val="center"/>
            <w:hideMark/>
          </w:tcPr>
          <w:p w:rsidR="004040AC" w:rsidRPr="003D7D05" w:rsidP="00FD7987" w14:paraId="45B63FCA" w14:textId="77777777">
            <w:pPr>
              <w:jc w:val="center"/>
              <w:rPr>
                <w:rFonts w:eastAsiaTheme="minorHAnsi"/>
                <w:b/>
                <w:bCs/>
                <w:sz w:val="20"/>
                <w:szCs w:val="20"/>
              </w:rPr>
            </w:pPr>
            <w:r w:rsidRPr="003D7D05">
              <w:rPr>
                <w:rFonts w:eastAsiaTheme="minorHAnsi"/>
                <w:b/>
                <w:bCs/>
                <w:sz w:val="20"/>
                <w:szCs w:val="20"/>
              </w:rPr>
              <w:t>Number of Respondents (Mines)</w:t>
            </w:r>
          </w:p>
        </w:tc>
        <w:tc>
          <w:tcPr>
            <w:tcW w:w="1260" w:type="dxa"/>
            <w:shd w:val="clear" w:color="auto" w:fill="95B3D7" w:themeFill="accent1" w:themeFillTint="99"/>
            <w:vAlign w:val="center"/>
          </w:tcPr>
          <w:p w:rsidR="004040AC" w:rsidRPr="003D7D05" w:rsidP="00FD7987" w14:paraId="7BB9FE8C" w14:textId="77777777">
            <w:pPr>
              <w:jc w:val="center"/>
              <w:rPr>
                <w:rFonts w:eastAsiaTheme="minorHAnsi"/>
                <w:b/>
                <w:bCs/>
                <w:sz w:val="20"/>
                <w:szCs w:val="20"/>
              </w:rPr>
            </w:pPr>
            <w:r w:rsidRPr="003D7D05">
              <w:rPr>
                <w:rFonts w:eastAsiaTheme="minorHAnsi"/>
                <w:b/>
                <w:bCs/>
                <w:sz w:val="20"/>
                <w:szCs w:val="20"/>
              </w:rPr>
              <w:t>Number of Responses per Respondent</w:t>
            </w:r>
          </w:p>
        </w:tc>
        <w:tc>
          <w:tcPr>
            <w:tcW w:w="1170" w:type="dxa"/>
            <w:shd w:val="clear" w:color="auto" w:fill="95B3D7" w:themeFill="accent1" w:themeFillTint="99"/>
            <w:vAlign w:val="center"/>
          </w:tcPr>
          <w:p w:rsidR="004040AC" w:rsidRPr="003D7D05" w:rsidP="00FD7987" w14:paraId="29673CB8" w14:textId="77777777">
            <w:pPr>
              <w:jc w:val="center"/>
              <w:rPr>
                <w:rFonts w:eastAsiaTheme="minorHAnsi"/>
                <w:b/>
                <w:bCs/>
                <w:sz w:val="20"/>
                <w:szCs w:val="20"/>
              </w:rPr>
            </w:pPr>
            <w:r w:rsidRPr="003D7D05">
              <w:rPr>
                <w:rFonts w:eastAsiaTheme="minorHAnsi"/>
                <w:b/>
                <w:bCs/>
                <w:sz w:val="20"/>
                <w:szCs w:val="20"/>
              </w:rPr>
              <w:t>Total Responses (Records)</w:t>
            </w:r>
          </w:p>
        </w:tc>
        <w:tc>
          <w:tcPr>
            <w:tcW w:w="1260" w:type="dxa"/>
            <w:shd w:val="clear" w:color="auto" w:fill="95B3D7" w:themeFill="accent1" w:themeFillTint="99"/>
            <w:vAlign w:val="center"/>
          </w:tcPr>
          <w:p w:rsidR="004040AC" w:rsidRPr="003D7D05" w:rsidP="00FD7987" w14:paraId="78911C0F" w14:textId="77777777">
            <w:pPr>
              <w:jc w:val="center"/>
              <w:rPr>
                <w:rFonts w:eastAsiaTheme="minorHAnsi"/>
                <w:b/>
                <w:bCs/>
                <w:sz w:val="20"/>
                <w:szCs w:val="20"/>
              </w:rPr>
            </w:pPr>
            <w:r w:rsidRPr="003D7D05">
              <w:rPr>
                <w:rFonts w:eastAsiaTheme="minorHAnsi"/>
                <w:b/>
                <w:bCs/>
                <w:sz w:val="20"/>
                <w:szCs w:val="20"/>
              </w:rPr>
              <w:t>Average Burden (Hours)</w:t>
            </w:r>
          </w:p>
        </w:tc>
        <w:tc>
          <w:tcPr>
            <w:tcW w:w="990" w:type="dxa"/>
            <w:shd w:val="clear" w:color="auto" w:fill="95B3D7" w:themeFill="accent1" w:themeFillTint="99"/>
            <w:vAlign w:val="center"/>
            <w:hideMark/>
          </w:tcPr>
          <w:p w:rsidR="004040AC" w:rsidRPr="003D7D05" w:rsidP="00FD7987" w14:paraId="71EE54A5" w14:textId="77777777">
            <w:pPr>
              <w:jc w:val="center"/>
              <w:rPr>
                <w:rFonts w:eastAsiaTheme="minorHAnsi"/>
                <w:b/>
                <w:bCs/>
                <w:sz w:val="20"/>
                <w:szCs w:val="20"/>
              </w:rPr>
            </w:pPr>
            <w:r w:rsidRPr="003D7D05">
              <w:rPr>
                <w:rFonts w:eastAsiaTheme="minorHAnsi"/>
                <w:b/>
                <w:bCs/>
                <w:sz w:val="20"/>
                <w:szCs w:val="20"/>
              </w:rPr>
              <w:t>Total Burden (Hours)</w:t>
            </w:r>
          </w:p>
        </w:tc>
        <w:tc>
          <w:tcPr>
            <w:tcW w:w="990" w:type="dxa"/>
            <w:shd w:val="clear" w:color="auto" w:fill="95B3D7" w:themeFill="accent1" w:themeFillTint="99"/>
            <w:vAlign w:val="center"/>
            <w:hideMark/>
          </w:tcPr>
          <w:p w:rsidR="004040AC" w:rsidRPr="003D7D05" w:rsidP="00FD7987" w14:paraId="5F323F0B" w14:textId="77777777">
            <w:pPr>
              <w:jc w:val="center"/>
              <w:rPr>
                <w:rFonts w:eastAsiaTheme="minorHAnsi"/>
                <w:b/>
                <w:bCs/>
                <w:sz w:val="20"/>
                <w:szCs w:val="20"/>
              </w:rPr>
            </w:pPr>
            <w:r w:rsidRPr="003D7D05">
              <w:rPr>
                <w:rFonts w:eastAsiaTheme="minorHAnsi"/>
                <w:b/>
                <w:bCs/>
                <w:sz w:val="20"/>
                <w:szCs w:val="20"/>
              </w:rPr>
              <w:t>Hourly Wage Rate</w:t>
            </w:r>
          </w:p>
        </w:tc>
        <w:tc>
          <w:tcPr>
            <w:tcW w:w="1260" w:type="dxa"/>
            <w:shd w:val="clear" w:color="auto" w:fill="95B3D7" w:themeFill="accent1" w:themeFillTint="99"/>
            <w:vAlign w:val="center"/>
            <w:hideMark/>
          </w:tcPr>
          <w:p w:rsidR="004040AC" w:rsidRPr="003D7D05" w:rsidP="00FD7987" w14:paraId="25A961A3" w14:textId="77777777">
            <w:pPr>
              <w:jc w:val="center"/>
              <w:rPr>
                <w:rFonts w:eastAsiaTheme="minorHAnsi"/>
                <w:b/>
                <w:bCs/>
                <w:sz w:val="20"/>
                <w:szCs w:val="20"/>
              </w:rPr>
            </w:pPr>
            <w:r w:rsidRPr="003D7D05">
              <w:rPr>
                <w:rFonts w:eastAsiaTheme="minorHAnsi"/>
                <w:b/>
                <w:bCs/>
                <w:sz w:val="20"/>
                <w:szCs w:val="20"/>
              </w:rPr>
              <w:t>Toal Burden Cost</w:t>
            </w:r>
          </w:p>
        </w:tc>
      </w:tr>
      <w:tr w14:paraId="13ECD398" w14:textId="77777777" w:rsidTr="00FD7987">
        <w:tblPrEx>
          <w:tblW w:w="9715" w:type="dxa"/>
          <w:tblLayout w:type="fixed"/>
          <w:tblLook w:val="04A0"/>
        </w:tblPrEx>
        <w:trPr>
          <w:trHeight w:val="363"/>
        </w:trPr>
        <w:tc>
          <w:tcPr>
            <w:tcW w:w="1435" w:type="dxa"/>
            <w:noWrap/>
            <w:hideMark/>
          </w:tcPr>
          <w:p w:rsidR="004040AC" w:rsidRPr="003D7D05" w:rsidP="00FD7987" w14:paraId="7D0E86A5" w14:textId="77777777">
            <w:pPr>
              <w:rPr>
                <w:rFonts w:eastAsiaTheme="minorHAnsi"/>
                <w:bCs/>
                <w:sz w:val="20"/>
                <w:szCs w:val="20"/>
              </w:rPr>
            </w:pPr>
            <w:r w:rsidRPr="003D7D05">
              <w:rPr>
                <w:sz w:val="20"/>
                <w:szCs w:val="20"/>
              </w:rPr>
              <w:t>Conducting Weekly Functional Tests (Supervisor)</w:t>
            </w:r>
          </w:p>
        </w:tc>
        <w:tc>
          <w:tcPr>
            <w:tcW w:w="1350" w:type="dxa"/>
            <w:noWrap/>
            <w:vAlign w:val="center"/>
          </w:tcPr>
          <w:p w:rsidR="004040AC" w:rsidRPr="003D7D05" w:rsidP="00FD7987" w14:paraId="3150569D" w14:textId="77777777">
            <w:pPr>
              <w:jc w:val="right"/>
              <w:rPr>
                <w:rFonts w:eastAsiaTheme="minorHAnsi"/>
                <w:bCs/>
                <w:sz w:val="20"/>
                <w:szCs w:val="20"/>
              </w:rPr>
            </w:pPr>
            <w:r w:rsidRPr="003D7D05">
              <w:rPr>
                <w:rFonts w:eastAsiaTheme="minorHAnsi"/>
                <w:bCs/>
                <w:sz w:val="20"/>
                <w:szCs w:val="20"/>
              </w:rPr>
              <w:t>148</w:t>
            </w:r>
          </w:p>
        </w:tc>
        <w:tc>
          <w:tcPr>
            <w:tcW w:w="1260" w:type="dxa"/>
            <w:vAlign w:val="center"/>
          </w:tcPr>
          <w:p w:rsidR="004040AC" w:rsidRPr="003D7D05" w:rsidP="00FD7987" w14:paraId="72178373" w14:textId="77777777">
            <w:pPr>
              <w:jc w:val="right"/>
              <w:rPr>
                <w:rFonts w:eastAsiaTheme="minorHAnsi"/>
                <w:bCs/>
                <w:sz w:val="20"/>
                <w:szCs w:val="20"/>
              </w:rPr>
            </w:pPr>
            <w:r w:rsidRPr="003D7D05">
              <w:rPr>
                <w:rFonts w:eastAsiaTheme="minorHAnsi"/>
                <w:bCs/>
                <w:sz w:val="20"/>
                <w:szCs w:val="20"/>
              </w:rPr>
              <w:t>208</w:t>
            </w:r>
          </w:p>
        </w:tc>
        <w:tc>
          <w:tcPr>
            <w:tcW w:w="1170" w:type="dxa"/>
            <w:vAlign w:val="center"/>
          </w:tcPr>
          <w:p w:rsidR="004040AC" w:rsidRPr="003D7D05" w:rsidP="00FD7987" w14:paraId="0B1AB862" w14:textId="77777777">
            <w:pPr>
              <w:jc w:val="right"/>
              <w:rPr>
                <w:rFonts w:eastAsiaTheme="minorHAnsi"/>
                <w:bCs/>
                <w:sz w:val="20"/>
                <w:szCs w:val="20"/>
              </w:rPr>
            </w:pPr>
            <w:r w:rsidRPr="003D7D05">
              <w:rPr>
                <w:rFonts w:eastAsiaTheme="minorHAnsi"/>
                <w:bCs/>
                <w:sz w:val="20"/>
                <w:szCs w:val="20"/>
              </w:rPr>
              <w:t>30,784</w:t>
            </w:r>
          </w:p>
        </w:tc>
        <w:tc>
          <w:tcPr>
            <w:tcW w:w="1260" w:type="dxa"/>
            <w:vAlign w:val="center"/>
          </w:tcPr>
          <w:p w:rsidR="004040AC" w:rsidRPr="003D7D05" w:rsidP="00FD7987" w14:paraId="1B2046C5" w14:textId="77777777">
            <w:pPr>
              <w:jc w:val="right"/>
              <w:rPr>
                <w:rFonts w:eastAsiaTheme="minorHAnsi"/>
                <w:bCs/>
                <w:sz w:val="20"/>
                <w:szCs w:val="20"/>
              </w:rPr>
            </w:pPr>
            <w:r w:rsidRPr="003D7D05">
              <w:rPr>
                <w:rFonts w:eastAsiaTheme="minorHAnsi"/>
                <w:bCs/>
                <w:sz w:val="20"/>
                <w:szCs w:val="20"/>
              </w:rPr>
              <w:t>0.25</w:t>
            </w:r>
          </w:p>
        </w:tc>
        <w:tc>
          <w:tcPr>
            <w:tcW w:w="990" w:type="dxa"/>
            <w:noWrap/>
            <w:vAlign w:val="center"/>
          </w:tcPr>
          <w:p w:rsidR="004040AC" w:rsidRPr="003D7D05" w:rsidP="00FD7987" w14:paraId="4047ABC3" w14:textId="77777777">
            <w:pPr>
              <w:jc w:val="right"/>
              <w:rPr>
                <w:rFonts w:eastAsiaTheme="minorHAnsi"/>
                <w:bCs/>
                <w:sz w:val="20"/>
                <w:szCs w:val="20"/>
              </w:rPr>
            </w:pPr>
            <w:r w:rsidRPr="003D7D05">
              <w:rPr>
                <w:rFonts w:eastAsiaTheme="minorHAnsi"/>
                <w:bCs/>
                <w:sz w:val="20"/>
                <w:szCs w:val="20"/>
              </w:rPr>
              <w:t>7,696.00</w:t>
            </w:r>
          </w:p>
        </w:tc>
        <w:tc>
          <w:tcPr>
            <w:tcW w:w="990" w:type="dxa"/>
            <w:noWrap/>
            <w:vAlign w:val="center"/>
          </w:tcPr>
          <w:p w:rsidR="004040AC" w:rsidRPr="003D7D05" w:rsidP="00FD7987" w14:paraId="18953A86" w14:textId="77777777">
            <w:pPr>
              <w:jc w:val="right"/>
              <w:rPr>
                <w:rFonts w:eastAsiaTheme="minorHAnsi"/>
                <w:bCs/>
                <w:sz w:val="20"/>
                <w:szCs w:val="20"/>
              </w:rPr>
            </w:pPr>
            <w:r w:rsidRPr="003D7D05">
              <w:rPr>
                <w:rFonts w:eastAsiaTheme="minorHAnsi"/>
                <w:bCs/>
                <w:sz w:val="20"/>
                <w:szCs w:val="20"/>
              </w:rPr>
              <w:t>$80.89</w:t>
            </w:r>
          </w:p>
        </w:tc>
        <w:tc>
          <w:tcPr>
            <w:tcW w:w="1260" w:type="dxa"/>
            <w:noWrap/>
            <w:vAlign w:val="center"/>
          </w:tcPr>
          <w:p w:rsidR="004040AC" w:rsidRPr="003D7D05" w:rsidP="00FD7987" w14:paraId="2FF2E2A0" w14:textId="77777777">
            <w:pPr>
              <w:jc w:val="right"/>
              <w:rPr>
                <w:rFonts w:eastAsiaTheme="minorHAnsi"/>
                <w:bCs/>
                <w:sz w:val="20"/>
                <w:szCs w:val="20"/>
              </w:rPr>
            </w:pPr>
            <w:r w:rsidRPr="003D7D05">
              <w:rPr>
                <w:rFonts w:eastAsiaTheme="minorHAnsi"/>
                <w:bCs/>
                <w:sz w:val="20"/>
                <w:szCs w:val="20"/>
              </w:rPr>
              <w:t>$622,537.14</w:t>
            </w:r>
          </w:p>
        </w:tc>
      </w:tr>
      <w:tr w14:paraId="74065698" w14:textId="77777777" w:rsidTr="00FD7987">
        <w:tblPrEx>
          <w:tblW w:w="9715" w:type="dxa"/>
          <w:tblLayout w:type="fixed"/>
          <w:tblLook w:val="04A0"/>
        </w:tblPrEx>
        <w:trPr>
          <w:trHeight w:val="363"/>
        </w:trPr>
        <w:tc>
          <w:tcPr>
            <w:tcW w:w="1435" w:type="dxa"/>
            <w:noWrap/>
          </w:tcPr>
          <w:p w:rsidR="004040AC" w:rsidRPr="003D7D05" w:rsidP="00FD7987" w14:paraId="7F7E1BEC" w14:textId="77777777">
            <w:pPr>
              <w:rPr>
                <w:sz w:val="20"/>
                <w:szCs w:val="20"/>
              </w:rPr>
            </w:pPr>
            <w:r w:rsidRPr="003D7D05">
              <w:rPr>
                <w:sz w:val="20"/>
                <w:szCs w:val="20"/>
              </w:rPr>
              <w:t>Certifying Weekly Tests (Supervisor)</w:t>
            </w:r>
          </w:p>
        </w:tc>
        <w:tc>
          <w:tcPr>
            <w:tcW w:w="1350" w:type="dxa"/>
            <w:noWrap/>
            <w:vAlign w:val="center"/>
          </w:tcPr>
          <w:p w:rsidR="004040AC" w:rsidRPr="003D7D05" w:rsidP="00FD7987" w14:paraId="2402254C" w14:textId="77777777">
            <w:pPr>
              <w:jc w:val="right"/>
              <w:rPr>
                <w:rFonts w:eastAsiaTheme="minorHAnsi"/>
                <w:bCs/>
                <w:sz w:val="20"/>
                <w:szCs w:val="20"/>
              </w:rPr>
            </w:pPr>
            <w:r w:rsidRPr="003D7D05">
              <w:rPr>
                <w:rFonts w:eastAsiaTheme="minorHAnsi"/>
                <w:bCs/>
                <w:sz w:val="20"/>
                <w:szCs w:val="20"/>
              </w:rPr>
              <w:t>148</w:t>
            </w:r>
          </w:p>
        </w:tc>
        <w:tc>
          <w:tcPr>
            <w:tcW w:w="1260" w:type="dxa"/>
            <w:vAlign w:val="center"/>
          </w:tcPr>
          <w:p w:rsidR="004040AC" w:rsidRPr="003D7D05" w:rsidP="00FD7987" w14:paraId="015D9221" w14:textId="77777777">
            <w:pPr>
              <w:jc w:val="right"/>
              <w:rPr>
                <w:rFonts w:eastAsiaTheme="minorHAnsi"/>
                <w:bCs/>
                <w:sz w:val="20"/>
                <w:szCs w:val="20"/>
              </w:rPr>
            </w:pPr>
            <w:r w:rsidRPr="003D7D05">
              <w:rPr>
                <w:rFonts w:eastAsiaTheme="minorHAnsi"/>
                <w:bCs/>
                <w:sz w:val="20"/>
                <w:szCs w:val="20"/>
              </w:rPr>
              <w:t>208</w:t>
            </w:r>
          </w:p>
        </w:tc>
        <w:tc>
          <w:tcPr>
            <w:tcW w:w="1170" w:type="dxa"/>
            <w:vAlign w:val="center"/>
          </w:tcPr>
          <w:p w:rsidR="004040AC" w:rsidRPr="003D7D05" w:rsidP="00FD7987" w14:paraId="7DBBB455" w14:textId="77777777">
            <w:pPr>
              <w:jc w:val="right"/>
              <w:rPr>
                <w:rFonts w:eastAsiaTheme="minorHAnsi"/>
                <w:bCs/>
                <w:sz w:val="20"/>
                <w:szCs w:val="20"/>
              </w:rPr>
            </w:pPr>
            <w:r w:rsidRPr="003D7D05">
              <w:rPr>
                <w:rFonts w:eastAsiaTheme="minorHAnsi"/>
                <w:bCs/>
                <w:sz w:val="20"/>
                <w:szCs w:val="20"/>
              </w:rPr>
              <w:t>30,784</w:t>
            </w:r>
          </w:p>
        </w:tc>
        <w:tc>
          <w:tcPr>
            <w:tcW w:w="1260" w:type="dxa"/>
            <w:vAlign w:val="center"/>
          </w:tcPr>
          <w:p w:rsidR="004040AC" w:rsidRPr="003D7D05" w:rsidP="00FD7987" w14:paraId="25021180" w14:textId="77777777">
            <w:pPr>
              <w:jc w:val="right"/>
              <w:rPr>
                <w:rFonts w:eastAsiaTheme="minorHAnsi"/>
                <w:bCs/>
                <w:sz w:val="20"/>
                <w:szCs w:val="20"/>
              </w:rPr>
            </w:pPr>
            <w:r w:rsidRPr="003D7D05">
              <w:rPr>
                <w:rFonts w:eastAsiaTheme="minorHAnsi"/>
                <w:bCs/>
                <w:sz w:val="20"/>
                <w:szCs w:val="20"/>
              </w:rPr>
              <w:t>0.05</w:t>
            </w:r>
          </w:p>
        </w:tc>
        <w:tc>
          <w:tcPr>
            <w:tcW w:w="990" w:type="dxa"/>
            <w:noWrap/>
            <w:vAlign w:val="center"/>
          </w:tcPr>
          <w:p w:rsidR="004040AC" w:rsidRPr="003D7D05" w:rsidP="00FD7987" w14:paraId="5B661AD0" w14:textId="77777777">
            <w:pPr>
              <w:jc w:val="right"/>
              <w:rPr>
                <w:rFonts w:eastAsiaTheme="minorHAnsi"/>
                <w:bCs/>
                <w:sz w:val="20"/>
                <w:szCs w:val="20"/>
              </w:rPr>
            </w:pPr>
            <w:r w:rsidRPr="003D7D05">
              <w:rPr>
                <w:rFonts w:eastAsiaTheme="minorHAnsi"/>
                <w:bCs/>
                <w:sz w:val="20"/>
                <w:szCs w:val="20"/>
              </w:rPr>
              <w:t>1,539.20</w:t>
            </w:r>
          </w:p>
        </w:tc>
        <w:tc>
          <w:tcPr>
            <w:tcW w:w="990" w:type="dxa"/>
            <w:noWrap/>
            <w:vAlign w:val="center"/>
          </w:tcPr>
          <w:p w:rsidR="004040AC" w:rsidRPr="003D7D05" w:rsidP="00FD7987" w14:paraId="771F8A0E" w14:textId="77777777">
            <w:pPr>
              <w:jc w:val="right"/>
              <w:rPr>
                <w:rFonts w:eastAsiaTheme="minorHAnsi"/>
                <w:bCs/>
                <w:sz w:val="20"/>
                <w:szCs w:val="20"/>
              </w:rPr>
            </w:pPr>
            <w:r w:rsidRPr="003D7D05">
              <w:rPr>
                <w:rFonts w:eastAsiaTheme="minorHAnsi"/>
                <w:bCs/>
                <w:sz w:val="20"/>
                <w:szCs w:val="20"/>
              </w:rPr>
              <w:t>$80.89</w:t>
            </w:r>
          </w:p>
        </w:tc>
        <w:tc>
          <w:tcPr>
            <w:tcW w:w="1260" w:type="dxa"/>
            <w:noWrap/>
            <w:vAlign w:val="center"/>
          </w:tcPr>
          <w:p w:rsidR="004040AC" w:rsidRPr="003D7D05" w:rsidP="00FD7987" w14:paraId="10003BE4" w14:textId="77777777">
            <w:pPr>
              <w:jc w:val="right"/>
              <w:rPr>
                <w:rFonts w:eastAsiaTheme="minorHAnsi"/>
                <w:bCs/>
                <w:sz w:val="20"/>
                <w:szCs w:val="20"/>
              </w:rPr>
            </w:pPr>
            <w:r w:rsidRPr="003D7D05">
              <w:rPr>
                <w:rFonts w:eastAsiaTheme="minorHAnsi"/>
                <w:bCs/>
                <w:sz w:val="20"/>
                <w:szCs w:val="20"/>
              </w:rPr>
              <w:t>$124,507.43</w:t>
            </w:r>
          </w:p>
        </w:tc>
      </w:tr>
      <w:tr w14:paraId="39299FEE" w14:textId="77777777" w:rsidTr="00FD7987">
        <w:tblPrEx>
          <w:tblW w:w="9715" w:type="dxa"/>
          <w:tblLayout w:type="fixed"/>
          <w:tblLook w:val="04A0"/>
        </w:tblPrEx>
        <w:trPr>
          <w:trHeight w:val="363"/>
        </w:trPr>
        <w:tc>
          <w:tcPr>
            <w:tcW w:w="1435" w:type="dxa"/>
            <w:noWrap/>
          </w:tcPr>
          <w:p w:rsidR="004040AC" w:rsidRPr="003D7D05" w:rsidP="00FD7987" w14:paraId="3234EAF9" w14:textId="77777777">
            <w:pPr>
              <w:rPr>
                <w:sz w:val="20"/>
                <w:szCs w:val="20"/>
              </w:rPr>
            </w:pPr>
            <w:r w:rsidRPr="003D7D05">
              <w:rPr>
                <w:sz w:val="20"/>
                <w:szCs w:val="20"/>
              </w:rPr>
              <w:t>Recording Monthly Sensor Calibrations (Supervisor)</w:t>
            </w:r>
          </w:p>
        </w:tc>
        <w:tc>
          <w:tcPr>
            <w:tcW w:w="1350" w:type="dxa"/>
            <w:noWrap/>
            <w:vAlign w:val="center"/>
          </w:tcPr>
          <w:p w:rsidR="004040AC" w:rsidRPr="003D7D05" w:rsidP="00FD7987" w14:paraId="33271FB6" w14:textId="77777777">
            <w:pPr>
              <w:jc w:val="right"/>
              <w:rPr>
                <w:rFonts w:eastAsiaTheme="minorHAnsi"/>
                <w:bCs/>
                <w:sz w:val="20"/>
                <w:szCs w:val="20"/>
              </w:rPr>
            </w:pPr>
            <w:r w:rsidRPr="003D7D05">
              <w:rPr>
                <w:rFonts w:eastAsiaTheme="minorHAnsi"/>
                <w:bCs/>
                <w:sz w:val="20"/>
                <w:szCs w:val="20"/>
              </w:rPr>
              <w:t>148</w:t>
            </w:r>
          </w:p>
        </w:tc>
        <w:tc>
          <w:tcPr>
            <w:tcW w:w="1260" w:type="dxa"/>
            <w:vAlign w:val="center"/>
          </w:tcPr>
          <w:p w:rsidR="004040AC" w:rsidRPr="003D7D05" w:rsidP="00FD7987" w14:paraId="7EF84701" w14:textId="77777777">
            <w:pPr>
              <w:jc w:val="right"/>
              <w:rPr>
                <w:rFonts w:eastAsiaTheme="minorHAnsi"/>
                <w:bCs/>
                <w:sz w:val="20"/>
                <w:szCs w:val="20"/>
              </w:rPr>
            </w:pPr>
            <w:r w:rsidRPr="003D7D05">
              <w:rPr>
                <w:rFonts w:eastAsiaTheme="minorHAnsi"/>
                <w:bCs/>
                <w:sz w:val="20"/>
                <w:szCs w:val="20"/>
              </w:rPr>
              <w:t>564</w:t>
            </w:r>
          </w:p>
        </w:tc>
        <w:tc>
          <w:tcPr>
            <w:tcW w:w="1170" w:type="dxa"/>
            <w:vAlign w:val="center"/>
          </w:tcPr>
          <w:p w:rsidR="004040AC" w:rsidRPr="003D7D05" w:rsidP="00FD7987" w14:paraId="15C8F2EB" w14:textId="77777777">
            <w:pPr>
              <w:jc w:val="right"/>
              <w:rPr>
                <w:rFonts w:eastAsiaTheme="minorHAnsi"/>
                <w:bCs/>
                <w:sz w:val="20"/>
                <w:szCs w:val="20"/>
              </w:rPr>
            </w:pPr>
            <w:r w:rsidRPr="003D7D05">
              <w:rPr>
                <w:rFonts w:eastAsiaTheme="minorHAnsi"/>
                <w:bCs/>
                <w:sz w:val="20"/>
                <w:szCs w:val="20"/>
              </w:rPr>
              <w:t>83,472</w:t>
            </w:r>
          </w:p>
        </w:tc>
        <w:tc>
          <w:tcPr>
            <w:tcW w:w="1260" w:type="dxa"/>
            <w:vAlign w:val="center"/>
          </w:tcPr>
          <w:p w:rsidR="004040AC" w:rsidRPr="003D7D05" w:rsidP="00FD7987" w14:paraId="591BD718" w14:textId="77777777">
            <w:pPr>
              <w:jc w:val="right"/>
              <w:rPr>
                <w:rFonts w:eastAsiaTheme="minorHAnsi"/>
                <w:bCs/>
                <w:sz w:val="20"/>
                <w:szCs w:val="20"/>
              </w:rPr>
            </w:pPr>
            <w:r w:rsidRPr="003D7D05">
              <w:rPr>
                <w:rFonts w:eastAsiaTheme="minorHAnsi"/>
                <w:bCs/>
                <w:sz w:val="20"/>
                <w:szCs w:val="20"/>
              </w:rPr>
              <w:t>0.02</w:t>
            </w:r>
          </w:p>
        </w:tc>
        <w:tc>
          <w:tcPr>
            <w:tcW w:w="990" w:type="dxa"/>
            <w:noWrap/>
            <w:vAlign w:val="center"/>
          </w:tcPr>
          <w:p w:rsidR="004040AC" w:rsidRPr="003D7D05" w:rsidP="00FD7987" w14:paraId="1C1796A0" w14:textId="77777777">
            <w:pPr>
              <w:jc w:val="right"/>
              <w:rPr>
                <w:rFonts w:eastAsiaTheme="minorHAnsi"/>
                <w:bCs/>
                <w:sz w:val="20"/>
                <w:szCs w:val="20"/>
              </w:rPr>
            </w:pPr>
            <w:r w:rsidRPr="003D7D05">
              <w:rPr>
                <w:rFonts w:eastAsiaTheme="minorHAnsi"/>
                <w:bCs/>
                <w:sz w:val="20"/>
                <w:szCs w:val="20"/>
              </w:rPr>
              <w:t>1,391</w:t>
            </w:r>
          </w:p>
        </w:tc>
        <w:tc>
          <w:tcPr>
            <w:tcW w:w="990" w:type="dxa"/>
            <w:noWrap/>
            <w:vAlign w:val="center"/>
          </w:tcPr>
          <w:p w:rsidR="004040AC" w:rsidRPr="003D7D05" w:rsidP="00FD7987" w14:paraId="4FFA48F9" w14:textId="77777777">
            <w:pPr>
              <w:jc w:val="right"/>
              <w:rPr>
                <w:rFonts w:eastAsiaTheme="minorHAnsi"/>
                <w:bCs/>
                <w:sz w:val="20"/>
                <w:szCs w:val="20"/>
              </w:rPr>
            </w:pPr>
            <w:r w:rsidRPr="003D7D05">
              <w:rPr>
                <w:rFonts w:eastAsiaTheme="minorHAnsi"/>
                <w:bCs/>
                <w:sz w:val="20"/>
                <w:szCs w:val="20"/>
              </w:rPr>
              <w:t>$80.89</w:t>
            </w:r>
          </w:p>
        </w:tc>
        <w:tc>
          <w:tcPr>
            <w:tcW w:w="1260" w:type="dxa"/>
            <w:noWrap/>
            <w:vAlign w:val="center"/>
          </w:tcPr>
          <w:p w:rsidR="004040AC" w:rsidRPr="003D7D05" w:rsidP="00FD7987" w14:paraId="4FCE51EC" w14:textId="77777777">
            <w:pPr>
              <w:jc w:val="right"/>
              <w:rPr>
                <w:rFonts w:eastAsiaTheme="minorHAnsi"/>
                <w:bCs/>
                <w:sz w:val="20"/>
                <w:szCs w:val="20"/>
              </w:rPr>
            </w:pPr>
            <w:r w:rsidRPr="003D7D05">
              <w:rPr>
                <w:rFonts w:eastAsiaTheme="minorHAnsi"/>
                <w:bCs/>
                <w:sz w:val="20"/>
                <w:szCs w:val="20"/>
              </w:rPr>
              <w:t>$112,535.56</w:t>
            </w:r>
          </w:p>
        </w:tc>
      </w:tr>
      <w:tr w14:paraId="5D8632B8" w14:textId="77777777" w:rsidTr="00FD7987">
        <w:tblPrEx>
          <w:tblW w:w="9715" w:type="dxa"/>
          <w:tblLayout w:type="fixed"/>
          <w:tblLook w:val="04A0"/>
        </w:tblPrEx>
        <w:trPr>
          <w:trHeight w:val="363"/>
        </w:trPr>
        <w:tc>
          <w:tcPr>
            <w:tcW w:w="1435" w:type="dxa"/>
            <w:shd w:val="clear" w:color="auto" w:fill="auto"/>
            <w:noWrap/>
            <w:vAlign w:val="center"/>
            <w:hideMark/>
          </w:tcPr>
          <w:p w:rsidR="004040AC" w:rsidRPr="003D7D05" w:rsidP="00FD7987" w14:paraId="0CE93519" w14:textId="77777777">
            <w:pPr>
              <w:rPr>
                <w:rFonts w:eastAsiaTheme="minorHAnsi"/>
                <w:b/>
                <w:bCs/>
                <w:i/>
                <w:iCs/>
                <w:sz w:val="20"/>
                <w:szCs w:val="20"/>
              </w:rPr>
            </w:pPr>
            <w:r w:rsidRPr="003D7D05">
              <w:rPr>
                <w:rFonts w:eastAsiaTheme="minorHAnsi"/>
                <w:b/>
                <w:bCs/>
                <w:i/>
                <w:iCs/>
                <w:sz w:val="20"/>
                <w:szCs w:val="20"/>
              </w:rPr>
              <w:t>Subtotal (Rounded)</w:t>
            </w:r>
          </w:p>
        </w:tc>
        <w:tc>
          <w:tcPr>
            <w:tcW w:w="1350" w:type="dxa"/>
            <w:shd w:val="clear" w:color="auto" w:fill="auto"/>
            <w:vAlign w:val="center"/>
          </w:tcPr>
          <w:p w:rsidR="004040AC" w:rsidRPr="003D7D05" w:rsidP="00FD7987" w14:paraId="69A6A612" w14:textId="77777777">
            <w:pPr>
              <w:jc w:val="right"/>
              <w:rPr>
                <w:rFonts w:eastAsiaTheme="minorHAnsi"/>
                <w:b/>
                <w:bCs/>
                <w:i/>
                <w:iCs/>
                <w:sz w:val="20"/>
                <w:szCs w:val="20"/>
              </w:rPr>
            </w:pPr>
            <w:r w:rsidRPr="003D7D05">
              <w:rPr>
                <w:rFonts w:eastAsiaTheme="minorHAnsi"/>
                <w:b/>
                <w:bCs/>
                <w:i/>
                <w:iCs/>
                <w:sz w:val="20"/>
                <w:szCs w:val="20"/>
              </w:rPr>
              <w:t>148</w:t>
            </w:r>
          </w:p>
        </w:tc>
        <w:tc>
          <w:tcPr>
            <w:tcW w:w="1260" w:type="dxa"/>
            <w:shd w:val="clear" w:color="auto" w:fill="000000" w:themeFill="text1"/>
            <w:vAlign w:val="center"/>
          </w:tcPr>
          <w:p w:rsidR="004040AC" w:rsidRPr="003D7D05" w:rsidP="00FD7987" w14:paraId="393DDDE7" w14:textId="77777777">
            <w:pPr>
              <w:jc w:val="right"/>
              <w:rPr>
                <w:rFonts w:eastAsiaTheme="minorHAnsi"/>
                <w:b/>
                <w:bCs/>
                <w:i/>
                <w:iCs/>
                <w:sz w:val="20"/>
                <w:szCs w:val="20"/>
              </w:rPr>
            </w:pPr>
          </w:p>
        </w:tc>
        <w:tc>
          <w:tcPr>
            <w:tcW w:w="1170" w:type="dxa"/>
            <w:shd w:val="clear" w:color="auto" w:fill="auto"/>
            <w:vAlign w:val="center"/>
          </w:tcPr>
          <w:p w:rsidR="004040AC" w:rsidRPr="003D7D05" w:rsidP="00FD7987" w14:paraId="1576A6D6" w14:textId="77777777">
            <w:pPr>
              <w:jc w:val="right"/>
              <w:rPr>
                <w:rFonts w:eastAsiaTheme="minorHAnsi"/>
                <w:b/>
                <w:bCs/>
                <w:i/>
                <w:iCs/>
                <w:sz w:val="20"/>
                <w:szCs w:val="20"/>
              </w:rPr>
            </w:pPr>
            <w:r w:rsidRPr="003D7D05">
              <w:rPr>
                <w:rFonts w:eastAsiaTheme="minorHAnsi"/>
                <w:b/>
                <w:bCs/>
                <w:i/>
                <w:iCs/>
                <w:sz w:val="20"/>
                <w:szCs w:val="20"/>
              </w:rPr>
              <w:t>114,256</w:t>
            </w:r>
          </w:p>
        </w:tc>
        <w:tc>
          <w:tcPr>
            <w:tcW w:w="1260" w:type="dxa"/>
            <w:shd w:val="clear" w:color="auto" w:fill="000000" w:themeFill="text1"/>
            <w:vAlign w:val="center"/>
          </w:tcPr>
          <w:p w:rsidR="004040AC" w:rsidRPr="003D7D05" w:rsidP="00FD7987" w14:paraId="03EB10E6" w14:textId="77777777">
            <w:pPr>
              <w:jc w:val="right"/>
              <w:rPr>
                <w:rFonts w:eastAsiaTheme="minorHAnsi"/>
                <w:b/>
                <w:bCs/>
                <w:i/>
                <w:iCs/>
                <w:sz w:val="20"/>
                <w:szCs w:val="20"/>
              </w:rPr>
            </w:pPr>
          </w:p>
        </w:tc>
        <w:tc>
          <w:tcPr>
            <w:tcW w:w="990" w:type="dxa"/>
            <w:shd w:val="clear" w:color="auto" w:fill="auto"/>
            <w:vAlign w:val="center"/>
          </w:tcPr>
          <w:p w:rsidR="004040AC" w:rsidRPr="003D7D05" w:rsidP="00FD7987" w14:paraId="6BF40106" w14:textId="77777777">
            <w:pPr>
              <w:jc w:val="right"/>
              <w:rPr>
                <w:rFonts w:eastAsiaTheme="minorHAnsi"/>
                <w:b/>
                <w:bCs/>
                <w:i/>
                <w:iCs/>
                <w:sz w:val="20"/>
                <w:szCs w:val="20"/>
              </w:rPr>
            </w:pPr>
            <w:r w:rsidRPr="003D7D05">
              <w:rPr>
                <w:rFonts w:eastAsiaTheme="minorHAnsi"/>
                <w:b/>
                <w:bCs/>
                <w:i/>
                <w:iCs/>
                <w:sz w:val="20"/>
                <w:szCs w:val="20"/>
              </w:rPr>
              <w:t>9,265</w:t>
            </w:r>
          </w:p>
        </w:tc>
        <w:tc>
          <w:tcPr>
            <w:tcW w:w="990" w:type="dxa"/>
            <w:shd w:val="clear" w:color="auto" w:fill="000000" w:themeFill="text1"/>
            <w:noWrap/>
            <w:vAlign w:val="center"/>
          </w:tcPr>
          <w:p w:rsidR="004040AC" w:rsidRPr="003D7D05" w:rsidP="00FD7987" w14:paraId="0AD8293C" w14:textId="77777777">
            <w:pPr>
              <w:jc w:val="right"/>
              <w:rPr>
                <w:rFonts w:eastAsiaTheme="minorHAnsi"/>
                <w:b/>
                <w:bCs/>
                <w:i/>
                <w:iCs/>
                <w:sz w:val="20"/>
                <w:szCs w:val="20"/>
              </w:rPr>
            </w:pPr>
          </w:p>
        </w:tc>
        <w:tc>
          <w:tcPr>
            <w:tcW w:w="1260" w:type="dxa"/>
            <w:shd w:val="clear" w:color="auto" w:fill="auto"/>
            <w:noWrap/>
            <w:vAlign w:val="center"/>
          </w:tcPr>
          <w:p w:rsidR="004040AC" w:rsidRPr="003D7D05" w:rsidP="00FD7987" w14:paraId="21B2A58F" w14:textId="77777777">
            <w:pPr>
              <w:jc w:val="right"/>
              <w:rPr>
                <w:rFonts w:eastAsiaTheme="minorHAnsi"/>
                <w:b/>
                <w:bCs/>
                <w:i/>
                <w:iCs/>
                <w:sz w:val="20"/>
                <w:szCs w:val="20"/>
              </w:rPr>
            </w:pPr>
            <w:r w:rsidRPr="003D7D05">
              <w:rPr>
                <w:rFonts w:eastAsiaTheme="minorHAnsi"/>
                <w:b/>
                <w:bCs/>
                <w:i/>
                <w:iCs/>
                <w:sz w:val="20"/>
                <w:szCs w:val="20"/>
              </w:rPr>
              <w:t>$859,580</w:t>
            </w:r>
          </w:p>
        </w:tc>
      </w:tr>
    </w:tbl>
    <w:p w:rsidR="004040AC" w:rsidRPr="003D7D05" w:rsidP="004040AC" w14:paraId="00549989" w14:textId="77777777">
      <w:pPr>
        <w:pStyle w:val="Default"/>
        <w:rPr>
          <w:rFonts w:ascii="Times New Roman" w:hAnsi="Times New Roman" w:cs="Times New Roman"/>
          <w:b/>
          <w:bCs/>
        </w:rPr>
      </w:pPr>
    </w:p>
    <w:p w:rsidR="004040AC" w:rsidRPr="003D7D05" w:rsidP="004040AC" w14:paraId="4892C455" w14:textId="77777777">
      <w:pPr>
        <w:pStyle w:val="ListParagraph"/>
        <w:numPr>
          <w:ilvl w:val="0"/>
          <w:numId w:val="12"/>
        </w:numPr>
        <w:autoSpaceDE w:val="0"/>
        <w:autoSpaceDN w:val="0"/>
        <w:adjustRightInd w:val="0"/>
        <w:rPr>
          <w:b/>
          <w:bCs/>
          <w:color w:val="000000"/>
        </w:rPr>
      </w:pPr>
      <w:r w:rsidRPr="003D7D05">
        <w:rPr>
          <w:b/>
          <w:bCs/>
          <w:color w:val="000000"/>
        </w:rPr>
        <w:t xml:space="preserve">Testing Fire Hydrants and Fire Hoses </w:t>
      </w:r>
    </w:p>
    <w:p w:rsidR="004040AC" w:rsidRPr="003D7D05" w:rsidP="004040AC" w14:paraId="4182C720" w14:textId="77777777">
      <w:pPr>
        <w:autoSpaceDE w:val="0"/>
        <w:autoSpaceDN w:val="0"/>
        <w:adjustRightInd w:val="0"/>
        <w:rPr>
          <w:color w:val="000000"/>
        </w:rPr>
      </w:pPr>
    </w:p>
    <w:p w:rsidR="004040AC" w:rsidRPr="003D7D05" w:rsidP="004040AC" w14:paraId="511DDB1C" w14:textId="77777777">
      <w:pPr>
        <w:autoSpaceDE w:val="0"/>
        <w:autoSpaceDN w:val="0"/>
        <w:adjustRightInd w:val="0"/>
        <w:rPr>
          <w:b/>
          <w:bCs/>
        </w:rPr>
      </w:pPr>
      <w:r w:rsidRPr="003D7D05">
        <w:rPr>
          <w:color w:val="000000"/>
        </w:rPr>
        <w:t>Under 30 CFR 75.1103-11, each fire hydrant must be tested by opening to ensure that it is in operating condition, and each fire hose must be tested, at intervals not exceeding 1 year. A record of these tests must be maintained at an appropriate location.</w:t>
      </w:r>
    </w:p>
    <w:p w:rsidR="004040AC" w:rsidRPr="003D7D05" w:rsidP="004040AC" w14:paraId="016B9BC4" w14:textId="77777777">
      <w:pPr>
        <w:pStyle w:val="Default"/>
        <w:rPr>
          <w:rFonts w:ascii="Times New Roman" w:hAnsi="Times New Roman" w:cs="Times New Roman"/>
        </w:rPr>
      </w:pPr>
    </w:p>
    <w:p w:rsidR="004040AC" w:rsidRPr="003D7D05" w:rsidP="004040AC" w14:paraId="18435279" w14:textId="77777777">
      <w:pPr>
        <w:pStyle w:val="Default"/>
        <w:rPr>
          <w:rFonts w:ascii="Times New Roman" w:hAnsi="Times New Roman" w:cs="Times New Roman"/>
        </w:rPr>
      </w:pPr>
      <w:r w:rsidRPr="003D7D05">
        <w:rPr>
          <w:rFonts w:ascii="Times New Roman" w:hAnsi="Times New Roman" w:cs="Times New Roman"/>
        </w:rPr>
        <w:t>MSHA assumes that there are 148 active underground coal mines that have an average of 30 fire hydrants per mine and each fire hydrant and fire hose will be tested yearly, totaling 8,880 tests (= 148 mines X 30 fire hydrants X 2 tests). MSHA estimates that it would take a certified or qualified person, earning $53.64 per hour, approximately 30 minutes to conduct the 2 tests and make a record of the results.</w:t>
      </w:r>
    </w:p>
    <w:p w:rsidR="004040AC" w:rsidRPr="003D7D05" w:rsidP="004040AC" w14:paraId="69BF9C23" w14:textId="77777777">
      <w:pPr>
        <w:pStyle w:val="Default"/>
        <w:rPr>
          <w:rFonts w:ascii="Times New Roman" w:hAnsi="Times New Roman" w:cs="Times New Roman"/>
        </w:rPr>
      </w:pPr>
    </w:p>
    <w:p w:rsidR="004040AC" w:rsidRPr="003D7D05" w:rsidP="004040AC" w14:paraId="76D5C82F" w14:textId="77777777">
      <w:pPr>
        <w:autoSpaceDE w:val="0"/>
        <w:autoSpaceDN w:val="0"/>
        <w:adjustRightInd w:val="0"/>
        <w:rPr>
          <w:b/>
          <w:bCs/>
          <w:color w:val="000000"/>
        </w:rPr>
      </w:pPr>
      <w:r w:rsidRPr="003D7D05">
        <w:rPr>
          <w:b/>
          <w:bCs/>
        </w:rPr>
        <w:t>Table 12-5.</w:t>
      </w:r>
      <w:r w:rsidRPr="003D7D05">
        <w:rPr>
          <w:b/>
          <w:bCs/>
          <w:color w:val="000000"/>
        </w:rPr>
        <w:t xml:space="preserve"> Estimated Annual Respondent Hour and Cost Burden, Testing Fire Hydrants and Fire Hoses (30 CFR 75.1103-11)</w:t>
      </w:r>
    </w:p>
    <w:tbl>
      <w:tblPr>
        <w:tblStyle w:val="TableGrid"/>
        <w:tblW w:w="9715" w:type="dxa"/>
        <w:tblLayout w:type="fixed"/>
        <w:tblLook w:val="04A0"/>
      </w:tblPr>
      <w:tblGrid>
        <w:gridCol w:w="1435"/>
        <w:gridCol w:w="1350"/>
        <w:gridCol w:w="1260"/>
        <w:gridCol w:w="1170"/>
        <w:gridCol w:w="1260"/>
        <w:gridCol w:w="990"/>
        <w:gridCol w:w="990"/>
        <w:gridCol w:w="1260"/>
      </w:tblGrid>
      <w:tr w14:paraId="6D65A472" w14:textId="77777777" w:rsidTr="00FD7987">
        <w:tblPrEx>
          <w:tblW w:w="9715" w:type="dxa"/>
          <w:tblLayout w:type="fixed"/>
          <w:tblLook w:val="04A0"/>
        </w:tblPrEx>
        <w:trPr>
          <w:trHeight w:val="747"/>
        </w:trPr>
        <w:tc>
          <w:tcPr>
            <w:tcW w:w="1435" w:type="dxa"/>
            <w:shd w:val="clear" w:color="auto" w:fill="95B3D7" w:themeFill="accent1" w:themeFillTint="99"/>
            <w:vAlign w:val="center"/>
            <w:hideMark/>
          </w:tcPr>
          <w:p w:rsidR="004040AC" w:rsidRPr="003D7D05" w:rsidP="00FD7987" w14:paraId="026DB6F4" w14:textId="77777777">
            <w:pPr>
              <w:jc w:val="center"/>
              <w:rPr>
                <w:rFonts w:eastAsiaTheme="minorHAnsi"/>
                <w:b/>
                <w:bCs/>
                <w:sz w:val="20"/>
                <w:szCs w:val="20"/>
              </w:rPr>
            </w:pPr>
            <w:r w:rsidRPr="003D7D05">
              <w:rPr>
                <w:b/>
                <w:bCs/>
                <w:sz w:val="20"/>
                <w:szCs w:val="20"/>
              </w:rPr>
              <w:t>Activity (Occupation</w:t>
            </w:r>
            <w:r w:rsidRPr="003D7D05">
              <w:rPr>
                <w:sz w:val="20"/>
                <w:szCs w:val="20"/>
              </w:rPr>
              <w:t>)</w:t>
            </w:r>
          </w:p>
        </w:tc>
        <w:tc>
          <w:tcPr>
            <w:tcW w:w="1350" w:type="dxa"/>
            <w:shd w:val="clear" w:color="auto" w:fill="95B3D7" w:themeFill="accent1" w:themeFillTint="99"/>
            <w:vAlign w:val="center"/>
            <w:hideMark/>
          </w:tcPr>
          <w:p w:rsidR="004040AC" w:rsidRPr="003D7D05" w:rsidP="00FD7987" w14:paraId="46105621" w14:textId="77777777">
            <w:pPr>
              <w:jc w:val="center"/>
              <w:rPr>
                <w:rFonts w:eastAsiaTheme="minorHAnsi"/>
                <w:b/>
                <w:bCs/>
                <w:sz w:val="20"/>
                <w:szCs w:val="20"/>
              </w:rPr>
            </w:pPr>
            <w:r w:rsidRPr="003D7D05">
              <w:rPr>
                <w:rFonts w:eastAsiaTheme="minorHAnsi"/>
                <w:b/>
                <w:bCs/>
                <w:sz w:val="20"/>
                <w:szCs w:val="20"/>
              </w:rPr>
              <w:t>Number of Respondents (Mines)</w:t>
            </w:r>
          </w:p>
        </w:tc>
        <w:tc>
          <w:tcPr>
            <w:tcW w:w="1260" w:type="dxa"/>
            <w:shd w:val="clear" w:color="auto" w:fill="95B3D7" w:themeFill="accent1" w:themeFillTint="99"/>
            <w:vAlign w:val="center"/>
          </w:tcPr>
          <w:p w:rsidR="004040AC" w:rsidRPr="003D7D05" w:rsidP="00FD7987" w14:paraId="7BC4FF43" w14:textId="77777777">
            <w:pPr>
              <w:jc w:val="center"/>
              <w:rPr>
                <w:rFonts w:eastAsiaTheme="minorHAnsi"/>
                <w:b/>
                <w:bCs/>
                <w:sz w:val="20"/>
                <w:szCs w:val="20"/>
              </w:rPr>
            </w:pPr>
            <w:r w:rsidRPr="003D7D05">
              <w:rPr>
                <w:rFonts w:eastAsiaTheme="minorHAnsi"/>
                <w:b/>
                <w:bCs/>
                <w:sz w:val="20"/>
                <w:szCs w:val="20"/>
              </w:rPr>
              <w:t>Number of Responses per Respondent</w:t>
            </w:r>
          </w:p>
        </w:tc>
        <w:tc>
          <w:tcPr>
            <w:tcW w:w="1170" w:type="dxa"/>
            <w:shd w:val="clear" w:color="auto" w:fill="95B3D7" w:themeFill="accent1" w:themeFillTint="99"/>
            <w:vAlign w:val="center"/>
          </w:tcPr>
          <w:p w:rsidR="004040AC" w:rsidRPr="003D7D05" w:rsidP="00FD7987" w14:paraId="4F81A4ED" w14:textId="77777777">
            <w:pPr>
              <w:jc w:val="center"/>
              <w:rPr>
                <w:rFonts w:eastAsiaTheme="minorHAnsi"/>
                <w:b/>
                <w:bCs/>
                <w:sz w:val="20"/>
                <w:szCs w:val="20"/>
              </w:rPr>
            </w:pPr>
            <w:r w:rsidRPr="003D7D05">
              <w:rPr>
                <w:rFonts w:eastAsiaTheme="minorHAnsi"/>
                <w:b/>
                <w:bCs/>
                <w:sz w:val="20"/>
                <w:szCs w:val="20"/>
              </w:rPr>
              <w:t>Total Responses (Tests)</w:t>
            </w:r>
          </w:p>
        </w:tc>
        <w:tc>
          <w:tcPr>
            <w:tcW w:w="1260" w:type="dxa"/>
            <w:shd w:val="clear" w:color="auto" w:fill="95B3D7" w:themeFill="accent1" w:themeFillTint="99"/>
            <w:vAlign w:val="center"/>
          </w:tcPr>
          <w:p w:rsidR="004040AC" w:rsidRPr="003D7D05" w:rsidP="00FD7987" w14:paraId="3BA0EE0A" w14:textId="77777777">
            <w:pPr>
              <w:jc w:val="center"/>
              <w:rPr>
                <w:rFonts w:eastAsiaTheme="minorHAnsi"/>
                <w:b/>
                <w:bCs/>
                <w:sz w:val="20"/>
                <w:szCs w:val="20"/>
              </w:rPr>
            </w:pPr>
            <w:r w:rsidRPr="003D7D05">
              <w:rPr>
                <w:rFonts w:eastAsiaTheme="minorHAnsi"/>
                <w:b/>
                <w:bCs/>
                <w:sz w:val="20"/>
                <w:szCs w:val="20"/>
              </w:rPr>
              <w:t>Average Burden (Hours)</w:t>
            </w:r>
          </w:p>
        </w:tc>
        <w:tc>
          <w:tcPr>
            <w:tcW w:w="990" w:type="dxa"/>
            <w:shd w:val="clear" w:color="auto" w:fill="95B3D7" w:themeFill="accent1" w:themeFillTint="99"/>
            <w:vAlign w:val="center"/>
            <w:hideMark/>
          </w:tcPr>
          <w:p w:rsidR="004040AC" w:rsidRPr="003D7D05" w:rsidP="00FD7987" w14:paraId="27D8DC96" w14:textId="77777777">
            <w:pPr>
              <w:jc w:val="center"/>
              <w:rPr>
                <w:rFonts w:eastAsiaTheme="minorHAnsi"/>
                <w:b/>
                <w:bCs/>
                <w:sz w:val="20"/>
                <w:szCs w:val="20"/>
              </w:rPr>
            </w:pPr>
            <w:r w:rsidRPr="003D7D05">
              <w:rPr>
                <w:rFonts w:eastAsiaTheme="minorHAnsi"/>
                <w:b/>
                <w:bCs/>
                <w:sz w:val="20"/>
                <w:szCs w:val="20"/>
              </w:rPr>
              <w:t>Total Burden (Hours)</w:t>
            </w:r>
          </w:p>
        </w:tc>
        <w:tc>
          <w:tcPr>
            <w:tcW w:w="990" w:type="dxa"/>
            <w:shd w:val="clear" w:color="auto" w:fill="95B3D7" w:themeFill="accent1" w:themeFillTint="99"/>
            <w:vAlign w:val="center"/>
            <w:hideMark/>
          </w:tcPr>
          <w:p w:rsidR="004040AC" w:rsidRPr="003D7D05" w:rsidP="00FD7987" w14:paraId="45932FFF" w14:textId="77777777">
            <w:pPr>
              <w:jc w:val="center"/>
              <w:rPr>
                <w:rFonts w:eastAsiaTheme="minorHAnsi"/>
                <w:b/>
                <w:bCs/>
                <w:sz w:val="20"/>
                <w:szCs w:val="20"/>
              </w:rPr>
            </w:pPr>
            <w:r w:rsidRPr="003D7D05">
              <w:rPr>
                <w:rFonts w:eastAsiaTheme="minorHAnsi"/>
                <w:b/>
                <w:bCs/>
                <w:sz w:val="20"/>
                <w:szCs w:val="20"/>
              </w:rPr>
              <w:t>Hourly Wage Rate</w:t>
            </w:r>
          </w:p>
        </w:tc>
        <w:tc>
          <w:tcPr>
            <w:tcW w:w="1260" w:type="dxa"/>
            <w:shd w:val="clear" w:color="auto" w:fill="95B3D7" w:themeFill="accent1" w:themeFillTint="99"/>
            <w:vAlign w:val="center"/>
            <w:hideMark/>
          </w:tcPr>
          <w:p w:rsidR="004040AC" w:rsidRPr="003D7D05" w:rsidP="00FD7987" w14:paraId="3AA52ABF" w14:textId="77777777">
            <w:pPr>
              <w:jc w:val="center"/>
              <w:rPr>
                <w:rFonts w:eastAsiaTheme="minorHAnsi"/>
                <w:b/>
                <w:bCs/>
                <w:sz w:val="20"/>
                <w:szCs w:val="20"/>
              </w:rPr>
            </w:pPr>
            <w:r w:rsidRPr="003D7D05">
              <w:rPr>
                <w:rFonts w:eastAsiaTheme="minorHAnsi"/>
                <w:b/>
                <w:bCs/>
                <w:sz w:val="20"/>
                <w:szCs w:val="20"/>
              </w:rPr>
              <w:t>Toal Burden Cost</w:t>
            </w:r>
          </w:p>
        </w:tc>
      </w:tr>
      <w:tr w14:paraId="5D247978" w14:textId="77777777" w:rsidTr="00FD7987">
        <w:tblPrEx>
          <w:tblW w:w="9715" w:type="dxa"/>
          <w:tblLayout w:type="fixed"/>
          <w:tblLook w:val="04A0"/>
        </w:tblPrEx>
        <w:trPr>
          <w:trHeight w:val="363"/>
        </w:trPr>
        <w:tc>
          <w:tcPr>
            <w:tcW w:w="1435" w:type="dxa"/>
            <w:noWrap/>
            <w:hideMark/>
          </w:tcPr>
          <w:p w:rsidR="004040AC" w:rsidRPr="003D7D05" w:rsidP="00FD7987" w14:paraId="6F62990E" w14:textId="77777777">
            <w:pPr>
              <w:rPr>
                <w:rFonts w:eastAsiaTheme="minorHAnsi"/>
                <w:bCs/>
                <w:sz w:val="20"/>
                <w:szCs w:val="20"/>
              </w:rPr>
            </w:pPr>
            <w:r w:rsidRPr="003D7D05">
              <w:rPr>
                <w:sz w:val="20"/>
                <w:szCs w:val="20"/>
              </w:rPr>
              <w:t>Testing Fire Hydrants and Fire Hose (Certified Person)</w:t>
            </w:r>
          </w:p>
        </w:tc>
        <w:tc>
          <w:tcPr>
            <w:tcW w:w="1350" w:type="dxa"/>
            <w:noWrap/>
            <w:vAlign w:val="center"/>
          </w:tcPr>
          <w:p w:rsidR="004040AC" w:rsidRPr="003D7D05" w:rsidP="00FD7987" w14:paraId="3496A0CD" w14:textId="77777777">
            <w:pPr>
              <w:jc w:val="right"/>
              <w:rPr>
                <w:rFonts w:eastAsiaTheme="minorHAnsi"/>
                <w:bCs/>
                <w:sz w:val="20"/>
                <w:szCs w:val="20"/>
              </w:rPr>
            </w:pPr>
            <w:r w:rsidRPr="003D7D05">
              <w:rPr>
                <w:rFonts w:eastAsiaTheme="minorHAnsi"/>
                <w:bCs/>
                <w:sz w:val="20"/>
                <w:szCs w:val="20"/>
              </w:rPr>
              <w:t>148</w:t>
            </w:r>
          </w:p>
        </w:tc>
        <w:tc>
          <w:tcPr>
            <w:tcW w:w="1260" w:type="dxa"/>
            <w:vAlign w:val="center"/>
          </w:tcPr>
          <w:p w:rsidR="004040AC" w:rsidRPr="003D7D05" w:rsidP="00FD7987" w14:paraId="11A3B5E9" w14:textId="77777777">
            <w:pPr>
              <w:jc w:val="right"/>
              <w:rPr>
                <w:rFonts w:eastAsiaTheme="minorHAnsi"/>
                <w:bCs/>
                <w:sz w:val="20"/>
                <w:szCs w:val="20"/>
              </w:rPr>
            </w:pPr>
            <w:r w:rsidRPr="003D7D05">
              <w:rPr>
                <w:rFonts w:eastAsiaTheme="minorHAnsi"/>
                <w:bCs/>
                <w:sz w:val="20"/>
                <w:szCs w:val="20"/>
              </w:rPr>
              <w:t>60</w:t>
            </w:r>
          </w:p>
        </w:tc>
        <w:tc>
          <w:tcPr>
            <w:tcW w:w="1170" w:type="dxa"/>
            <w:vAlign w:val="center"/>
          </w:tcPr>
          <w:p w:rsidR="004040AC" w:rsidRPr="003D7D05" w:rsidP="00FD7987" w14:paraId="50867287" w14:textId="77777777">
            <w:pPr>
              <w:jc w:val="right"/>
              <w:rPr>
                <w:rFonts w:eastAsiaTheme="minorHAnsi"/>
                <w:bCs/>
                <w:sz w:val="20"/>
                <w:szCs w:val="20"/>
              </w:rPr>
            </w:pPr>
            <w:r w:rsidRPr="003D7D05">
              <w:rPr>
                <w:rFonts w:eastAsiaTheme="minorHAnsi"/>
                <w:bCs/>
                <w:sz w:val="20"/>
                <w:szCs w:val="20"/>
              </w:rPr>
              <w:t>8,880</w:t>
            </w:r>
          </w:p>
        </w:tc>
        <w:tc>
          <w:tcPr>
            <w:tcW w:w="1260" w:type="dxa"/>
            <w:vAlign w:val="center"/>
          </w:tcPr>
          <w:p w:rsidR="004040AC" w:rsidRPr="003D7D05" w:rsidP="00FD7987" w14:paraId="50E47870" w14:textId="77777777">
            <w:pPr>
              <w:jc w:val="right"/>
              <w:rPr>
                <w:rFonts w:eastAsiaTheme="minorHAnsi"/>
                <w:bCs/>
                <w:sz w:val="20"/>
                <w:szCs w:val="20"/>
              </w:rPr>
            </w:pPr>
            <w:r w:rsidRPr="003D7D05">
              <w:rPr>
                <w:rFonts w:eastAsiaTheme="minorHAnsi"/>
                <w:bCs/>
                <w:sz w:val="20"/>
                <w:szCs w:val="20"/>
              </w:rPr>
              <w:t>0.50</w:t>
            </w:r>
          </w:p>
        </w:tc>
        <w:tc>
          <w:tcPr>
            <w:tcW w:w="990" w:type="dxa"/>
            <w:noWrap/>
            <w:vAlign w:val="center"/>
          </w:tcPr>
          <w:p w:rsidR="004040AC" w:rsidRPr="003D7D05" w:rsidP="00FD7987" w14:paraId="67ED40E5" w14:textId="77777777">
            <w:pPr>
              <w:jc w:val="right"/>
              <w:rPr>
                <w:rFonts w:eastAsiaTheme="minorHAnsi"/>
                <w:bCs/>
                <w:sz w:val="20"/>
                <w:szCs w:val="20"/>
              </w:rPr>
            </w:pPr>
            <w:r w:rsidRPr="003D7D05">
              <w:rPr>
                <w:rFonts w:eastAsiaTheme="minorHAnsi"/>
                <w:bCs/>
                <w:sz w:val="20"/>
                <w:szCs w:val="20"/>
              </w:rPr>
              <w:t>4,440.00</w:t>
            </w:r>
          </w:p>
        </w:tc>
        <w:tc>
          <w:tcPr>
            <w:tcW w:w="990" w:type="dxa"/>
            <w:noWrap/>
            <w:vAlign w:val="center"/>
            <w:hideMark/>
          </w:tcPr>
          <w:p w:rsidR="004040AC" w:rsidRPr="003D7D05" w:rsidP="00FD7987" w14:paraId="13DF73BA" w14:textId="77777777">
            <w:pPr>
              <w:jc w:val="right"/>
              <w:rPr>
                <w:rFonts w:eastAsiaTheme="minorHAnsi"/>
                <w:bCs/>
                <w:sz w:val="20"/>
                <w:szCs w:val="20"/>
              </w:rPr>
            </w:pPr>
            <w:r w:rsidRPr="003D7D05">
              <w:rPr>
                <w:rFonts w:eastAsiaTheme="minorHAnsi"/>
                <w:bCs/>
                <w:sz w:val="20"/>
                <w:szCs w:val="20"/>
              </w:rPr>
              <w:t>$53.64</w:t>
            </w:r>
          </w:p>
        </w:tc>
        <w:tc>
          <w:tcPr>
            <w:tcW w:w="1260" w:type="dxa"/>
            <w:noWrap/>
            <w:vAlign w:val="center"/>
            <w:hideMark/>
          </w:tcPr>
          <w:p w:rsidR="004040AC" w:rsidRPr="003D7D05" w:rsidP="00FD7987" w14:paraId="7E675493" w14:textId="77777777">
            <w:pPr>
              <w:jc w:val="right"/>
              <w:rPr>
                <w:rFonts w:eastAsiaTheme="minorHAnsi"/>
                <w:bCs/>
                <w:sz w:val="20"/>
                <w:szCs w:val="20"/>
              </w:rPr>
            </w:pPr>
            <w:r w:rsidRPr="003D7D05">
              <w:rPr>
                <w:rFonts w:eastAsiaTheme="minorHAnsi"/>
                <w:bCs/>
                <w:sz w:val="20"/>
                <w:szCs w:val="20"/>
              </w:rPr>
              <w:t>$238,167.72</w:t>
            </w:r>
          </w:p>
        </w:tc>
      </w:tr>
      <w:tr w14:paraId="455C020E" w14:textId="77777777" w:rsidTr="00FD7987">
        <w:tblPrEx>
          <w:tblW w:w="9715" w:type="dxa"/>
          <w:tblLayout w:type="fixed"/>
          <w:tblLook w:val="04A0"/>
        </w:tblPrEx>
        <w:trPr>
          <w:trHeight w:val="363"/>
        </w:trPr>
        <w:tc>
          <w:tcPr>
            <w:tcW w:w="1435" w:type="dxa"/>
            <w:shd w:val="clear" w:color="auto" w:fill="auto"/>
            <w:noWrap/>
            <w:vAlign w:val="center"/>
            <w:hideMark/>
          </w:tcPr>
          <w:p w:rsidR="004040AC" w:rsidRPr="003D7D05" w:rsidP="00FD7987" w14:paraId="5B54EA5A" w14:textId="77777777">
            <w:pPr>
              <w:rPr>
                <w:rFonts w:eastAsiaTheme="minorHAnsi"/>
                <w:b/>
                <w:bCs/>
                <w:i/>
                <w:iCs/>
                <w:sz w:val="20"/>
                <w:szCs w:val="20"/>
              </w:rPr>
            </w:pPr>
            <w:r w:rsidRPr="003D7D05">
              <w:rPr>
                <w:rFonts w:eastAsiaTheme="minorHAnsi"/>
                <w:b/>
                <w:bCs/>
                <w:i/>
                <w:iCs/>
                <w:sz w:val="20"/>
                <w:szCs w:val="20"/>
              </w:rPr>
              <w:t>Subtotal (Rounded)</w:t>
            </w:r>
          </w:p>
        </w:tc>
        <w:tc>
          <w:tcPr>
            <w:tcW w:w="1350" w:type="dxa"/>
            <w:shd w:val="clear" w:color="auto" w:fill="auto"/>
            <w:vAlign w:val="center"/>
          </w:tcPr>
          <w:p w:rsidR="004040AC" w:rsidRPr="003D7D05" w:rsidP="00FD7987" w14:paraId="63AF5EE7" w14:textId="77777777">
            <w:pPr>
              <w:jc w:val="right"/>
              <w:rPr>
                <w:rFonts w:eastAsiaTheme="minorHAnsi"/>
                <w:b/>
                <w:bCs/>
                <w:i/>
                <w:iCs/>
                <w:sz w:val="20"/>
                <w:szCs w:val="20"/>
              </w:rPr>
            </w:pPr>
            <w:r w:rsidRPr="003D7D05">
              <w:rPr>
                <w:rFonts w:eastAsiaTheme="minorHAnsi"/>
                <w:b/>
                <w:bCs/>
                <w:i/>
                <w:iCs/>
                <w:sz w:val="20"/>
                <w:szCs w:val="20"/>
              </w:rPr>
              <w:t>148</w:t>
            </w:r>
          </w:p>
        </w:tc>
        <w:tc>
          <w:tcPr>
            <w:tcW w:w="1260" w:type="dxa"/>
            <w:shd w:val="clear" w:color="auto" w:fill="000000" w:themeFill="text1"/>
            <w:vAlign w:val="center"/>
          </w:tcPr>
          <w:p w:rsidR="004040AC" w:rsidRPr="003D7D05" w:rsidP="00FD7987" w14:paraId="59D8A673" w14:textId="77777777">
            <w:pPr>
              <w:jc w:val="right"/>
              <w:rPr>
                <w:rFonts w:eastAsiaTheme="minorHAnsi"/>
                <w:b/>
                <w:bCs/>
                <w:i/>
                <w:iCs/>
                <w:sz w:val="20"/>
                <w:szCs w:val="20"/>
              </w:rPr>
            </w:pPr>
          </w:p>
        </w:tc>
        <w:tc>
          <w:tcPr>
            <w:tcW w:w="1170" w:type="dxa"/>
            <w:shd w:val="clear" w:color="auto" w:fill="auto"/>
            <w:vAlign w:val="center"/>
          </w:tcPr>
          <w:p w:rsidR="004040AC" w:rsidRPr="003D7D05" w:rsidP="00FD7987" w14:paraId="67765E25" w14:textId="77777777">
            <w:pPr>
              <w:jc w:val="right"/>
              <w:rPr>
                <w:rFonts w:eastAsiaTheme="minorHAnsi"/>
                <w:b/>
                <w:bCs/>
                <w:i/>
                <w:iCs/>
                <w:sz w:val="20"/>
                <w:szCs w:val="20"/>
              </w:rPr>
            </w:pPr>
            <w:r w:rsidRPr="003D7D05">
              <w:rPr>
                <w:rFonts w:eastAsiaTheme="minorHAnsi"/>
                <w:b/>
                <w:bCs/>
                <w:i/>
                <w:iCs/>
                <w:sz w:val="20"/>
                <w:szCs w:val="20"/>
              </w:rPr>
              <w:t>8,880</w:t>
            </w:r>
          </w:p>
        </w:tc>
        <w:tc>
          <w:tcPr>
            <w:tcW w:w="1260" w:type="dxa"/>
            <w:shd w:val="clear" w:color="auto" w:fill="000000" w:themeFill="text1"/>
            <w:vAlign w:val="center"/>
          </w:tcPr>
          <w:p w:rsidR="004040AC" w:rsidRPr="003D7D05" w:rsidP="00FD7987" w14:paraId="43069F83" w14:textId="77777777">
            <w:pPr>
              <w:jc w:val="right"/>
              <w:rPr>
                <w:rFonts w:eastAsiaTheme="minorHAnsi"/>
                <w:b/>
                <w:bCs/>
                <w:i/>
                <w:iCs/>
                <w:sz w:val="20"/>
                <w:szCs w:val="20"/>
              </w:rPr>
            </w:pPr>
          </w:p>
        </w:tc>
        <w:tc>
          <w:tcPr>
            <w:tcW w:w="990" w:type="dxa"/>
            <w:shd w:val="clear" w:color="auto" w:fill="auto"/>
            <w:vAlign w:val="center"/>
          </w:tcPr>
          <w:p w:rsidR="004040AC" w:rsidRPr="003D7D05" w:rsidP="00FD7987" w14:paraId="702237E8" w14:textId="77777777">
            <w:pPr>
              <w:jc w:val="right"/>
              <w:rPr>
                <w:rFonts w:eastAsiaTheme="minorHAnsi"/>
                <w:b/>
                <w:bCs/>
                <w:i/>
                <w:iCs/>
                <w:sz w:val="20"/>
                <w:szCs w:val="20"/>
              </w:rPr>
            </w:pPr>
            <w:r w:rsidRPr="003D7D05">
              <w:rPr>
                <w:rFonts w:eastAsiaTheme="minorHAnsi"/>
                <w:b/>
                <w:bCs/>
                <w:i/>
                <w:iCs/>
                <w:sz w:val="20"/>
                <w:szCs w:val="20"/>
              </w:rPr>
              <w:t>4,440</w:t>
            </w:r>
          </w:p>
        </w:tc>
        <w:tc>
          <w:tcPr>
            <w:tcW w:w="990" w:type="dxa"/>
            <w:shd w:val="clear" w:color="auto" w:fill="000000" w:themeFill="text1"/>
            <w:noWrap/>
            <w:vAlign w:val="center"/>
            <w:hideMark/>
          </w:tcPr>
          <w:p w:rsidR="004040AC" w:rsidRPr="003D7D05" w:rsidP="00FD7987" w14:paraId="6BC7BEE2" w14:textId="77777777">
            <w:pPr>
              <w:jc w:val="right"/>
              <w:rPr>
                <w:rFonts w:eastAsiaTheme="minorHAnsi"/>
                <w:b/>
                <w:bCs/>
                <w:i/>
                <w:iCs/>
                <w:sz w:val="20"/>
                <w:szCs w:val="20"/>
              </w:rPr>
            </w:pPr>
          </w:p>
        </w:tc>
        <w:tc>
          <w:tcPr>
            <w:tcW w:w="1260" w:type="dxa"/>
            <w:shd w:val="clear" w:color="auto" w:fill="auto"/>
            <w:noWrap/>
            <w:vAlign w:val="center"/>
            <w:hideMark/>
          </w:tcPr>
          <w:p w:rsidR="004040AC" w:rsidRPr="003D7D05" w:rsidP="00FD7987" w14:paraId="68F2CAD3" w14:textId="77777777">
            <w:pPr>
              <w:jc w:val="right"/>
              <w:rPr>
                <w:rFonts w:eastAsiaTheme="minorHAnsi"/>
                <w:b/>
                <w:bCs/>
                <w:i/>
                <w:iCs/>
                <w:sz w:val="20"/>
                <w:szCs w:val="20"/>
              </w:rPr>
            </w:pPr>
            <w:r w:rsidRPr="003D7D05">
              <w:rPr>
                <w:rFonts w:eastAsiaTheme="minorHAnsi"/>
                <w:b/>
                <w:bCs/>
                <w:i/>
                <w:iCs/>
                <w:sz w:val="20"/>
                <w:szCs w:val="20"/>
              </w:rPr>
              <w:t>$238,168</w:t>
            </w:r>
          </w:p>
        </w:tc>
      </w:tr>
    </w:tbl>
    <w:p w:rsidR="004040AC" w:rsidRPr="003D7D05" w:rsidP="004040AC" w14:paraId="75C7A129" w14:textId="77777777">
      <w:pPr>
        <w:pStyle w:val="Default"/>
        <w:rPr>
          <w:rFonts w:ascii="Times New Roman" w:hAnsi="Times New Roman" w:cs="Times New Roman"/>
        </w:rPr>
      </w:pPr>
    </w:p>
    <w:p w:rsidR="004040AC" w:rsidRPr="003D7D05" w:rsidP="004040AC" w14:paraId="067E8614" w14:textId="77777777">
      <w:pPr>
        <w:rPr>
          <w:rFonts w:eastAsia="Calibri"/>
          <w:color w:val="000000"/>
        </w:rPr>
      </w:pPr>
      <w:r w:rsidRPr="003D7D05">
        <w:br w:type="page"/>
      </w:r>
    </w:p>
    <w:p w:rsidR="004040AC" w:rsidRPr="003D7D05" w:rsidP="004040AC" w14:paraId="3EEA5B32" w14:textId="77777777">
      <w:pPr>
        <w:pStyle w:val="Default"/>
        <w:rPr>
          <w:rFonts w:ascii="Times New Roman" w:hAnsi="Times New Roman" w:cs="Times New Roman"/>
        </w:rPr>
      </w:pPr>
    </w:p>
    <w:p w:rsidR="004040AC" w:rsidRPr="003D7D05" w:rsidP="004040AC" w14:paraId="3FB97444" w14:textId="77777777">
      <w:pPr>
        <w:pStyle w:val="ListParagraph"/>
        <w:numPr>
          <w:ilvl w:val="0"/>
          <w:numId w:val="12"/>
        </w:numPr>
        <w:rPr>
          <w:b/>
          <w:bCs/>
          <w:color w:val="000000"/>
        </w:rPr>
      </w:pPr>
      <w:r w:rsidRPr="003D7D05">
        <w:rPr>
          <w:b/>
          <w:bCs/>
          <w:color w:val="000000"/>
        </w:rPr>
        <w:t xml:space="preserve">Certifying Mine Emergency Response Training </w:t>
      </w:r>
    </w:p>
    <w:p w:rsidR="004040AC" w:rsidRPr="003D7D05" w:rsidP="004040AC" w14:paraId="48AE2C25" w14:textId="77777777">
      <w:pPr>
        <w:autoSpaceDE w:val="0"/>
        <w:autoSpaceDN w:val="0"/>
        <w:adjustRightInd w:val="0"/>
        <w:rPr>
          <w:color w:val="000000"/>
        </w:rPr>
      </w:pPr>
    </w:p>
    <w:p w:rsidR="004040AC" w:rsidRPr="003D7D05" w:rsidP="004040AC" w14:paraId="5CE0604E" w14:textId="77777777">
      <w:pPr>
        <w:autoSpaceDE w:val="0"/>
        <w:autoSpaceDN w:val="0"/>
        <w:adjustRightInd w:val="0"/>
        <w:rPr>
          <w:color w:val="000000"/>
        </w:rPr>
      </w:pPr>
      <w:r w:rsidRPr="003D7D05">
        <w:rPr>
          <w:color w:val="000000"/>
        </w:rPr>
        <w:t xml:space="preserve">Under 30 CFR 75.1501(a) for each shift that miners work underground, there must be in attendance a responsible person designated by the mine operator to take charge during mine emergencies involving a fire, explosion, or gas or water inundation. </w:t>
      </w:r>
      <w:r w:rsidRPr="003D7D05">
        <w:t xml:space="preserve">Under 30 CFR 75.1501(a)(2), </w:t>
      </w:r>
      <w:r w:rsidRPr="003D7D05">
        <w:rPr>
          <w:color w:val="000000"/>
        </w:rPr>
        <w:t xml:space="preserve">the </w:t>
      </w:r>
      <w:r w:rsidRPr="003D7D05">
        <w:rPr>
          <w:color w:val="000000"/>
        </w:rPr>
        <w:t>responsible person</w:t>
      </w:r>
      <w:r w:rsidRPr="003D7D05">
        <w:rPr>
          <w:color w:val="000000"/>
        </w:rPr>
        <w:t xml:space="preserve"> must be trained annually in a course of instruction in </w:t>
      </w:r>
      <w:r w:rsidRPr="003D7D05">
        <w:rPr>
          <w:color w:val="000000"/>
        </w:rPr>
        <w:t>mine</w:t>
      </w:r>
      <w:r w:rsidRPr="003D7D05">
        <w:rPr>
          <w:color w:val="000000"/>
        </w:rPr>
        <w:t xml:space="preserve"> emergency response, as prescribed by MSHA. Further, under 75.1051(a)(3), the operator must certify by signature and date after each responsible person has completed the training and keep the certification at the mine for 1 year.</w:t>
      </w:r>
    </w:p>
    <w:p w:rsidR="004040AC" w:rsidRPr="003D7D05" w:rsidP="004040AC" w14:paraId="26DB7A83" w14:textId="77777777">
      <w:pPr>
        <w:pStyle w:val="Default"/>
        <w:rPr>
          <w:rFonts w:ascii="Times New Roman" w:hAnsi="Times New Roman" w:cs="Times New Roman"/>
        </w:rPr>
      </w:pPr>
    </w:p>
    <w:p w:rsidR="004040AC" w:rsidRPr="003D7D05" w:rsidP="004040AC" w14:paraId="4CF7B5D3" w14:textId="77777777">
      <w:pPr>
        <w:autoSpaceDE w:val="0"/>
        <w:autoSpaceDN w:val="0"/>
        <w:adjustRightInd w:val="0"/>
        <w:rPr>
          <w:color w:val="000000"/>
        </w:rPr>
      </w:pPr>
      <w:r w:rsidRPr="003D7D05">
        <w:rPr>
          <w:color w:val="000000"/>
        </w:rPr>
        <w:t xml:space="preserve">MSHA believes that there will be two responsible persons for each mine shift because there would be times when the primary responsible person could not be at the mine site. MSHA assumes that an average </w:t>
      </w:r>
      <w:r w:rsidRPr="003D7D05">
        <w:t xml:space="preserve">underground coal </w:t>
      </w:r>
      <w:r w:rsidRPr="003D7D05">
        <w:rPr>
          <w:color w:val="000000"/>
        </w:rPr>
        <w:t xml:space="preserve">mine operates 2 shifts per day, and the operator must certify by signature for both responsible persons that they have completed the training and keep the certification at the mine for one year, totaling 4 certifications per mine. MSHA estimates that it would take a mine supervisor, </w:t>
      </w:r>
      <w:r w:rsidRPr="003D7D05">
        <w:t>earning</w:t>
      </w:r>
      <w:r w:rsidRPr="003D7D05">
        <w:rPr>
          <w:color w:val="000000"/>
        </w:rPr>
        <w:t xml:space="preserve"> </w:t>
      </w:r>
      <w:r w:rsidRPr="003D7D05">
        <w:rPr>
          <w:color w:val="000000"/>
        </w:rPr>
        <w:t>$80.89 per hour, approximately 2 minutes to certify and file each training certification.</w:t>
      </w:r>
    </w:p>
    <w:p w:rsidR="004040AC" w:rsidRPr="003D7D05" w:rsidP="004040AC" w14:paraId="56074F5F" w14:textId="77777777">
      <w:pPr>
        <w:rPr>
          <w:b/>
          <w:bCs/>
        </w:rPr>
      </w:pPr>
    </w:p>
    <w:p w:rsidR="004040AC" w:rsidRPr="003D7D05" w:rsidP="004040AC" w14:paraId="717CC2AE" w14:textId="77777777">
      <w:pPr>
        <w:rPr>
          <w:b/>
          <w:bCs/>
          <w:color w:val="000000"/>
        </w:rPr>
      </w:pPr>
      <w:r w:rsidRPr="003D7D05">
        <w:rPr>
          <w:b/>
          <w:bCs/>
        </w:rPr>
        <w:t>Table 12-6.</w:t>
      </w:r>
      <w:r w:rsidRPr="003D7D05">
        <w:rPr>
          <w:b/>
          <w:bCs/>
          <w:color w:val="000000"/>
        </w:rPr>
        <w:t xml:space="preserve"> Estimated Annual Respondent Hour and Cost Burden, Certifying Mine Emergency Response Training (30 CFR 75.1501)</w:t>
      </w:r>
    </w:p>
    <w:tbl>
      <w:tblPr>
        <w:tblStyle w:val="TableGrid"/>
        <w:tblW w:w="9715" w:type="dxa"/>
        <w:tblLayout w:type="fixed"/>
        <w:tblLook w:val="04A0"/>
      </w:tblPr>
      <w:tblGrid>
        <w:gridCol w:w="1435"/>
        <w:gridCol w:w="1350"/>
        <w:gridCol w:w="1260"/>
        <w:gridCol w:w="1260"/>
        <w:gridCol w:w="1260"/>
        <w:gridCol w:w="900"/>
        <w:gridCol w:w="990"/>
        <w:gridCol w:w="1260"/>
      </w:tblGrid>
      <w:tr w14:paraId="379DAC4F" w14:textId="77777777" w:rsidTr="00FD7987">
        <w:tblPrEx>
          <w:tblW w:w="9715" w:type="dxa"/>
          <w:tblLayout w:type="fixed"/>
          <w:tblLook w:val="04A0"/>
        </w:tblPrEx>
        <w:trPr>
          <w:trHeight w:val="747"/>
        </w:trPr>
        <w:tc>
          <w:tcPr>
            <w:tcW w:w="1435" w:type="dxa"/>
            <w:shd w:val="clear" w:color="auto" w:fill="95B3D7" w:themeFill="accent1" w:themeFillTint="99"/>
            <w:vAlign w:val="center"/>
            <w:hideMark/>
          </w:tcPr>
          <w:p w:rsidR="004040AC" w:rsidRPr="003D7D05" w:rsidP="00FD7987" w14:paraId="5A457EE0" w14:textId="77777777">
            <w:pPr>
              <w:jc w:val="center"/>
              <w:rPr>
                <w:rFonts w:eastAsiaTheme="minorHAnsi"/>
                <w:b/>
                <w:bCs/>
                <w:sz w:val="20"/>
                <w:szCs w:val="20"/>
              </w:rPr>
            </w:pPr>
            <w:r w:rsidRPr="003D7D05">
              <w:rPr>
                <w:b/>
                <w:bCs/>
                <w:sz w:val="20"/>
                <w:szCs w:val="20"/>
              </w:rPr>
              <w:t>Activity (Occupation</w:t>
            </w:r>
            <w:r w:rsidRPr="003D7D05">
              <w:rPr>
                <w:sz w:val="20"/>
                <w:szCs w:val="20"/>
              </w:rPr>
              <w:t>)</w:t>
            </w:r>
          </w:p>
        </w:tc>
        <w:tc>
          <w:tcPr>
            <w:tcW w:w="1350" w:type="dxa"/>
            <w:shd w:val="clear" w:color="auto" w:fill="95B3D7" w:themeFill="accent1" w:themeFillTint="99"/>
            <w:vAlign w:val="center"/>
            <w:hideMark/>
          </w:tcPr>
          <w:p w:rsidR="004040AC" w:rsidRPr="003D7D05" w:rsidP="00FD7987" w14:paraId="37214658" w14:textId="77777777">
            <w:pPr>
              <w:jc w:val="center"/>
              <w:rPr>
                <w:rFonts w:eastAsiaTheme="minorHAnsi"/>
                <w:b/>
                <w:bCs/>
                <w:sz w:val="20"/>
                <w:szCs w:val="20"/>
              </w:rPr>
            </w:pPr>
            <w:r w:rsidRPr="003D7D05">
              <w:rPr>
                <w:rFonts w:eastAsiaTheme="minorHAnsi"/>
                <w:b/>
                <w:bCs/>
                <w:sz w:val="20"/>
                <w:szCs w:val="20"/>
              </w:rPr>
              <w:t>Number of Respondents (Mines)</w:t>
            </w:r>
          </w:p>
        </w:tc>
        <w:tc>
          <w:tcPr>
            <w:tcW w:w="1260" w:type="dxa"/>
            <w:shd w:val="clear" w:color="auto" w:fill="95B3D7" w:themeFill="accent1" w:themeFillTint="99"/>
            <w:vAlign w:val="center"/>
          </w:tcPr>
          <w:p w:rsidR="004040AC" w:rsidRPr="003D7D05" w:rsidP="00FD7987" w14:paraId="1294782F" w14:textId="77777777">
            <w:pPr>
              <w:jc w:val="center"/>
              <w:rPr>
                <w:rFonts w:eastAsiaTheme="minorHAnsi"/>
                <w:b/>
                <w:bCs/>
                <w:sz w:val="20"/>
                <w:szCs w:val="20"/>
              </w:rPr>
            </w:pPr>
            <w:r w:rsidRPr="003D7D05">
              <w:rPr>
                <w:rFonts w:eastAsiaTheme="minorHAnsi"/>
                <w:b/>
                <w:bCs/>
                <w:sz w:val="20"/>
                <w:szCs w:val="20"/>
              </w:rPr>
              <w:t>Number of Responses per Respondent</w:t>
            </w:r>
          </w:p>
        </w:tc>
        <w:tc>
          <w:tcPr>
            <w:tcW w:w="1260" w:type="dxa"/>
            <w:shd w:val="clear" w:color="auto" w:fill="95B3D7" w:themeFill="accent1" w:themeFillTint="99"/>
            <w:vAlign w:val="center"/>
          </w:tcPr>
          <w:p w:rsidR="004040AC" w:rsidRPr="003D7D05" w:rsidP="00FD7987" w14:paraId="64D37139" w14:textId="77777777">
            <w:pPr>
              <w:jc w:val="center"/>
              <w:rPr>
                <w:rFonts w:eastAsiaTheme="minorHAnsi"/>
                <w:b/>
                <w:bCs/>
                <w:sz w:val="20"/>
                <w:szCs w:val="20"/>
              </w:rPr>
            </w:pPr>
            <w:r w:rsidRPr="003D7D05">
              <w:rPr>
                <w:rFonts w:eastAsiaTheme="minorHAnsi"/>
                <w:b/>
                <w:bCs/>
                <w:sz w:val="20"/>
                <w:szCs w:val="20"/>
              </w:rPr>
              <w:t>Total Responses (Trainings)</w:t>
            </w:r>
          </w:p>
        </w:tc>
        <w:tc>
          <w:tcPr>
            <w:tcW w:w="1260" w:type="dxa"/>
            <w:shd w:val="clear" w:color="auto" w:fill="95B3D7" w:themeFill="accent1" w:themeFillTint="99"/>
            <w:vAlign w:val="center"/>
          </w:tcPr>
          <w:p w:rsidR="004040AC" w:rsidRPr="003D7D05" w:rsidP="00FD7987" w14:paraId="1EAB82DB" w14:textId="77777777">
            <w:pPr>
              <w:jc w:val="center"/>
              <w:rPr>
                <w:rFonts w:eastAsiaTheme="minorHAnsi"/>
                <w:b/>
                <w:bCs/>
                <w:sz w:val="20"/>
                <w:szCs w:val="20"/>
              </w:rPr>
            </w:pPr>
            <w:r w:rsidRPr="003D7D05">
              <w:rPr>
                <w:rFonts w:eastAsiaTheme="minorHAnsi"/>
                <w:b/>
                <w:bCs/>
                <w:sz w:val="20"/>
                <w:szCs w:val="20"/>
              </w:rPr>
              <w:t>Average Burden (Hours)</w:t>
            </w:r>
          </w:p>
        </w:tc>
        <w:tc>
          <w:tcPr>
            <w:tcW w:w="900" w:type="dxa"/>
            <w:shd w:val="clear" w:color="auto" w:fill="95B3D7" w:themeFill="accent1" w:themeFillTint="99"/>
            <w:vAlign w:val="center"/>
            <w:hideMark/>
          </w:tcPr>
          <w:p w:rsidR="004040AC" w:rsidRPr="003D7D05" w:rsidP="00FD7987" w14:paraId="34C7DBA8" w14:textId="77777777">
            <w:pPr>
              <w:jc w:val="center"/>
              <w:rPr>
                <w:rFonts w:eastAsiaTheme="minorHAnsi"/>
                <w:b/>
                <w:bCs/>
                <w:sz w:val="20"/>
                <w:szCs w:val="20"/>
              </w:rPr>
            </w:pPr>
            <w:r w:rsidRPr="003D7D05">
              <w:rPr>
                <w:rFonts w:eastAsiaTheme="minorHAnsi"/>
                <w:b/>
                <w:bCs/>
                <w:sz w:val="20"/>
                <w:szCs w:val="20"/>
              </w:rPr>
              <w:t>Total Burden (Hours)</w:t>
            </w:r>
          </w:p>
        </w:tc>
        <w:tc>
          <w:tcPr>
            <w:tcW w:w="990" w:type="dxa"/>
            <w:shd w:val="clear" w:color="auto" w:fill="95B3D7" w:themeFill="accent1" w:themeFillTint="99"/>
            <w:vAlign w:val="center"/>
            <w:hideMark/>
          </w:tcPr>
          <w:p w:rsidR="004040AC" w:rsidRPr="003D7D05" w:rsidP="00FD7987" w14:paraId="72429C89" w14:textId="77777777">
            <w:pPr>
              <w:jc w:val="center"/>
              <w:rPr>
                <w:rFonts w:eastAsiaTheme="minorHAnsi"/>
                <w:b/>
                <w:bCs/>
                <w:sz w:val="20"/>
                <w:szCs w:val="20"/>
              </w:rPr>
            </w:pPr>
            <w:r w:rsidRPr="003D7D05">
              <w:rPr>
                <w:rFonts w:eastAsiaTheme="minorHAnsi"/>
                <w:b/>
                <w:bCs/>
                <w:sz w:val="20"/>
                <w:szCs w:val="20"/>
              </w:rPr>
              <w:t>Hourly Wage Rate</w:t>
            </w:r>
          </w:p>
        </w:tc>
        <w:tc>
          <w:tcPr>
            <w:tcW w:w="1260" w:type="dxa"/>
            <w:shd w:val="clear" w:color="auto" w:fill="95B3D7" w:themeFill="accent1" w:themeFillTint="99"/>
            <w:vAlign w:val="center"/>
            <w:hideMark/>
          </w:tcPr>
          <w:p w:rsidR="004040AC" w:rsidRPr="003D7D05" w:rsidP="00FD7987" w14:paraId="007C322E" w14:textId="77777777">
            <w:pPr>
              <w:jc w:val="center"/>
              <w:rPr>
                <w:rFonts w:eastAsiaTheme="minorHAnsi"/>
                <w:b/>
                <w:bCs/>
                <w:sz w:val="20"/>
                <w:szCs w:val="20"/>
              </w:rPr>
            </w:pPr>
            <w:r w:rsidRPr="003D7D05">
              <w:rPr>
                <w:rFonts w:eastAsiaTheme="minorHAnsi"/>
                <w:b/>
                <w:bCs/>
                <w:sz w:val="20"/>
                <w:szCs w:val="20"/>
              </w:rPr>
              <w:t>Toal Burden Cost</w:t>
            </w:r>
          </w:p>
        </w:tc>
      </w:tr>
      <w:tr w14:paraId="160E1647" w14:textId="77777777" w:rsidTr="00FD7987">
        <w:tblPrEx>
          <w:tblW w:w="9715" w:type="dxa"/>
          <w:tblLayout w:type="fixed"/>
          <w:tblLook w:val="04A0"/>
        </w:tblPrEx>
        <w:trPr>
          <w:trHeight w:val="363"/>
        </w:trPr>
        <w:tc>
          <w:tcPr>
            <w:tcW w:w="1435" w:type="dxa"/>
            <w:noWrap/>
            <w:hideMark/>
          </w:tcPr>
          <w:p w:rsidR="004040AC" w:rsidRPr="003D7D05" w:rsidP="00FD7987" w14:paraId="36E822E0" w14:textId="77777777">
            <w:pPr>
              <w:rPr>
                <w:rFonts w:eastAsiaTheme="minorHAnsi"/>
                <w:bCs/>
                <w:sz w:val="20"/>
                <w:szCs w:val="20"/>
              </w:rPr>
            </w:pPr>
            <w:r w:rsidRPr="003D7D05">
              <w:rPr>
                <w:sz w:val="20"/>
                <w:szCs w:val="20"/>
              </w:rPr>
              <w:t>Certify Training (Supervisor)</w:t>
            </w:r>
          </w:p>
        </w:tc>
        <w:tc>
          <w:tcPr>
            <w:tcW w:w="1350" w:type="dxa"/>
            <w:noWrap/>
            <w:vAlign w:val="center"/>
          </w:tcPr>
          <w:p w:rsidR="004040AC" w:rsidRPr="003D7D05" w:rsidP="00FD7987" w14:paraId="028EB7F5" w14:textId="77777777">
            <w:pPr>
              <w:jc w:val="right"/>
              <w:rPr>
                <w:rFonts w:eastAsiaTheme="minorHAnsi"/>
                <w:bCs/>
                <w:sz w:val="20"/>
                <w:szCs w:val="20"/>
              </w:rPr>
            </w:pPr>
            <w:r w:rsidRPr="003D7D05">
              <w:rPr>
                <w:rFonts w:eastAsiaTheme="minorHAnsi"/>
                <w:bCs/>
                <w:sz w:val="20"/>
                <w:szCs w:val="20"/>
              </w:rPr>
              <w:t>148</w:t>
            </w:r>
          </w:p>
        </w:tc>
        <w:tc>
          <w:tcPr>
            <w:tcW w:w="1260" w:type="dxa"/>
            <w:vAlign w:val="center"/>
          </w:tcPr>
          <w:p w:rsidR="004040AC" w:rsidRPr="003D7D05" w:rsidP="00FD7987" w14:paraId="3833D78B" w14:textId="77777777">
            <w:pPr>
              <w:jc w:val="right"/>
              <w:rPr>
                <w:rFonts w:eastAsiaTheme="minorHAnsi"/>
                <w:bCs/>
                <w:sz w:val="20"/>
                <w:szCs w:val="20"/>
              </w:rPr>
            </w:pPr>
            <w:r w:rsidRPr="003D7D05">
              <w:rPr>
                <w:rFonts w:eastAsiaTheme="minorHAnsi"/>
                <w:bCs/>
                <w:sz w:val="20"/>
                <w:szCs w:val="20"/>
              </w:rPr>
              <w:t>4</w:t>
            </w:r>
          </w:p>
        </w:tc>
        <w:tc>
          <w:tcPr>
            <w:tcW w:w="1260" w:type="dxa"/>
            <w:vAlign w:val="center"/>
          </w:tcPr>
          <w:p w:rsidR="004040AC" w:rsidRPr="003D7D05" w:rsidP="00FD7987" w14:paraId="37E0C96A" w14:textId="77777777">
            <w:pPr>
              <w:jc w:val="right"/>
              <w:rPr>
                <w:rFonts w:eastAsiaTheme="minorHAnsi"/>
                <w:bCs/>
                <w:sz w:val="20"/>
                <w:szCs w:val="20"/>
              </w:rPr>
            </w:pPr>
            <w:r w:rsidRPr="003D7D05">
              <w:rPr>
                <w:rFonts w:eastAsiaTheme="minorHAnsi"/>
                <w:bCs/>
                <w:sz w:val="20"/>
                <w:szCs w:val="20"/>
              </w:rPr>
              <w:t>592</w:t>
            </w:r>
          </w:p>
        </w:tc>
        <w:tc>
          <w:tcPr>
            <w:tcW w:w="1260" w:type="dxa"/>
            <w:vAlign w:val="center"/>
          </w:tcPr>
          <w:p w:rsidR="004040AC" w:rsidRPr="003D7D05" w:rsidP="00FD7987" w14:paraId="459BB0CA" w14:textId="77777777">
            <w:pPr>
              <w:jc w:val="right"/>
              <w:rPr>
                <w:rFonts w:eastAsiaTheme="minorHAnsi"/>
                <w:bCs/>
                <w:sz w:val="20"/>
                <w:szCs w:val="20"/>
              </w:rPr>
            </w:pPr>
            <w:r w:rsidRPr="003D7D05">
              <w:rPr>
                <w:rFonts w:eastAsiaTheme="minorHAnsi"/>
                <w:bCs/>
                <w:sz w:val="20"/>
                <w:szCs w:val="20"/>
              </w:rPr>
              <w:t>0.03</w:t>
            </w:r>
          </w:p>
        </w:tc>
        <w:tc>
          <w:tcPr>
            <w:tcW w:w="900" w:type="dxa"/>
            <w:noWrap/>
            <w:vAlign w:val="center"/>
          </w:tcPr>
          <w:p w:rsidR="004040AC" w:rsidRPr="003D7D05" w:rsidP="00FD7987" w14:paraId="00DA0197" w14:textId="77777777">
            <w:pPr>
              <w:jc w:val="right"/>
              <w:rPr>
                <w:rFonts w:eastAsiaTheme="minorHAnsi"/>
                <w:bCs/>
                <w:sz w:val="20"/>
                <w:szCs w:val="20"/>
              </w:rPr>
            </w:pPr>
            <w:r w:rsidRPr="003D7D05">
              <w:rPr>
                <w:rFonts w:eastAsiaTheme="minorHAnsi"/>
                <w:bCs/>
                <w:sz w:val="20"/>
                <w:szCs w:val="20"/>
              </w:rPr>
              <w:t>19.73</w:t>
            </w:r>
          </w:p>
        </w:tc>
        <w:tc>
          <w:tcPr>
            <w:tcW w:w="990" w:type="dxa"/>
            <w:noWrap/>
            <w:vAlign w:val="center"/>
            <w:hideMark/>
          </w:tcPr>
          <w:p w:rsidR="004040AC" w:rsidRPr="003D7D05" w:rsidP="00FD7987" w14:paraId="467BA6EB" w14:textId="77777777">
            <w:pPr>
              <w:jc w:val="right"/>
              <w:rPr>
                <w:rFonts w:eastAsiaTheme="minorHAnsi"/>
                <w:bCs/>
                <w:sz w:val="20"/>
                <w:szCs w:val="20"/>
              </w:rPr>
            </w:pPr>
            <w:r w:rsidRPr="003D7D05">
              <w:rPr>
                <w:rFonts w:eastAsiaTheme="minorHAnsi"/>
                <w:bCs/>
                <w:sz w:val="20"/>
                <w:szCs w:val="20"/>
              </w:rPr>
              <w:t>$80.89</w:t>
            </w:r>
          </w:p>
        </w:tc>
        <w:tc>
          <w:tcPr>
            <w:tcW w:w="1260" w:type="dxa"/>
            <w:noWrap/>
            <w:vAlign w:val="center"/>
            <w:hideMark/>
          </w:tcPr>
          <w:p w:rsidR="004040AC" w:rsidRPr="003D7D05" w:rsidP="00FD7987" w14:paraId="10BF4D88" w14:textId="77777777">
            <w:pPr>
              <w:jc w:val="right"/>
              <w:rPr>
                <w:rFonts w:eastAsiaTheme="minorHAnsi"/>
                <w:bCs/>
                <w:sz w:val="20"/>
                <w:szCs w:val="20"/>
              </w:rPr>
            </w:pPr>
            <w:r w:rsidRPr="003D7D05">
              <w:rPr>
                <w:rFonts w:eastAsiaTheme="minorHAnsi"/>
                <w:bCs/>
                <w:sz w:val="20"/>
                <w:szCs w:val="20"/>
              </w:rPr>
              <w:t>$1,596.25</w:t>
            </w:r>
          </w:p>
        </w:tc>
      </w:tr>
      <w:tr w14:paraId="4F98C159" w14:textId="77777777" w:rsidTr="00FD7987">
        <w:tblPrEx>
          <w:tblW w:w="9715" w:type="dxa"/>
          <w:tblLayout w:type="fixed"/>
          <w:tblLook w:val="04A0"/>
        </w:tblPrEx>
        <w:trPr>
          <w:trHeight w:val="363"/>
        </w:trPr>
        <w:tc>
          <w:tcPr>
            <w:tcW w:w="1435" w:type="dxa"/>
            <w:shd w:val="clear" w:color="auto" w:fill="auto"/>
            <w:noWrap/>
            <w:vAlign w:val="center"/>
            <w:hideMark/>
          </w:tcPr>
          <w:p w:rsidR="004040AC" w:rsidRPr="003D7D05" w:rsidP="00FD7987" w14:paraId="35795A4A" w14:textId="77777777">
            <w:pPr>
              <w:rPr>
                <w:rFonts w:eastAsiaTheme="minorHAnsi"/>
                <w:b/>
                <w:bCs/>
                <w:i/>
                <w:iCs/>
                <w:sz w:val="20"/>
                <w:szCs w:val="20"/>
              </w:rPr>
            </w:pPr>
            <w:r w:rsidRPr="003D7D05">
              <w:rPr>
                <w:rFonts w:eastAsiaTheme="minorHAnsi"/>
                <w:b/>
                <w:bCs/>
                <w:i/>
                <w:iCs/>
                <w:sz w:val="20"/>
                <w:szCs w:val="20"/>
              </w:rPr>
              <w:t>Subtotal (Rounded)</w:t>
            </w:r>
          </w:p>
        </w:tc>
        <w:tc>
          <w:tcPr>
            <w:tcW w:w="1350" w:type="dxa"/>
            <w:shd w:val="clear" w:color="auto" w:fill="auto"/>
            <w:vAlign w:val="center"/>
          </w:tcPr>
          <w:p w:rsidR="004040AC" w:rsidRPr="003D7D05" w:rsidP="00FD7987" w14:paraId="0B89A114" w14:textId="77777777">
            <w:pPr>
              <w:jc w:val="right"/>
              <w:rPr>
                <w:rFonts w:eastAsiaTheme="minorHAnsi"/>
                <w:b/>
                <w:bCs/>
                <w:i/>
                <w:iCs/>
                <w:sz w:val="20"/>
                <w:szCs w:val="20"/>
              </w:rPr>
            </w:pPr>
            <w:r w:rsidRPr="003D7D05">
              <w:rPr>
                <w:rFonts w:eastAsiaTheme="minorHAnsi"/>
                <w:b/>
                <w:bCs/>
                <w:i/>
                <w:iCs/>
                <w:sz w:val="20"/>
                <w:szCs w:val="20"/>
              </w:rPr>
              <w:t>148</w:t>
            </w:r>
          </w:p>
        </w:tc>
        <w:tc>
          <w:tcPr>
            <w:tcW w:w="1260" w:type="dxa"/>
            <w:shd w:val="clear" w:color="auto" w:fill="000000" w:themeFill="text1"/>
            <w:vAlign w:val="center"/>
          </w:tcPr>
          <w:p w:rsidR="004040AC" w:rsidRPr="003D7D05" w:rsidP="00FD7987" w14:paraId="39F527BA" w14:textId="77777777">
            <w:pPr>
              <w:jc w:val="right"/>
              <w:rPr>
                <w:rFonts w:eastAsiaTheme="minorHAnsi"/>
                <w:b/>
                <w:bCs/>
                <w:i/>
                <w:iCs/>
                <w:sz w:val="20"/>
                <w:szCs w:val="20"/>
              </w:rPr>
            </w:pPr>
          </w:p>
        </w:tc>
        <w:tc>
          <w:tcPr>
            <w:tcW w:w="1260" w:type="dxa"/>
            <w:shd w:val="clear" w:color="auto" w:fill="auto"/>
            <w:vAlign w:val="center"/>
          </w:tcPr>
          <w:p w:rsidR="004040AC" w:rsidRPr="003D7D05" w:rsidP="00FD7987" w14:paraId="0D01CB89" w14:textId="77777777">
            <w:pPr>
              <w:jc w:val="right"/>
              <w:rPr>
                <w:rFonts w:eastAsiaTheme="minorHAnsi"/>
                <w:b/>
                <w:bCs/>
                <w:i/>
                <w:iCs/>
                <w:sz w:val="20"/>
                <w:szCs w:val="20"/>
              </w:rPr>
            </w:pPr>
            <w:r w:rsidRPr="003D7D05">
              <w:rPr>
                <w:rFonts w:eastAsiaTheme="minorHAnsi"/>
                <w:b/>
                <w:bCs/>
                <w:i/>
                <w:iCs/>
                <w:sz w:val="20"/>
                <w:szCs w:val="20"/>
              </w:rPr>
              <w:t>592</w:t>
            </w:r>
          </w:p>
        </w:tc>
        <w:tc>
          <w:tcPr>
            <w:tcW w:w="1260" w:type="dxa"/>
            <w:shd w:val="clear" w:color="auto" w:fill="000000" w:themeFill="text1"/>
            <w:vAlign w:val="center"/>
          </w:tcPr>
          <w:p w:rsidR="004040AC" w:rsidRPr="003D7D05" w:rsidP="00FD7987" w14:paraId="18EA0CC1" w14:textId="77777777">
            <w:pPr>
              <w:jc w:val="right"/>
              <w:rPr>
                <w:rFonts w:eastAsiaTheme="minorHAnsi"/>
                <w:b/>
                <w:bCs/>
                <w:i/>
                <w:iCs/>
                <w:sz w:val="20"/>
                <w:szCs w:val="20"/>
              </w:rPr>
            </w:pPr>
          </w:p>
        </w:tc>
        <w:tc>
          <w:tcPr>
            <w:tcW w:w="900" w:type="dxa"/>
            <w:shd w:val="clear" w:color="auto" w:fill="auto"/>
            <w:vAlign w:val="center"/>
          </w:tcPr>
          <w:p w:rsidR="004040AC" w:rsidRPr="003D7D05" w:rsidP="00FD7987" w14:paraId="65F8149D" w14:textId="77777777">
            <w:pPr>
              <w:jc w:val="right"/>
              <w:rPr>
                <w:rFonts w:eastAsiaTheme="minorHAnsi"/>
                <w:b/>
                <w:bCs/>
                <w:i/>
                <w:iCs/>
                <w:sz w:val="20"/>
                <w:szCs w:val="20"/>
              </w:rPr>
            </w:pPr>
            <w:r w:rsidRPr="003D7D05">
              <w:rPr>
                <w:rFonts w:eastAsiaTheme="minorHAnsi"/>
                <w:b/>
                <w:bCs/>
                <w:i/>
                <w:iCs/>
                <w:sz w:val="20"/>
                <w:szCs w:val="20"/>
              </w:rPr>
              <w:t>20</w:t>
            </w:r>
          </w:p>
        </w:tc>
        <w:tc>
          <w:tcPr>
            <w:tcW w:w="990" w:type="dxa"/>
            <w:shd w:val="clear" w:color="auto" w:fill="000000" w:themeFill="text1"/>
            <w:noWrap/>
            <w:vAlign w:val="center"/>
            <w:hideMark/>
          </w:tcPr>
          <w:p w:rsidR="004040AC" w:rsidRPr="003D7D05" w:rsidP="00FD7987" w14:paraId="793BB654" w14:textId="77777777">
            <w:pPr>
              <w:jc w:val="right"/>
              <w:rPr>
                <w:rFonts w:eastAsiaTheme="minorHAnsi"/>
                <w:b/>
                <w:bCs/>
                <w:i/>
                <w:iCs/>
                <w:sz w:val="20"/>
                <w:szCs w:val="20"/>
              </w:rPr>
            </w:pPr>
          </w:p>
        </w:tc>
        <w:tc>
          <w:tcPr>
            <w:tcW w:w="1260" w:type="dxa"/>
            <w:shd w:val="clear" w:color="auto" w:fill="auto"/>
            <w:noWrap/>
            <w:vAlign w:val="center"/>
            <w:hideMark/>
          </w:tcPr>
          <w:p w:rsidR="004040AC" w:rsidRPr="003D7D05" w:rsidP="00FD7987" w14:paraId="02CEB8EB" w14:textId="77777777">
            <w:pPr>
              <w:jc w:val="right"/>
              <w:rPr>
                <w:rFonts w:eastAsiaTheme="minorHAnsi"/>
                <w:b/>
                <w:bCs/>
                <w:i/>
                <w:iCs/>
                <w:sz w:val="20"/>
                <w:szCs w:val="20"/>
              </w:rPr>
            </w:pPr>
            <w:r w:rsidRPr="003D7D05">
              <w:rPr>
                <w:rFonts w:eastAsiaTheme="minorHAnsi"/>
                <w:b/>
                <w:bCs/>
                <w:i/>
                <w:iCs/>
                <w:sz w:val="20"/>
                <w:szCs w:val="20"/>
              </w:rPr>
              <w:t>$1,596</w:t>
            </w:r>
          </w:p>
        </w:tc>
      </w:tr>
    </w:tbl>
    <w:p w:rsidR="004040AC" w:rsidRPr="003D7D05" w:rsidP="004040AC" w14:paraId="323E5318" w14:textId="77777777">
      <w:pPr>
        <w:autoSpaceDE w:val="0"/>
        <w:autoSpaceDN w:val="0"/>
        <w:adjustRightInd w:val="0"/>
        <w:rPr>
          <w:color w:val="000000"/>
        </w:rPr>
      </w:pPr>
    </w:p>
    <w:p w:rsidR="004040AC" w:rsidRPr="003D7D05" w:rsidP="004040AC" w14:paraId="1C068F72" w14:textId="77777777">
      <w:pPr>
        <w:pStyle w:val="ListParagraph"/>
        <w:numPr>
          <w:ilvl w:val="0"/>
          <w:numId w:val="12"/>
        </w:numPr>
        <w:rPr>
          <w:b/>
          <w:bCs/>
        </w:rPr>
      </w:pPr>
      <w:r w:rsidRPr="003D7D05">
        <w:rPr>
          <w:b/>
          <w:bCs/>
          <w:color w:val="000000"/>
        </w:rPr>
        <w:t>Submitting Mine Emergency Evacuation and Firefighting Program of Instruction for MSHA Approval (30 CFR 75.1502)</w:t>
      </w:r>
    </w:p>
    <w:p w:rsidR="004040AC" w:rsidRPr="003D7D05" w:rsidP="004040AC" w14:paraId="42B9C615" w14:textId="77777777">
      <w:pPr>
        <w:autoSpaceDE w:val="0"/>
        <w:autoSpaceDN w:val="0"/>
        <w:adjustRightInd w:val="0"/>
        <w:rPr>
          <w:color w:val="000000"/>
        </w:rPr>
      </w:pPr>
    </w:p>
    <w:p w:rsidR="004040AC" w:rsidRPr="003D7D05" w:rsidP="004040AC" w14:paraId="6BF0D9E9" w14:textId="77777777">
      <w:pPr>
        <w:autoSpaceDE w:val="0"/>
        <w:autoSpaceDN w:val="0"/>
        <w:adjustRightInd w:val="0"/>
        <w:rPr>
          <w:color w:val="000000"/>
        </w:rPr>
      </w:pPr>
      <w:r w:rsidRPr="003D7D05">
        <w:rPr>
          <w:color w:val="000000"/>
        </w:rPr>
        <w:t>Under 30 CFR 75.1502, each operator of an underground coal mine must adopt and follow a mine emergency evacuation and firefighting program that instructs all miners in the proper procedures they must follow if a mine emergency occurs.</w:t>
      </w:r>
    </w:p>
    <w:p w:rsidR="004040AC" w:rsidRPr="003D7D05" w:rsidP="004040AC" w14:paraId="11E4A806" w14:textId="77777777">
      <w:pPr>
        <w:autoSpaceDE w:val="0"/>
        <w:autoSpaceDN w:val="0"/>
        <w:adjustRightInd w:val="0"/>
        <w:rPr>
          <w:color w:val="000000"/>
        </w:rPr>
      </w:pPr>
    </w:p>
    <w:p w:rsidR="004040AC" w:rsidRPr="003D7D05" w:rsidP="004040AC" w14:paraId="0C0EA2B5" w14:textId="77777777">
      <w:pPr>
        <w:autoSpaceDE w:val="0"/>
        <w:autoSpaceDN w:val="0"/>
        <w:adjustRightInd w:val="0"/>
        <w:rPr>
          <w:color w:val="000000"/>
        </w:rPr>
      </w:pPr>
      <w:r w:rsidRPr="003D7D05">
        <w:rPr>
          <w:color w:val="000000"/>
        </w:rPr>
        <w:t>Under 30 CFR 75.1502(a) the operator must submit this program of instruction, and any revisions, for approval to the District Manager in which the mine is located. Within 30 days of approval, the operator must conduct training in accordance with the revised program.</w:t>
      </w:r>
    </w:p>
    <w:p w:rsidR="004040AC" w:rsidRPr="003D7D05" w:rsidP="004040AC" w14:paraId="2884B9E5" w14:textId="77777777">
      <w:pPr>
        <w:autoSpaceDE w:val="0"/>
        <w:autoSpaceDN w:val="0"/>
        <w:adjustRightInd w:val="0"/>
        <w:rPr>
          <w:color w:val="000000"/>
        </w:rPr>
      </w:pPr>
    </w:p>
    <w:p w:rsidR="004040AC" w:rsidRPr="003D7D05" w:rsidP="004040AC" w14:paraId="06DC4C41" w14:textId="77777777">
      <w:pPr>
        <w:autoSpaceDE w:val="0"/>
        <w:autoSpaceDN w:val="0"/>
        <w:adjustRightInd w:val="0"/>
        <w:rPr>
          <w:color w:val="000000"/>
        </w:rPr>
      </w:pPr>
      <w:r w:rsidRPr="003D7D05">
        <w:rPr>
          <w:color w:val="000000"/>
        </w:rPr>
        <w:t>Additionally, under 30 CFR 75.1502(b), before implementing any new or revised approved provision in the program of instruction, the operator must instruct miners in the change.</w:t>
      </w:r>
    </w:p>
    <w:p w:rsidR="004040AC" w:rsidRPr="003D7D05" w:rsidP="004040AC" w14:paraId="4C6606B8" w14:textId="77777777">
      <w:pPr>
        <w:autoSpaceDE w:val="0"/>
        <w:autoSpaceDN w:val="0"/>
        <w:adjustRightInd w:val="0"/>
        <w:rPr>
          <w:b/>
          <w:bCs/>
          <w:color w:val="000000"/>
        </w:rPr>
      </w:pPr>
    </w:p>
    <w:p w:rsidR="004040AC" w:rsidRPr="003D7D05" w:rsidP="004040AC" w14:paraId="011CA806" w14:textId="77777777">
      <w:pPr>
        <w:pStyle w:val="Default"/>
        <w:rPr>
          <w:rFonts w:ascii="Times New Roman" w:hAnsi="Times New Roman" w:cs="Times New Roman"/>
        </w:rPr>
      </w:pPr>
      <w:r w:rsidRPr="003D7D05">
        <w:rPr>
          <w:rFonts w:ascii="Times New Roman" w:hAnsi="Times New Roman" w:cs="Times New Roman"/>
        </w:rPr>
        <w:t>Approved mine emergency evacuation and firefighting programs of instruction (PI) should not require regular updates and approvals since these programs should generally be applicable for extended periods. New mines will require the development of mine emergency evacuation and firefighting PI and the submission of these PI to the District Manager for approval. Considering an estimated average underground coal mine life of 4 – 5 years, MSHA believes that 10 percent of the 148 total currently active underground coal mines (</w:t>
      </w:r>
      <w:bookmarkStart w:id="14" w:name="_Hlk96505636"/>
      <w:r w:rsidRPr="003D7D05">
        <w:rPr>
          <w:rFonts w:ascii="Times New Roman" w:hAnsi="Times New Roman" w:cs="Times New Roman"/>
        </w:rPr>
        <w:t>roughly 15 mines</w:t>
      </w:r>
      <w:bookmarkEnd w:id="14"/>
      <w:r w:rsidRPr="003D7D05">
        <w:rPr>
          <w:rFonts w:ascii="Times New Roman" w:hAnsi="Times New Roman" w:cs="Times New Roman"/>
        </w:rPr>
        <w:t xml:space="preserve">) will develop and submit a mine emergency evacuation and firefighting PI to the District Manager for approval annually. This figure includes a limited number of revisions to existing PI. </w:t>
      </w:r>
    </w:p>
    <w:p w:rsidR="004040AC" w:rsidRPr="003D7D05" w:rsidP="004040AC" w14:paraId="4366A63A" w14:textId="77777777">
      <w:pPr>
        <w:pStyle w:val="Default"/>
        <w:rPr>
          <w:rFonts w:ascii="Times New Roman" w:hAnsi="Times New Roman" w:cs="Times New Roman"/>
        </w:rPr>
      </w:pPr>
    </w:p>
    <w:p w:rsidR="004040AC" w:rsidRPr="003D7D05" w:rsidP="004040AC" w14:paraId="5403D3D1" w14:textId="77777777">
      <w:pPr>
        <w:rPr>
          <w:b/>
          <w:bCs/>
        </w:rPr>
      </w:pPr>
      <w:r w:rsidRPr="003D7D05">
        <w:t xml:space="preserve">MSHA estimates that it takes a mine supervisor, earning $80.89 per hour, approximately 3 hours to prepare a PI. MSHA also estimates that it takes a clerk, earning $35.16 per hour, approximately 1 hour to copy and prepare the PI for mailing to the District Manager. </w:t>
      </w:r>
    </w:p>
    <w:p w:rsidR="004040AC" w:rsidRPr="003D7D05" w:rsidP="004040AC" w14:paraId="31E1C893" w14:textId="77777777">
      <w:pPr>
        <w:rPr>
          <w:b/>
          <w:bCs/>
        </w:rPr>
      </w:pPr>
    </w:p>
    <w:p w:rsidR="004040AC" w:rsidRPr="003D7D05" w:rsidP="004040AC" w14:paraId="3DD88C77" w14:textId="77777777">
      <w:pPr>
        <w:autoSpaceDE w:val="0"/>
        <w:autoSpaceDN w:val="0"/>
        <w:adjustRightInd w:val="0"/>
        <w:rPr>
          <w:b/>
          <w:bCs/>
          <w:color w:val="000000"/>
        </w:rPr>
      </w:pPr>
      <w:r w:rsidRPr="003D7D05">
        <w:rPr>
          <w:b/>
          <w:bCs/>
        </w:rPr>
        <w:t>Table 12-7.</w:t>
      </w:r>
      <w:r w:rsidRPr="003D7D05">
        <w:rPr>
          <w:b/>
          <w:bCs/>
          <w:color w:val="000000"/>
        </w:rPr>
        <w:t xml:space="preserve"> Estimated Annual Respondent Hour and Cost Burden, Submitting Mine Emergency Evacuation and Firefighting Program of Instruction (30 CFR 75.1502)</w:t>
      </w:r>
    </w:p>
    <w:tbl>
      <w:tblPr>
        <w:tblStyle w:val="TableGrid"/>
        <w:tblW w:w="9805" w:type="dxa"/>
        <w:tblLayout w:type="fixed"/>
        <w:tblLook w:val="04A0"/>
      </w:tblPr>
      <w:tblGrid>
        <w:gridCol w:w="1435"/>
        <w:gridCol w:w="1350"/>
        <w:gridCol w:w="1260"/>
        <w:gridCol w:w="1260"/>
        <w:gridCol w:w="1260"/>
        <w:gridCol w:w="990"/>
        <w:gridCol w:w="990"/>
        <w:gridCol w:w="1260"/>
      </w:tblGrid>
      <w:tr w14:paraId="1DB7D099" w14:textId="77777777" w:rsidTr="00FD7987">
        <w:tblPrEx>
          <w:tblW w:w="9805" w:type="dxa"/>
          <w:tblLayout w:type="fixed"/>
          <w:tblLook w:val="04A0"/>
        </w:tblPrEx>
        <w:trPr>
          <w:trHeight w:val="747"/>
        </w:trPr>
        <w:tc>
          <w:tcPr>
            <w:tcW w:w="1435" w:type="dxa"/>
            <w:shd w:val="clear" w:color="auto" w:fill="95B3D7" w:themeFill="accent1" w:themeFillTint="99"/>
            <w:vAlign w:val="center"/>
            <w:hideMark/>
          </w:tcPr>
          <w:p w:rsidR="004040AC" w:rsidRPr="003D7D05" w:rsidP="00FD7987" w14:paraId="37917BA3" w14:textId="77777777">
            <w:pPr>
              <w:jc w:val="center"/>
              <w:rPr>
                <w:rFonts w:eastAsiaTheme="minorHAnsi"/>
                <w:b/>
                <w:bCs/>
                <w:sz w:val="20"/>
                <w:szCs w:val="20"/>
              </w:rPr>
            </w:pPr>
            <w:r w:rsidRPr="003D7D05">
              <w:rPr>
                <w:b/>
                <w:bCs/>
                <w:sz w:val="20"/>
                <w:szCs w:val="20"/>
              </w:rPr>
              <w:t>Activity (Occupation</w:t>
            </w:r>
            <w:r w:rsidRPr="003D7D05">
              <w:rPr>
                <w:sz w:val="20"/>
                <w:szCs w:val="20"/>
              </w:rPr>
              <w:t>)</w:t>
            </w:r>
          </w:p>
        </w:tc>
        <w:tc>
          <w:tcPr>
            <w:tcW w:w="1350" w:type="dxa"/>
            <w:shd w:val="clear" w:color="auto" w:fill="95B3D7" w:themeFill="accent1" w:themeFillTint="99"/>
            <w:vAlign w:val="center"/>
            <w:hideMark/>
          </w:tcPr>
          <w:p w:rsidR="004040AC" w:rsidRPr="003D7D05" w:rsidP="00FD7987" w14:paraId="6340DDDA" w14:textId="77777777">
            <w:pPr>
              <w:jc w:val="center"/>
              <w:rPr>
                <w:rFonts w:eastAsiaTheme="minorHAnsi"/>
                <w:b/>
                <w:bCs/>
                <w:sz w:val="20"/>
                <w:szCs w:val="20"/>
              </w:rPr>
            </w:pPr>
            <w:r w:rsidRPr="003D7D05">
              <w:rPr>
                <w:rFonts w:eastAsiaTheme="minorHAnsi"/>
                <w:b/>
                <w:bCs/>
                <w:sz w:val="20"/>
                <w:szCs w:val="20"/>
              </w:rPr>
              <w:t>Number of Respondents (Mines)</w:t>
            </w:r>
          </w:p>
        </w:tc>
        <w:tc>
          <w:tcPr>
            <w:tcW w:w="1260" w:type="dxa"/>
            <w:shd w:val="clear" w:color="auto" w:fill="95B3D7" w:themeFill="accent1" w:themeFillTint="99"/>
            <w:vAlign w:val="center"/>
          </w:tcPr>
          <w:p w:rsidR="004040AC" w:rsidRPr="003D7D05" w:rsidP="00FD7987" w14:paraId="4A8BD288" w14:textId="77777777">
            <w:pPr>
              <w:jc w:val="center"/>
              <w:rPr>
                <w:rFonts w:eastAsiaTheme="minorHAnsi"/>
                <w:b/>
                <w:bCs/>
                <w:sz w:val="20"/>
                <w:szCs w:val="20"/>
              </w:rPr>
            </w:pPr>
            <w:r w:rsidRPr="003D7D05">
              <w:rPr>
                <w:rFonts w:eastAsiaTheme="minorHAnsi"/>
                <w:b/>
                <w:bCs/>
                <w:sz w:val="20"/>
                <w:szCs w:val="20"/>
              </w:rPr>
              <w:t>Number of Responses per Respondent</w:t>
            </w:r>
          </w:p>
        </w:tc>
        <w:tc>
          <w:tcPr>
            <w:tcW w:w="1260" w:type="dxa"/>
            <w:shd w:val="clear" w:color="auto" w:fill="95B3D7" w:themeFill="accent1" w:themeFillTint="99"/>
            <w:vAlign w:val="center"/>
          </w:tcPr>
          <w:p w:rsidR="004040AC" w:rsidRPr="003D7D05" w:rsidP="00FD7987" w14:paraId="7118792E" w14:textId="77777777">
            <w:pPr>
              <w:jc w:val="center"/>
              <w:rPr>
                <w:rFonts w:eastAsiaTheme="minorHAnsi"/>
                <w:b/>
                <w:bCs/>
                <w:sz w:val="20"/>
                <w:szCs w:val="20"/>
              </w:rPr>
            </w:pPr>
            <w:r w:rsidRPr="003D7D05">
              <w:rPr>
                <w:rFonts w:eastAsiaTheme="minorHAnsi"/>
                <w:b/>
                <w:bCs/>
                <w:sz w:val="20"/>
                <w:szCs w:val="20"/>
              </w:rPr>
              <w:t>Total Responses (Programs)</w:t>
            </w:r>
          </w:p>
        </w:tc>
        <w:tc>
          <w:tcPr>
            <w:tcW w:w="1260" w:type="dxa"/>
            <w:shd w:val="clear" w:color="auto" w:fill="95B3D7" w:themeFill="accent1" w:themeFillTint="99"/>
            <w:vAlign w:val="center"/>
          </w:tcPr>
          <w:p w:rsidR="004040AC" w:rsidRPr="003D7D05" w:rsidP="00FD7987" w14:paraId="52EDC861" w14:textId="77777777">
            <w:pPr>
              <w:jc w:val="center"/>
              <w:rPr>
                <w:rFonts w:eastAsiaTheme="minorHAnsi"/>
                <w:b/>
                <w:bCs/>
                <w:sz w:val="20"/>
                <w:szCs w:val="20"/>
              </w:rPr>
            </w:pPr>
            <w:r w:rsidRPr="003D7D05">
              <w:rPr>
                <w:rFonts w:eastAsiaTheme="minorHAnsi"/>
                <w:b/>
                <w:bCs/>
                <w:sz w:val="20"/>
                <w:szCs w:val="20"/>
              </w:rPr>
              <w:t>Average Burden (Hours)</w:t>
            </w:r>
          </w:p>
        </w:tc>
        <w:tc>
          <w:tcPr>
            <w:tcW w:w="990" w:type="dxa"/>
            <w:shd w:val="clear" w:color="auto" w:fill="95B3D7" w:themeFill="accent1" w:themeFillTint="99"/>
            <w:vAlign w:val="center"/>
            <w:hideMark/>
          </w:tcPr>
          <w:p w:rsidR="004040AC" w:rsidRPr="003D7D05" w:rsidP="00FD7987" w14:paraId="072D1605" w14:textId="77777777">
            <w:pPr>
              <w:jc w:val="center"/>
              <w:rPr>
                <w:rFonts w:eastAsiaTheme="minorHAnsi"/>
                <w:b/>
                <w:bCs/>
                <w:sz w:val="20"/>
                <w:szCs w:val="20"/>
              </w:rPr>
            </w:pPr>
            <w:r w:rsidRPr="003D7D05">
              <w:rPr>
                <w:rFonts w:eastAsiaTheme="minorHAnsi"/>
                <w:b/>
                <w:bCs/>
                <w:sz w:val="20"/>
                <w:szCs w:val="20"/>
              </w:rPr>
              <w:t>Total Burden (Hours)</w:t>
            </w:r>
          </w:p>
        </w:tc>
        <w:tc>
          <w:tcPr>
            <w:tcW w:w="990" w:type="dxa"/>
            <w:shd w:val="clear" w:color="auto" w:fill="95B3D7" w:themeFill="accent1" w:themeFillTint="99"/>
            <w:vAlign w:val="center"/>
            <w:hideMark/>
          </w:tcPr>
          <w:p w:rsidR="004040AC" w:rsidRPr="003D7D05" w:rsidP="00FD7987" w14:paraId="67B27D0E" w14:textId="77777777">
            <w:pPr>
              <w:jc w:val="center"/>
              <w:rPr>
                <w:rFonts w:eastAsiaTheme="minorHAnsi"/>
                <w:b/>
                <w:bCs/>
                <w:sz w:val="20"/>
                <w:szCs w:val="20"/>
              </w:rPr>
            </w:pPr>
            <w:r w:rsidRPr="003D7D05">
              <w:rPr>
                <w:rFonts w:eastAsiaTheme="minorHAnsi"/>
                <w:b/>
                <w:bCs/>
                <w:sz w:val="20"/>
                <w:szCs w:val="20"/>
              </w:rPr>
              <w:t>Hourly Wage Rate</w:t>
            </w:r>
          </w:p>
        </w:tc>
        <w:tc>
          <w:tcPr>
            <w:tcW w:w="1260" w:type="dxa"/>
            <w:shd w:val="clear" w:color="auto" w:fill="95B3D7" w:themeFill="accent1" w:themeFillTint="99"/>
            <w:vAlign w:val="center"/>
            <w:hideMark/>
          </w:tcPr>
          <w:p w:rsidR="004040AC" w:rsidRPr="003D7D05" w:rsidP="00FD7987" w14:paraId="4574679D" w14:textId="77777777">
            <w:pPr>
              <w:jc w:val="center"/>
              <w:rPr>
                <w:rFonts w:eastAsiaTheme="minorHAnsi"/>
                <w:b/>
                <w:bCs/>
                <w:sz w:val="20"/>
                <w:szCs w:val="20"/>
              </w:rPr>
            </w:pPr>
            <w:r w:rsidRPr="003D7D05">
              <w:rPr>
                <w:rFonts w:eastAsiaTheme="minorHAnsi"/>
                <w:b/>
                <w:bCs/>
                <w:sz w:val="20"/>
                <w:szCs w:val="20"/>
              </w:rPr>
              <w:t>Toal Burden Cost</w:t>
            </w:r>
          </w:p>
        </w:tc>
      </w:tr>
      <w:tr w14:paraId="780775E8" w14:textId="77777777" w:rsidTr="00FD7987">
        <w:tblPrEx>
          <w:tblW w:w="9805" w:type="dxa"/>
          <w:tblLayout w:type="fixed"/>
          <w:tblLook w:val="04A0"/>
        </w:tblPrEx>
        <w:trPr>
          <w:trHeight w:val="363"/>
        </w:trPr>
        <w:tc>
          <w:tcPr>
            <w:tcW w:w="1435" w:type="dxa"/>
            <w:noWrap/>
            <w:hideMark/>
          </w:tcPr>
          <w:p w:rsidR="004040AC" w:rsidRPr="003D7D05" w:rsidP="00FD7987" w14:paraId="2FCA39E7" w14:textId="77777777">
            <w:pPr>
              <w:rPr>
                <w:rFonts w:eastAsiaTheme="minorHAnsi"/>
                <w:bCs/>
                <w:sz w:val="20"/>
                <w:szCs w:val="20"/>
              </w:rPr>
            </w:pPr>
            <w:r w:rsidRPr="003D7D05">
              <w:rPr>
                <w:sz w:val="20"/>
                <w:szCs w:val="20"/>
              </w:rPr>
              <w:t>Preparing PI (Supervisor)</w:t>
            </w:r>
          </w:p>
        </w:tc>
        <w:tc>
          <w:tcPr>
            <w:tcW w:w="1350" w:type="dxa"/>
            <w:noWrap/>
            <w:vAlign w:val="center"/>
          </w:tcPr>
          <w:p w:rsidR="004040AC" w:rsidRPr="003D7D05" w:rsidP="00FD7987" w14:paraId="7C1C0EDB" w14:textId="77777777">
            <w:pPr>
              <w:jc w:val="right"/>
              <w:rPr>
                <w:rFonts w:eastAsiaTheme="minorHAnsi"/>
                <w:bCs/>
                <w:sz w:val="20"/>
                <w:szCs w:val="20"/>
              </w:rPr>
            </w:pPr>
            <w:r w:rsidRPr="003D7D05">
              <w:rPr>
                <w:rFonts w:eastAsiaTheme="minorHAnsi"/>
                <w:bCs/>
                <w:sz w:val="20"/>
                <w:szCs w:val="20"/>
              </w:rPr>
              <w:t>148</w:t>
            </w:r>
          </w:p>
        </w:tc>
        <w:tc>
          <w:tcPr>
            <w:tcW w:w="1260" w:type="dxa"/>
            <w:vAlign w:val="center"/>
          </w:tcPr>
          <w:p w:rsidR="004040AC" w:rsidRPr="003D7D05" w:rsidP="00FD7987" w14:paraId="5B72F3C0" w14:textId="77777777">
            <w:pPr>
              <w:jc w:val="right"/>
              <w:rPr>
                <w:rFonts w:eastAsiaTheme="minorHAnsi"/>
                <w:bCs/>
                <w:sz w:val="20"/>
                <w:szCs w:val="20"/>
              </w:rPr>
            </w:pPr>
            <w:r w:rsidRPr="003D7D05">
              <w:rPr>
                <w:rFonts w:eastAsiaTheme="minorHAnsi"/>
                <w:bCs/>
                <w:sz w:val="20"/>
                <w:szCs w:val="20"/>
              </w:rPr>
              <w:t>0.10</w:t>
            </w:r>
          </w:p>
        </w:tc>
        <w:tc>
          <w:tcPr>
            <w:tcW w:w="1260" w:type="dxa"/>
            <w:vAlign w:val="center"/>
          </w:tcPr>
          <w:p w:rsidR="004040AC" w:rsidRPr="003D7D05" w:rsidP="00FD7987" w14:paraId="63FDE0E5" w14:textId="77777777">
            <w:pPr>
              <w:jc w:val="right"/>
              <w:rPr>
                <w:rFonts w:eastAsiaTheme="minorHAnsi"/>
                <w:bCs/>
                <w:sz w:val="20"/>
                <w:szCs w:val="20"/>
              </w:rPr>
            </w:pPr>
            <w:r w:rsidRPr="003D7D05">
              <w:rPr>
                <w:rFonts w:eastAsiaTheme="minorHAnsi"/>
                <w:bCs/>
                <w:sz w:val="20"/>
                <w:szCs w:val="20"/>
              </w:rPr>
              <w:t>15</w:t>
            </w:r>
          </w:p>
        </w:tc>
        <w:tc>
          <w:tcPr>
            <w:tcW w:w="1260" w:type="dxa"/>
            <w:vAlign w:val="center"/>
          </w:tcPr>
          <w:p w:rsidR="004040AC" w:rsidRPr="003D7D05" w:rsidP="00FD7987" w14:paraId="1DA98A5C" w14:textId="77777777">
            <w:pPr>
              <w:jc w:val="right"/>
              <w:rPr>
                <w:rFonts w:eastAsiaTheme="minorHAnsi"/>
                <w:bCs/>
                <w:sz w:val="20"/>
                <w:szCs w:val="20"/>
              </w:rPr>
            </w:pPr>
            <w:r w:rsidRPr="003D7D05">
              <w:rPr>
                <w:rFonts w:eastAsiaTheme="minorHAnsi"/>
                <w:bCs/>
                <w:sz w:val="20"/>
                <w:szCs w:val="20"/>
              </w:rPr>
              <w:t>3.00</w:t>
            </w:r>
          </w:p>
        </w:tc>
        <w:tc>
          <w:tcPr>
            <w:tcW w:w="990" w:type="dxa"/>
            <w:noWrap/>
            <w:vAlign w:val="center"/>
          </w:tcPr>
          <w:p w:rsidR="004040AC" w:rsidRPr="003D7D05" w:rsidP="00FD7987" w14:paraId="0C2DA4BF" w14:textId="77777777">
            <w:pPr>
              <w:jc w:val="right"/>
              <w:rPr>
                <w:rFonts w:eastAsiaTheme="minorHAnsi"/>
                <w:bCs/>
                <w:sz w:val="20"/>
                <w:szCs w:val="20"/>
              </w:rPr>
            </w:pPr>
            <w:r w:rsidRPr="003D7D05">
              <w:rPr>
                <w:rFonts w:eastAsiaTheme="minorHAnsi"/>
                <w:bCs/>
                <w:sz w:val="20"/>
                <w:szCs w:val="20"/>
              </w:rPr>
              <w:t>45.00</w:t>
            </w:r>
          </w:p>
        </w:tc>
        <w:tc>
          <w:tcPr>
            <w:tcW w:w="990" w:type="dxa"/>
            <w:noWrap/>
            <w:vAlign w:val="center"/>
            <w:hideMark/>
          </w:tcPr>
          <w:p w:rsidR="004040AC" w:rsidRPr="003D7D05" w:rsidP="00FD7987" w14:paraId="4E15E523" w14:textId="77777777">
            <w:pPr>
              <w:jc w:val="right"/>
              <w:rPr>
                <w:rFonts w:eastAsiaTheme="minorHAnsi"/>
                <w:bCs/>
                <w:sz w:val="20"/>
                <w:szCs w:val="20"/>
              </w:rPr>
            </w:pPr>
            <w:r w:rsidRPr="003D7D05">
              <w:rPr>
                <w:rFonts w:eastAsiaTheme="minorHAnsi"/>
                <w:bCs/>
                <w:sz w:val="20"/>
                <w:szCs w:val="20"/>
              </w:rPr>
              <w:t>$80.89</w:t>
            </w:r>
          </w:p>
        </w:tc>
        <w:tc>
          <w:tcPr>
            <w:tcW w:w="1260" w:type="dxa"/>
            <w:noWrap/>
            <w:vAlign w:val="center"/>
          </w:tcPr>
          <w:p w:rsidR="004040AC" w:rsidRPr="003D7D05" w:rsidP="00FD7987" w14:paraId="390460EF" w14:textId="77777777">
            <w:pPr>
              <w:jc w:val="right"/>
              <w:rPr>
                <w:rFonts w:eastAsiaTheme="minorHAnsi"/>
                <w:bCs/>
                <w:sz w:val="20"/>
                <w:szCs w:val="20"/>
              </w:rPr>
            </w:pPr>
            <w:r w:rsidRPr="003D7D05">
              <w:rPr>
                <w:rFonts w:eastAsiaTheme="minorHAnsi"/>
                <w:bCs/>
                <w:sz w:val="20"/>
                <w:szCs w:val="20"/>
              </w:rPr>
              <w:t>$3,640.10</w:t>
            </w:r>
          </w:p>
        </w:tc>
      </w:tr>
      <w:tr w14:paraId="112B66EC" w14:textId="77777777" w:rsidTr="00FD7987">
        <w:tblPrEx>
          <w:tblW w:w="9805" w:type="dxa"/>
          <w:tblLayout w:type="fixed"/>
          <w:tblLook w:val="04A0"/>
        </w:tblPrEx>
        <w:trPr>
          <w:trHeight w:val="363"/>
        </w:trPr>
        <w:tc>
          <w:tcPr>
            <w:tcW w:w="1435" w:type="dxa"/>
            <w:noWrap/>
          </w:tcPr>
          <w:p w:rsidR="004040AC" w:rsidRPr="003D7D05" w:rsidP="00FD7987" w14:paraId="51433141" w14:textId="77777777">
            <w:pPr>
              <w:rPr>
                <w:sz w:val="20"/>
                <w:szCs w:val="20"/>
              </w:rPr>
            </w:pPr>
            <w:r w:rsidRPr="003D7D05">
              <w:rPr>
                <w:sz w:val="20"/>
                <w:szCs w:val="20"/>
              </w:rPr>
              <w:t>Copying and Preparing PI for Submission (Clerk)</w:t>
            </w:r>
          </w:p>
        </w:tc>
        <w:tc>
          <w:tcPr>
            <w:tcW w:w="1350" w:type="dxa"/>
            <w:noWrap/>
            <w:vAlign w:val="center"/>
          </w:tcPr>
          <w:p w:rsidR="004040AC" w:rsidRPr="003D7D05" w:rsidP="00FD7987" w14:paraId="19C55AB7" w14:textId="77777777">
            <w:pPr>
              <w:jc w:val="right"/>
              <w:rPr>
                <w:rFonts w:eastAsiaTheme="minorHAnsi"/>
                <w:bCs/>
                <w:sz w:val="20"/>
                <w:szCs w:val="20"/>
              </w:rPr>
            </w:pPr>
            <w:r w:rsidRPr="003D7D05">
              <w:rPr>
                <w:rFonts w:eastAsiaTheme="minorHAnsi"/>
                <w:bCs/>
                <w:sz w:val="20"/>
                <w:szCs w:val="20"/>
              </w:rPr>
              <w:t>148</w:t>
            </w:r>
          </w:p>
        </w:tc>
        <w:tc>
          <w:tcPr>
            <w:tcW w:w="1260" w:type="dxa"/>
            <w:vAlign w:val="center"/>
          </w:tcPr>
          <w:p w:rsidR="004040AC" w:rsidRPr="003D7D05" w:rsidP="00FD7987" w14:paraId="4335D8A0" w14:textId="77777777">
            <w:pPr>
              <w:jc w:val="right"/>
              <w:rPr>
                <w:rFonts w:eastAsiaTheme="minorHAnsi"/>
                <w:bCs/>
                <w:sz w:val="20"/>
                <w:szCs w:val="20"/>
              </w:rPr>
            </w:pPr>
            <w:r w:rsidRPr="003D7D05">
              <w:rPr>
                <w:rFonts w:eastAsiaTheme="minorHAnsi"/>
                <w:bCs/>
                <w:sz w:val="20"/>
                <w:szCs w:val="20"/>
              </w:rPr>
              <w:t>0.10</w:t>
            </w:r>
          </w:p>
        </w:tc>
        <w:tc>
          <w:tcPr>
            <w:tcW w:w="1260" w:type="dxa"/>
            <w:vAlign w:val="center"/>
          </w:tcPr>
          <w:p w:rsidR="004040AC" w:rsidRPr="003D7D05" w:rsidP="00FD7987" w14:paraId="03C44A2B" w14:textId="77777777">
            <w:pPr>
              <w:jc w:val="right"/>
              <w:rPr>
                <w:rFonts w:eastAsiaTheme="minorHAnsi"/>
                <w:bCs/>
                <w:sz w:val="20"/>
                <w:szCs w:val="20"/>
              </w:rPr>
            </w:pPr>
            <w:r w:rsidRPr="003D7D05">
              <w:rPr>
                <w:rFonts w:eastAsiaTheme="minorHAnsi"/>
                <w:bCs/>
                <w:sz w:val="20"/>
                <w:szCs w:val="20"/>
              </w:rPr>
              <w:t>15</w:t>
            </w:r>
          </w:p>
        </w:tc>
        <w:tc>
          <w:tcPr>
            <w:tcW w:w="1260" w:type="dxa"/>
            <w:vAlign w:val="center"/>
          </w:tcPr>
          <w:p w:rsidR="004040AC" w:rsidRPr="003D7D05" w:rsidP="00FD7987" w14:paraId="1C5E1782" w14:textId="77777777">
            <w:pPr>
              <w:jc w:val="right"/>
              <w:rPr>
                <w:rFonts w:eastAsiaTheme="minorHAnsi"/>
                <w:bCs/>
                <w:sz w:val="20"/>
                <w:szCs w:val="20"/>
              </w:rPr>
            </w:pPr>
            <w:r w:rsidRPr="003D7D05">
              <w:rPr>
                <w:rFonts w:eastAsiaTheme="minorHAnsi"/>
                <w:bCs/>
                <w:sz w:val="20"/>
                <w:szCs w:val="20"/>
              </w:rPr>
              <w:t>1.00</w:t>
            </w:r>
          </w:p>
        </w:tc>
        <w:tc>
          <w:tcPr>
            <w:tcW w:w="990" w:type="dxa"/>
            <w:noWrap/>
            <w:vAlign w:val="center"/>
          </w:tcPr>
          <w:p w:rsidR="004040AC" w:rsidRPr="003D7D05" w:rsidP="00FD7987" w14:paraId="60B89F6E" w14:textId="77777777">
            <w:pPr>
              <w:jc w:val="right"/>
              <w:rPr>
                <w:rFonts w:eastAsiaTheme="minorHAnsi"/>
                <w:bCs/>
                <w:sz w:val="20"/>
                <w:szCs w:val="20"/>
              </w:rPr>
            </w:pPr>
            <w:r w:rsidRPr="003D7D05">
              <w:rPr>
                <w:rFonts w:eastAsiaTheme="minorHAnsi"/>
                <w:bCs/>
                <w:sz w:val="20"/>
                <w:szCs w:val="20"/>
              </w:rPr>
              <w:t>15.00</w:t>
            </w:r>
          </w:p>
        </w:tc>
        <w:tc>
          <w:tcPr>
            <w:tcW w:w="990" w:type="dxa"/>
            <w:noWrap/>
            <w:vAlign w:val="center"/>
          </w:tcPr>
          <w:p w:rsidR="004040AC" w:rsidRPr="003D7D05" w:rsidP="00FD7987" w14:paraId="25C92A8F" w14:textId="77777777">
            <w:pPr>
              <w:jc w:val="right"/>
              <w:rPr>
                <w:rFonts w:eastAsiaTheme="minorHAnsi"/>
                <w:bCs/>
                <w:sz w:val="20"/>
                <w:szCs w:val="20"/>
              </w:rPr>
            </w:pPr>
            <w:r w:rsidRPr="003D7D05">
              <w:rPr>
                <w:rFonts w:eastAsiaTheme="minorHAnsi"/>
                <w:bCs/>
                <w:sz w:val="20"/>
                <w:szCs w:val="20"/>
              </w:rPr>
              <w:t>$35.16</w:t>
            </w:r>
          </w:p>
        </w:tc>
        <w:tc>
          <w:tcPr>
            <w:tcW w:w="1260" w:type="dxa"/>
            <w:noWrap/>
            <w:vAlign w:val="center"/>
          </w:tcPr>
          <w:p w:rsidR="004040AC" w:rsidRPr="003D7D05" w:rsidP="00FD7987" w14:paraId="3172837F" w14:textId="77777777">
            <w:pPr>
              <w:jc w:val="right"/>
              <w:rPr>
                <w:rFonts w:eastAsiaTheme="minorHAnsi"/>
                <w:bCs/>
                <w:sz w:val="20"/>
                <w:szCs w:val="20"/>
              </w:rPr>
            </w:pPr>
            <w:r w:rsidRPr="003D7D05">
              <w:rPr>
                <w:rFonts w:eastAsiaTheme="minorHAnsi"/>
                <w:bCs/>
                <w:sz w:val="20"/>
                <w:szCs w:val="20"/>
              </w:rPr>
              <w:t>$536.33</w:t>
            </w:r>
          </w:p>
        </w:tc>
      </w:tr>
      <w:tr w14:paraId="470D571D" w14:textId="77777777" w:rsidTr="00FD7987">
        <w:tblPrEx>
          <w:tblW w:w="9805" w:type="dxa"/>
          <w:tblLayout w:type="fixed"/>
          <w:tblLook w:val="04A0"/>
        </w:tblPrEx>
        <w:trPr>
          <w:trHeight w:val="363"/>
        </w:trPr>
        <w:tc>
          <w:tcPr>
            <w:tcW w:w="1435" w:type="dxa"/>
            <w:shd w:val="clear" w:color="auto" w:fill="auto"/>
            <w:noWrap/>
            <w:vAlign w:val="center"/>
            <w:hideMark/>
          </w:tcPr>
          <w:p w:rsidR="004040AC" w:rsidRPr="003D7D05" w:rsidP="00FD7987" w14:paraId="49181FA9" w14:textId="77777777">
            <w:pPr>
              <w:rPr>
                <w:rFonts w:eastAsiaTheme="minorHAnsi"/>
                <w:b/>
                <w:bCs/>
                <w:i/>
                <w:iCs/>
                <w:sz w:val="20"/>
                <w:szCs w:val="20"/>
              </w:rPr>
            </w:pPr>
            <w:r w:rsidRPr="003D7D05">
              <w:rPr>
                <w:rFonts w:eastAsiaTheme="minorHAnsi"/>
                <w:b/>
                <w:bCs/>
                <w:i/>
                <w:iCs/>
                <w:sz w:val="20"/>
                <w:szCs w:val="20"/>
              </w:rPr>
              <w:t>Subtotal (Rounded)</w:t>
            </w:r>
          </w:p>
        </w:tc>
        <w:tc>
          <w:tcPr>
            <w:tcW w:w="1350" w:type="dxa"/>
            <w:shd w:val="clear" w:color="auto" w:fill="auto"/>
            <w:vAlign w:val="center"/>
          </w:tcPr>
          <w:p w:rsidR="004040AC" w:rsidRPr="003D7D05" w:rsidP="00FD7987" w14:paraId="3D836B83" w14:textId="77777777">
            <w:pPr>
              <w:jc w:val="right"/>
              <w:rPr>
                <w:rFonts w:eastAsiaTheme="minorHAnsi"/>
                <w:b/>
                <w:bCs/>
                <w:i/>
                <w:iCs/>
                <w:sz w:val="20"/>
                <w:szCs w:val="20"/>
              </w:rPr>
            </w:pPr>
            <w:r w:rsidRPr="003D7D05">
              <w:rPr>
                <w:rFonts w:eastAsiaTheme="minorHAnsi"/>
                <w:b/>
                <w:bCs/>
                <w:i/>
                <w:iCs/>
                <w:sz w:val="20"/>
                <w:szCs w:val="20"/>
              </w:rPr>
              <w:t>148</w:t>
            </w:r>
          </w:p>
        </w:tc>
        <w:tc>
          <w:tcPr>
            <w:tcW w:w="1260" w:type="dxa"/>
            <w:shd w:val="clear" w:color="auto" w:fill="000000" w:themeFill="text1"/>
            <w:vAlign w:val="center"/>
          </w:tcPr>
          <w:p w:rsidR="004040AC" w:rsidRPr="003D7D05" w:rsidP="00FD7987" w14:paraId="75C0679D" w14:textId="77777777">
            <w:pPr>
              <w:jc w:val="right"/>
              <w:rPr>
                <w:rFonts w:eastAsiaTheme="minorHAnsi"/>
                <w:b/>
                <w:bCs/>
                <w:i/>
                <w:iCs/>
                <w:sz w:val="20"/>
                <w:szCs w:val="20"/>
              </w:rPr>
            </w:pPr>
          </w:p>
        </w:tc>
        <w:tc>
          <w:tcPr>
            <w:tcW w:w="1260" w:type="dxa"/>
            <w:shd w:val="clear" w:color="auto" w:fill="auto"/>
            <w:vAlign w:val="center"/>
          </w:tcPr>
          <w:p w:rsidR="004040AC" w:rsidRPr="003D7D05" w:rsidP="00FD7987" w14:paraId="7153E8DE" w14:textId="77777777">
            <w:pPr>
              <w:jc w:val="right"/>
              <w:rPr>
                <w:rFonts w:eastAsiaTheme="minorHAnsi"/>
                <w:b/>
                <w:bCs/>
                <w:i/>
                <w:iCs/>
                <w:sz w:val="20"/>
                <w:szCs w:val="20"/>
              </w:rPr>
            </w:pPr>
            <w:r w:rsidRPr="003D7D05">
              <w:rPr>
                <w:rFonts w:eastAsiaTheme="minorHAnsi"/>
                <w:b/>
                <w:bCs/>
                <w:i/>
                <w:iCs/>
                <w:sz w:val="20"/>
                <w:szCs w:val="20"/>
              </w:rPr>
              <w:t>15</w:t>
            </w:r>
          </w:p>
        </w:tc>
        <w:tc>
          <w:tcPr>
            <w:tcW w:w="1260" w:type="dxa"/>
            <w:shd w:val="clear" w:color="auto" w:fill="000000" w:themeFill="text1"/>
            <w:vAlign w:val="center"/>
          </w:tcPr>
          <w:p w:rsidR="004040AC" w:rsidRPr="003D7D05" w:rsidP="00FD7987" w14:paraId="3B199026" w14:textId="77777777">
            <w:pPr>
              <w:jc w:val="right"/>
              <w:rPr>
                <w:rFonts w:eastAsiaTheme="minorHAnsi"/>
                <w:b/>
                <w:bCs/>
                <w:i/>
                <w:iCs/>
                <w:sz w:val="20"/>
                <w:szCs w:val="20"/>
              </w:rPr>
            </w:pPr>
          </w:p>
        </w:tc>
        <w:tc>
          <w:tcPr>
            <w:tcW w:w="990" w:type="dxa"/>
            <w:shd w:val="clear" w:color="auto" w:fill="auto"/>
            <w:vAlign w:val="center"/>
          </w:tcPr>
          <w:p w:rsidR="004040AC" w:rsidRPr="003D7D05" w:rsidP="00FD7987" w14:paraId="5EBBD340" w14:textId="77777777">
            <w:pPr>
              <w:jc w:val="right"/>
              <w:rPr>
                <w:rFonts w:eastAsiaTheme="minorHAnsi"/>
                <w:b/>
                <w:bCs/>
                <w:i/>
                <w:iCs/>
                <w:sz w:val="20"/>
                <w:szCs w:val="20"/>
              </w:rPr>
            </w:pPr>
            <w:r w:rsidRPr="003D7D05">
              <w:rPr>
                <w:rFonts w:eastAsiaTheme="minorHAnsi"/>
                <w:b/>
                <w:bCs/>
                <w:i/>
                <w:iCs/>
                <w:sz w:val="20"/>
                <w:szCs w:val="20"/>
              </w:rPr>
              <w:t>60</w:t>
            </w:r>
          </w:p>
        </w:tc>
        <w:tc>
          <w:tcPr>
            <w:tcW w:w="990" w:type="dxa"/>
            <w:shd w:val="clear" w:color="auto" w:fill="000000" w:themeFill="text1"/>
            <w:noWrap/>
            <w:vAlign w:val="center"/>
            <w:hideMark/>
          </w:tcPr>
          <w:p w:rsidR="004040AC" w:rsidRPr="003D7D05" w:rsidP="00FD7987" w14:paraId="66A42919" w14:textId="77777777">
            <w:pPr>
              <w:jc w:val="right"/>
              <w:rPr>
                <w:rFonts w:eastAsiaTheme="minorHAnsi"/>
                <w:b/>
                <w:bCs/>
                <w:i/>
                <w:iCs/>
                <w:sz w:val="20"/>
                <w:szCs w:val="20"/>
              </w:rPr>
            </w:pPr>
          </w:p>
        </w:tc>
        <w:tc>
          <w:tcPr>
            <w:tcW w:w="1260" w:type="dxa"/>
            <w:shd w:val="clear" w:color="auto" w:fill="auto"/>
            <w:noWrap/>
            <w:vAlign w:val="center"/>
          </w:tcPr>
          <w:p w:rsidR="004040AC" w:rsidRPr="003D7D05" w:rsidP="00FD7987" w14:paraId="42C97EAC" w14:textId="77777777">
            <w:pPr>
              <w:jc w:val="right"/>
              <w:rPr>
                <w:rFonts w:eastAsiaTheme="minorHAnsi"/>
                <w:b/>
                <w:bCs/>
                <w:i/>
                <w:iCs/>
                <w:sz w:val="20"/>
                <w:szCs w:val="20"/>
              </w:rPr>
            </w:pPr>
            <w:r w:rsidRPr="003D7D05">
              <w:rPr>
                <w:rFonts w:eastAsiaTheme="minorHAnsi"/>
                <w:b/>
                <w:bCs/>
                <w:i/>
                <w:iCs/>
                <w:sz w:val="20"/>
                <w:szCs w:val="20"/>
              </w:rPr>
              <w:t>$4,167</w:t>
            </w:r>
          </w:p>
        </w:tc>
      </w:tr>
    </w:tbl>
    <w:p w:rsidR="004040AC" w:rsidRPr="003D7D05" w:rsidP="004040AC" w14:paraId="65D3CA13" w14:textId="77777777">
      <w:pPr>
        <w:pStyle w:val="Default"/>
        <w:rPr>
          <w:rFonts w:ascii="Times New Roman" w:hAnsi="Times New Roman" w:cs="Times New Roman"/>
        </w:rPr>
      </w:pPr>
    </w:p>
    <w:p w:rsidR="004040AC" w:rsidRPr="003D7D05" w:rsidP="004040AC" w14:paraId="08FC333E" w14:textId="77777777">
      <w:pPr>
        <w:autoSpaceDE w:val="0"/>
        <w:autoSpaceDN w:val="0"/>
        <w:adjustRightInd w:val="0"/>
        <w:rPr>
          <w:color w:val="000000"/>
        </w:rPr>
      </w:pPr>
      <w:r w:rsidRPr="003D7D05">
        <w:rPr>
          <w:color w:val="000000"/>
        </w:rPr>
        <w:t xml:space="preserve">All fire suppression devices must be visually inspected at least once each week under 30 CFR 75.1107-16(a), and each fire suppression device must be tested and maintained under 30 CFR 75.1107-16(b). Weekly examinations and pre-shift examinations are noted in </w:t>
      </w:r>
      <w:r w:rsidRPr="003D7D05">
        <w:rPr>
          <w:color w:val="000000"/>
        </w:rPr>
        <w:t>a mine’s</w:t>
      </w:r>
      <w:r w:rsidRPr="003D7D05">
        <w:rPr>
          <w:color w:val="000000"/>
        </w:rPr>
        <w:t xml:space="preserve"> logbook, following the standards outlined in 30 CFR 75.363 and 364. There </w:t>
      </w:r>
      <w:r w:rsidRPr="003D7D05">
        <w:rPr>
          <w:color w:val="000000"/>
        </w:rPr>
        <w:t>is</w:t>
      </w:r>
      <w:r w:rsidRPr="003D7D05">
        <w:rPr>
          <w:color w:val="000000"/>
        </w:rPr>
        <w:t xml:space="preserve"> no separate fire suppression examinations and no information collection burden.</w:t>
      </w:r>
    </w:p>
    <w:p w:rsidR="004040AC" w:rsidRPr="003D7D05" w:rsidP="004040AC" w14:paraId="4E467A0F" w14:textId="77777777">
      <w:pPr>
        <w:rPr>
          <w:rFonts w:eastAsia="Calibri"/>
          <w:b/>
          <w:bCs/>
          <w:color w:val="000000"/>
        </w:rPr>
      </w:pPr>
    </w:p>
    <w:p w:rsidR="004040AC" w:rsidRPr="003D7D05" w:rsidP="004040AC" w14:paraId="00C5758F" w14:textId="77777777">
      <w:pPr>
        <w:pStyle w:val="Default"/>
        <w:rPr>
          <w:rFonts w:ascii="Times New Roman" w:hAnsi="Times New Roman" w:cs="Times New Roman"/>
          <w:b/>
          <w:bCs/>
        </w:rPr>
      </w:pPr>
      <w:bookmarkStart w:id="15" w:name="_Hlk181187861"/>
      <w:bookmarkStart w:id="16" w:name="_Hlk114568991"/>
      <w:r w:rsidRPr="003D7D05">
        <w:rPr>
          <w:rFonts w:ascii="Times New Roman" w:hAnsi="Times New Roman" w:cs="Times New Roman"/>
          <w:b/>
          <w:bCs/>
        </w:rPr>
        <w:t>Hour Burden Summary</w:t>
      </w:r>
    </w:p>
    <w:p w:rsidR="004040AC" w:rsidRPr="003D7D05" w:rsidP="004040AC" w14:paraId="323B95D7" w14:textId="77777777">
      <w:pPr>
        <w:rPr>
          <w:bCs/>
        </w:rPr>
      </w:pPr>
    </w:p>
    <w:p w:rsidR="004040AC" w:rsidRPr="003D7D05" w:rsidP="004040AC" w14:paraId="32F01700" w14:textId="77777777">
      <w:pPr>
        <w:rPr>
          <w:bCs/>
        </w:rPr>
      </w:pPr>
      <w:r w:rsidRPr="003D7D05">
        <w:t xml:space="preserve">MSHA estimates that the 148 respondents (active underground coal mines) would incur, on average, an annual collection burden of 15,878 hours with an associated annual cost of $1,145,173. </w:t>
      </w:r>
      <w:bookmarkStart w:id="17" w:name="_Hlk172027024"/>
      <w:r w:rsidRPr="003D7D05">
        <w:t>The annual respondent hour and cost burden is summarized in the summary table below.</w:t>
      </w:r>
    </w:p>
    <w:bookmarkEnd w:id="15"/>
    <w:bookmarkEnd w:id="17"/>
    <w:p w:rsidR="004040AC" w:rsidRPr="003D7D05" w:rsidP="004040AC" w14:paraId="3FAF1B54" w14:textId="77777777">
      <w:pPr>
        <w:rPr>
          <w:bCs/>
        </w:rPr>
      </w:pPr>
    </w:p>
    <w:p w:rsidR="004040AC" w:rsidRPr="003D7D05" w:rsidP="004040AC" w14:paraId="3BB829D0" w14:textId="77777777">
      <w:pPr>
        <w:rPr>
          <w:b/>
          <w:bCs/>
          <w:color w:val="000000"/>
        </w:rPr>
      </w:pPr>
      <w:bookmarkStart w:id="18" w:name="_Hlk114568999"/>
      <w:bookmarkEnd w:id="16"/>
      <w:r w:rsidRPr="003D7D05">
        <w:rPr>
          <w:b/>
          <w:bCs/>
          <w:color w:val="000000"/>
        </w:rPr>
        <w:br w:type="page"/>
      </w:r>
    </w:p>
    <w:p w:rsidR="004040AC" w:rsidRPr="003D7D05" w:rsidP="004040AC" w14:paraId="2328ECE0" w14:textId="77777777">
      <w:pPr>
        <w:rPr>
          <w:b/>
          <w:bCs/>
          <w:color w:val="000000"/>
        </w:rPr>
      </w:pPr>
      <w:r w:rsidRPr="003D7D05">
        <w:rPr>
          <w:b/>
          <w:bCs/>
          <w:color w:val="000000"/>
        </w:rPr>
        <w:t xml:space="preserve">Table 12-8. </w:t>
      </w:r>
      <w:bookmarkStart w:id="19" w:name="_Hlk167267643"/>
      <w:r w:rsidRPr="003D7D05">
        <w:rPr>
          <w:b/>
          <w:bCs/>
          <w:color w:val="000000"/>
        </w:rPr>
        <w:t>Estimated Annual Respondent Hour and Cost Burden</w:t>
      </w:r>
      <w:bookmarkEnd w:id="19"/>
      <w:r w:rsidRPr="003D7D05">
        <w:rPr>
          <w:b/>
          <w:bCs/>
          <w:color w:val="000000"/>
        </w:rPr>
        <w:t xml:space="preserve">, Summary </w:t>
      </w:r>
    </w:p>
    <w:tbl>
      <w:tblPr>
        <w:tblStyle w:val="TableGrid"/>
        <w:tblW w:w="9810" w:type="dxa"/>
        <w:tblInd w:w="-5" w:type="dxa"/>
        <w:tblLayout w:type="fixed"/>
        <w:tblLook w:val="04A0"/>
      </w:tblPr>
      <w:tblGrid>
        <w:gridCol w:w="1800"/>
        <w:gridCol w:w="1350"/>
        <w:gridCol w:w="1350"/>
        <w:gridCol w:w="1170"/>
        <w:gridCol w:w="990"/>
        <w:gridCol w:w="990"/>
        <w:gridCol w:w="900"/>
        <w:gridCol w:w="1260"/>
      </w:tblGrid>
      <w:tr w14:paraId="219D8CF2" w14:textId="77777777" w:rsidTr="00FD7987">
        <w:tblPrEx>
          <w:tblW w:w="9810" w:type="dxa"/>
          <w:tblInd w:w="-5" w:type="dxa"/>
          <w:tblLayout w:type="fixed"/>
          <w:tblLook w:val="04A0"/>
        </w:tblPrEx>
        <w:trPr>
          <w:trHeight w:val="614"/>
        </w:trPr>
        <w:tc>
          <w:tcPr>
            <w:tcW w:w="1800" w:type="dxa"/>
            <w:shd w:val="clear" w:color="auto" w:fill="95B3D7" w:themeFill="accent1" w:themeFillTint="99"/>
            <w:vAlign w:val="center"/>
          </w:tcPr>
          <w:p w:rsidR="004040AC" w:rsidRPr="003D7D05" w:rsidP="00FD7987" w14:paraId="74141ED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0"/>
                <w:szCs w:val="20"/>
              </w:rPr>
            </w:pPr>
            <w:bookmarkStart w:id="20" w:name="_Hlk187400868"/>
            <w:bookmarkStart w:id="21" w:name="_Hlk114568982"/>
            <w:bookmarkEnd w:id="18"/>
            <w:r w:rsidRPr="003D7D05">
              <w:rPr>
                <w:b/>
                <w:bCs/>
                <w:sz w:val="20"/>
                <w:szCs w:val="20"/>
              </w:rPr>
              <w:t>Activity</w:t>
            </w:r>
          </w:p>
        </w:tc>
        <w:tc>
          <w:tcPr>
            <w:tcW w:w="1350" w:type="dxa"/>
            <w:shd w:val="clear" w:color="auto" w:fill="95B3D7" w:themeFill="accent1" w:themeFillTint="99"/>
            <w:vAlign w:val="center"/>
          </w:tcPr>
          <w:p w:rsidR="004040AC" w:rsidRPr="003D7D05" w:rsidP="00FD7987" w14:paraId="42EF492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0"/>
                <w:szCs w:val="20"/>
              </w:rPr>
            </w:pPr>
            <w:r w:rsidRPr="003D7D05">
              <w:rPr>
                <w:b/>
                <w:bCs/>
                <w:sz w:val="20"/>
                <w:szCs w:val="20"/>
              </w:rPr>
              <w:t>Number of Respondents</w:t>
            </w:r>
          </w:p>
          <w:p w:rsidR="004040AC" w:rsidRPr="003D7D05" w:rsidP="00FD7987" w14:paraId="70D59E7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0"/>
                <w:szCs w:val="20"/>
              </w:rPr>
            </w:pPr>
          </w:p>
        </w:tc>
        <w:tc>
          <w:tcPr>
            <w:tcW w:w="1350" w:type="dxa"/>
            <w:shd w:val="clear" w:color="auto" w:fill="95B3D7" w:themeFill="accent1" w:themeFillTint="99"/>
            <w:vAlign w:val="center"/>
          </w:tcPr>
          <w:p w:rsidR="004040AC" w:rsidRPr="003D7D05" w:rsidP="00FD7987" w14:paraId="4E2CA0B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0"/>
                <w:szCs w:val="20"/>
              </w:rPr>
            </w:pPr>
            <w:r w:rsidRPr="003D7D05">
              <w:rPr>
                <w:b/>
                <w:bCs/>
                <w:sz w:val="20"/>
                <w:szCs w:val="20"/>
              </w:rPr>
              <w:t>Number of Responses per Respondent</w:t>
            </w:r>
          </w:p>
        </w:tc>
        <w:tc>
          <w:tcPr>
            <w:tcW w:w="1170" w:type="dxa"/>
            <w:shd w:val="clear" w:color="auto" w:fill="95B3D7" w:themeFill="accent1" w:themeFillTint="99"/>
            <w:vAlign w:val="center"/>
          </w:tcPr>
          <w:p w:rsidR="004040AC" w:rsidRPr="003D7D05" w:rsidP="00FD7987" w14:paraId="211E0E3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0"/>
                <w:szCs w:val="20"/>
              </w:rPr>
            </w:pPr>
            <w:r w:rsidRPr="003D7D05">
              <w:rPr>
                <w:b/>
                <w:bCs/>
                <w:sz w:val="20"/>
                <w:szCs w:val="20"/>
              </w:rPr>
              <w:t>Total Responses</w:t>
            </w:r>
          </w:p>
        </w:tc>
        <w:tc>
          <w:tcPr>
            <w:tcW w:w="990" w:type="dxa"/>
            <w:shd w:val="clear" w:color="auto" w:fill="95B3D7" w:themeFill="accent1" w:themeFillTint="99"/>
            <w:vAlign w:val="center"/>
          </w:tcPr>
          <w:p w:rsidR="004040AC" w:rsidRPr="003D7D05" w:rsidP="00FD7987" w14:paraId="1913C18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0"/>
                <w:szCs w:val="20"/>
              </w:rPr>
            </w:pPr>
            <w:r w:rsidRPr="003D7D05">
              <w:rPr>
                <w:b/>
                <w:bCs/>
                <w:sz w:val="20"/>
                <w:szCs w:val="20"/>
              </w:rPr>
              <w:t>Average Burden (Hours)</w:t>
            </w:r>
          </w:p>
        </w:tc>
        <w:tc>
          <w:tcPr>
            <w:tcW w:w="990" w:type="dxa"/>
            <w:shd w:val="clear" w:color="auto" w:fill="95B3D7" w:themeFill="accent1" w:themeFillTint="99"/>
            <w:vAlign w:val="center"/>
          </w:tcPr>
          <w:p w:rsidR="004040AC" w:rsidRPr="003D7D05" w:rsidP="00FD7987" w14:paraId="25F4FDD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0"/>
                <w:szCs w:val="20"/>
              </w:rPr>
            </w:pPr>
            <w:r w:rsidRPr="003D7D05">
              <w:rPr>
                <w:b/>
                <w:bCs/>
                <w:sz w:val="20"/>
                <w:szCs w:val="20"/>
              </w:rPr>
              <w:t>Total Burden (Hours)</w:t>
            </w:r>
          </w:p>
        </w:tc>
        <w:tc>
          <w:tcPr>
            <w:tcW w:w="900" w:type="dxa"/>
            <w:shd w:val="clear" w:color="auto" w:fill="95B3D7" w:themeFill="accent1" w:themeFillTint="99"/>
            <w:vAlign w:val="center"/>
          </w:tcPr>
          <w:p w:rsidR="004040AC" w:rsidRPr="003D7D05" w:rsidP="00FD7987" w14:paraId="42BADCC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0"/>
                <w:szCs w:val="20"/>
              </w:rPr>
            </w:pPr>
            <w:r w:rsidRPr="003D7D05">
              <w:rPr>
                <w:b/>
                <w:bCs/>
                <w:sz w:val="20"/>
                <w:szCs w:val="20"/>
              </w:rPr>
              <w:t>Hourly Wage Rate</w:t>
            </w:r>
          </w:p>
        </w:tc>
        <w:tc>
          <w:tcPr>
            <w:tcW w:w="1260" w:type="dxa"/>
            <w:shd w:val="clear" w:color="auto" w:fill="95B3D7" w:themeFill="accent1" w:themeFillTint="99"/>
            <w:vAlign w:val="center"/>
          </w:tcPr>
          <w:p w:rsidR="004040AC" w:rsidRPr="003D7D05" w:rsidP="00FD7987" w14:paraId="15B37BB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0"/>
                <w:szCs w:val="20"/>
              </w:rPr>
            </w:pPr>
            <w:r w:rsidRPr="003D7D05">
              <w:rPr>
                <w:b/>
                <w:bCs/>
                <w:sz w:val="20"/>
                <w:szCs w:val="20"/>
              </w:rPr>
              <w:t>Total Burden Cost</w:t>
            </w:r>
          </w:p>
        </w:tc>
      </w:tr>
      <w:bookmarkEnd w:id="20"/>
      <w:tr w14:paraId="5BF145BE" w14:textId="77777777" w:rsidTr="00FD7987">
        <w:tblPrEx>
          <w:tblW w:w="9810" w:type="dxa"/>
          <w:tblInd w:w="-5" w:type="dxa"/>
          <w:tblLayout w:type="fixed"/>
          <w:tblLook w:val="04A0"/>
        </w:tblPrEx>
        <w:trPr>
          <w:trHeight w:val="307"/>
        </w:trPr>
        <w:tc>
          <w:tcPr>
            <w:tcW w:w="1800" w:type="dxa"/>
          </w:tcPr>
          <w:p w:rsidR="004040AC" w:rsidRPr="003D7D05" w:rsidP="00FD7987" w14:paraId="3434F09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3D7D05">
              <w:rPr>
                <w:sz w:val="20"/>
                <w:szCs w:val="20"/>
              </w:rPr>
              <w:t>I. Examining Chemical Extinguishers and Recording</w:t>
            </w:r>
          </w:p>
        </w:tc>
        <w:tc>
          <w:tcPr>
            <w:tcW w:w="1350" w:type="dxa"/>
            <w:vAlign w:val="bottom"/>
          </w:tcPr>
          <w:p w:rsidR="004040AC" w:rsidRPr="003D7D05" w:rsidP="00FD7987" w14:paraId="6DFF828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148</w:t>
            </w:r>
          </w:p>
        </w:tc>
        <w:tc>
          <w:tcPr>
            <w:tcW w:w="1350" w:type="dxa"/>
            <w:vAlign w:val="bottom"/>
          </w:tcPr>
          <w:p w:rsidR="004040AC" w:rsidRPr="003D7D05" w:rsidP="00FD7987" w14:paraId="7E40ABB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118.38 </w:t>
            </w:r>
          </w:p>
        </w:tc>
        <w:tc>
          <w:tcPr>
            <w:tcW w:w="1170" w:type="dxa"/>
            <w:vAlign w:val="bottom"/>
          </w:tcPr>
          <w:p w:rsidR="004040AC" w:rsidRPr="003D7D05" w:rsidP="00FD7987" w14:paraId="1209ABB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17,520 </w:t>
            </w:r>
          </w:p>
        </w:tc>
        <w:tc>
          <w:tcPr>
            <w:tcW w:w="990" w:type="dxa"/>
            <w:vAlign w:val="bottom"/>
          </w:tcPr>
          <w:p w:rsidR="004040AC" w:rsidRPr="003D7D05" w:rsidP="00FD7987" w14:paraId="180D193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0.03 </w:t>
            </w:r>
          </w:p>
        </w:tc>
        <w:tc>
          <w:tcPr>
            <w:tcW w:w="990" w:type="dxa"/>
            <w:vAlign w:val="bottom"/>
          </w:tcPr>
          <w:p w:rsidR="004040AC" w:rsidRPr="003D7D05" w:rsidP="00FD7987" w14:paraId="498C4FD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584.00 </w:t>
            </w:r>
          </w:p>
        </w:tc>
        <w:tc>
          <w:tcPr>
            <w:tcW w:w="900" w:type="dxa"/>
            <w:vAlign w:val="bottom"/>
          </w:tcPr>
          <w:p w:rsidR="004040AC" w:rsidRPr="003D7D05" w:rsidP="00FD7987" w14:paraId="26E0635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sz w:val="20"/>
                <w:szCs w:val="20"/>
              </w:rPr>
            </w:pPr>
            <w:r w:rsidRPr="003D7D05">
              <w:rPr>
                <w:color w:val="000000"/>
                <w:sz w:val="20"/>
                <w:szCs w:val="20"/>
              </w:rPr>
              <w:t xml:space="preserve">$48.65 </w:t>
            </w:r>
          </w:p>
        </w:tc>
        <w:tc>
          <w:tcPr>
            <w:tcW w:w="1260" w:type="dxa"/>
            <w:vAlign w:val="bottom"/>
          </w:tcPr>
          <w:p w:rsidR="004040AC" w:rsidRPr="003D7D05" w:rsidP="00FD7987" w14:paraId="094FF83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sz w:val="20"/>
                <w:szCs w:val="20"/>
              </w:rPr>
            </w:pPr>
            <w:r w:rsidRPr="003D7D05">
              <w:rPr>
                <w:color w:val="000000"/>
                <w:sz w:val="20"/>
                <w:szCs w:val="20"/>
              </w:rPr>
              <w:t xml:space="preserve">$28,410.62 </w:t>
            </w:r>
          </w:p>
        </w:tc>
      </w:tr>
      <w:tr w14:paraId="770F2108" w14:textId="77777777" w:rsidTr="00FD7987">
        <w:tblPrEx>
          <w:tblW w:w="9810" w:type="dxa"/>
          <w:tblInd w:w="-5" w:type="dxa"/>
          <w:tblLayout w:type="fixed"/>
          <w:tblLook w:val="04A0"/>
        </w:tblPrEx>
        <w:trPr>
          <w:trHeight w:val="307"/>
        </w:trPr>
        <w:tc>
          <w:tcPr>
            <w:tcW w:w="1800" w:type="dxa"/>
          </w:tcPr>
          <w:p w:rsidR="004040AC" w:rsidRPr="003D7D05" w:rsidP="00FD7987" w14:paraId="520D70F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3D7D05">
              <w:rPr>
                <w:sz w:val="20"/>
                <w:szCs w:val="20"/>
              </w:rPr>
              <w:t>II. Updating Maps or Schematic with Locations of Sensors in Automatic Fire Warning Devices</w:t>
            </w:r>
          </w:p>
        </w:tc>
        <w:tc>
          <w:tcPr>
            <w:tcW w:w="1350" w:type="dxa"/>
            <w:vAlign w:val="bottom"/>
          </w:tcPr>
          <w:p w:rsidR="004040AC" w:rsidRPr="003D7D05" w:rsidP="00FD7987" w14:paraId="68B3F05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148</w:t>
            </w:r>
          </w:p>
        </w:tc>
        <w:tc>
          <w:tcPr>
            <w:tcW w:w="1350" w:type="dxa"/>
            <w:vAlign w:val="bottom"/>
          </w:tcPr>
          <w:p w:rsidR="004040AC" w:rsidRPr="003D7D05" w:rsidP="00FD7987" w14:paraId="5A17814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12 </w:t>
            </w:r>
          </w:p>
        </w:tc>
        <w:tc>
          <w:tcPr>
            <w:tcW w:w="1170" w:type="dxa"/>
            <w:vAlign w:val="bottom"/>
          </w:tcPr>
          <w:p w:rsidR="004040AC" w:rsidRPr="003D7D05" w:rsidP="00FD7987" w14:paraId="52C6AA6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1,776 </w:t>
            </w:r>
          </w:p>
        </w:tc>
        <w:tc>
          <w:tcPr>
            <w:tcW w:w="990" w:type="dxa"/>
            <w:vAlign w:val="bottom"/>
          </w:tcPr>
          <w:p w:rsidR="004040AC" w:rsidRPr="003D7D05" w:rsidP="00FD7987" w14:paraId="2A83FAB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0.08 </w:t>
            </w:r>
          </w:p>
        </w:tc>
        <w:tc>
          <w:tcPr>
            <w:tcW w:w="990" w:type="dxa"/>
            <w:vAlign w:val="bottom"/>
          </w:tcPr>
          <w:p w:rsidR="004040AC" w:rsidRPr="003D7D05" w:rsidP="00FD7987" w14:paraId="2435713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148.00 </w:t>
            </w:r>
          </w:p>
        </w:tc>
        <w:tc>
          <w:tcPr>
            <w:tcW w:w="900" w:type="dxa"/>
            <w:vAlign w:val="bottom"/>
          </w:tcPr>
          <w:p w:rsidR="004040AC" w:rsidRPr="003D7D05" w:rsidP="00FD7987" w14:paraId="3145B3D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sz w:val="20"/>
                <w:szCs w:val="20"/>
              </w:rPr>
            </w:pPr>
            <w:r w:rsidRPr="003D7D05">
              <w:rPr>
                <w:color w:val="000000"/>
                <w:sz w:val="20"/>
                <w:szCs w:val="20"/>
              </w:rPr>
              <w:t xml:space="preserve">$89.53 </w:t>
            </w:r>
          </w:p>
        </w:tc>
        <w:tc>
          <w:tcPr>
            <w:tcW w:w="1260" w:type="dxa"/>
            <w:vAlign w:val="bottom"/>
          </w:tcPr>
          <w:p w:rsidR="004040AC" w:rsidRPr="003D7D05" w:rsidP="00FD7987" w14:paraId="5A11C71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sz w:val="20"/>
                <w:szCs w:val="20"/>
              </w:rPr>
            </w:pPr>
            <w:r w:rsidRPr="003D7D05">
              <w:rPr>
                <w:color w:val="000000"/>
                <w:sz w:val="20"/>
                <w:szCs w:val="20"/>
              </w:rPr>
              <w:t xml:space="preserve">$13,250.96 </w:t>
            </w:r>
          </w:p>
        </w:tc>
      </w:tr>
      <w:tr w14:paraId="05D8C2AA" w14:textId="77777777" w:rsidTr="00FD7987">
        <w:tblPrEx>
          <w:tblW w:w="9810" w:type="dxa"/>
          <w:tblInd w:w="-5" w:type="dxa"/>
          <w:tblLayout w:type="fixed"/>
          <w:tblLook w:val="04A0"/>
        </w:tblPrEx>
        <w:trPr>
          <w:trHeight w:val="307"/>
        </w:trPr>
        <w:tc>
          <w:tcPr>
            <w:tcW w:w="1800" w:type="dxa"/>
          </w:tcPr>
          <w:p w:rsidR="004040AC" w:rsidRPr="003D7D05" w:rsidP="00FD7987" w14:paraId="1A7316C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3D7D05">
              <w:rPr>
                <w:sz w:val="20"/>
                <w:szCs w:val="20"/>
              </w:rPr>
              <w:t xml:space="preserve">III. Functional Testing the Warning Signals and Sensor Calibration in Automatic Fire Sensor and Warning Device Systems </w:t>
            </w:r>
          </w:p>
        </w:tc>
        <w:tc>
          <w:tcPr>
            <w:tcW w:w="1350" w:type="dxa"/>
            <w:vAlign w:val="bottom"/>
          </w:tcPr>
          <w:p w:rsidR="004040AC" w:rsidRPr="003D7D05" w:rsidP="00FD7987" w14:paraId="4C3DDFA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148</w:t>
            </w:r>
          </w:p>
        </w:tc>
        <w:tc>
          <w:tcPr>
            <w:tcW w:w="1350" w:type="dxa"/>
            <w:shd w:val="clear" w:color="auto" w:fill="000000" w:themeFill="text1"/>
            <w:vAlign w:val="bottom"/>
          </w:tcPr>
          <w:p w:rsidR="004040AC" w:rsidRPr="003D7D05" w:rsidP="00FD7987" w14:paraId="7CB90FA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   </w:t>
            </w:r>
          </w:p>
        </w:tc>
        <w:tc>
          <w:tcPr>
            <w:tcW w:w="1170" w:type="dxa"/>
            <w:vAlign w:val="bottom"/>
          </w:tcPr>
          <w:p w:rsidR="004040AC" w:rsidRPr="003D7D05" w:rsidP="00FD7987" w14:paraId="629B91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114,256 </w:t>
            </w:r>
          </w:p>
        </w:tc>
        <w:tc>
          <w:tcPr>
            <w:tcW w:w="990" w:type="dxa"/>
            <w:shd w:val="clear" w:color="auto" w:fill="000000" w:themeFill="text1"/>
            <w:vAlign w:val="bottom"/>
          </w:tcPr>
          <w:p w:rsidR="004040AC" w:rsidRPr="003D7D05" w:rsidP="00FD7987" w14:paraId="0529CF1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0</w:t>
            </w:r>
          </w:p>
        </w:tc>
        <w:tc>
          <w:tcPr>
            <w:tcW w:w="990" w:type="dxa"/>
            <w:vAlign w:val="bottom"/>
          </w:tcPr>
          <w:p w:rsidR="004040AC" w:rsidRPr="003D7D05" w:rsidP="00FD7987" w14:paraId="2FFB6FC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10,626.40 </w:t>
            </w:r>
          </w:p>
        </w:tc>
        <w:tc>
          <w:tcPr>
            <w:tcW w:w="900" w:type="dxa"/>
            <w:shd w:val="clear" w:color="auto" w:fill="000000" w:themeFill="text1"/>
            <w:vAlign w:val="bottom"/>
          </w:tcPr>
          <w:p w:rsidR="004040AC" w:rsidRPr="003D7D05" w:rsidP="00FD7987" w14:paraId="5BFC739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bCs/>
                <w:sz w:val="20"/>
                <w:szCs w:val="20"/>
              </w:rPr>
            </w:pPr>
            <w:r w:rsidRPr="003D7D05">
              <w:rPr>
                <w:color w:val="000000"/>
                <w:sz w:val="20"/>
                <w:szCs w:val="20"/>
                <w:shd w:val="clear" w:color="auto" w:fill="000000" w:themeFill="text1"/>
              </w:rPr>
              <w:t>0</w:t>
            </w:r>
          </w:p>
        </w:tc>
        <w:tc>
          <w:tcPr>
            <w:tcW w:w="1260" w:type="dxa"/>
            <w:vAlign w:val="bottom"/>
          </w:tcPr>
          <w:p w:rsidR="004040AC" w:rsidRPr="003D7D05" w:rsidP="00FD7987" w14:paraId="7EEA840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bCs/>
                <w:sz w:val="20"/>
                <w:szCs w:val="20"/>
              </w:rPr>
            </w:pPr>
            <w:r w:rsidRPr="003D7D05">
              <w:rPr>
                <w:color w:val="000000"/>
                <w:sz w:val="20"/>
                <w:szCs w:val="20"/>
              </w:rPr>
              <w:t xml:space="preserve">$859,580.12 </w:t>
            </w:r>
          </w:p>
        </w:tc>
      </w:tr>
      <w:tr w14:paraId="4A476101" w14:textId="77777777" w:rsidTr="00FD7987">
        <w:tblPrEx>
          <w:tblW w:w="9810" w:type="dxa"/>
          <w:tblInd w:w="-5" w:type="dxa"/>
          <w:tblLayout w:type="fixed"/>
          <w:tblLook w:val="04A0"/>
        </w:tblPrEx>
        <w:trPr>
          <w:trHeight w:val="307"/>
        </w:trPr>
        <w:tc>
          <w:tcPr>
            <w:tcW w:w="1800" w:type="dxa"/>
          </w:tcPr>
          <w:p w:rsidR="004040AC" w:rsidRPr="003D7D05" w:rsidP="00FD7987" w14:paraId="67B0A27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3D7D05">
              <w:rPr>
                <w:sz w:val="20"/>
                <w:szCs w:val="20"/>
              </w:rPr>
              <w:t>IV. Testing Fire Hydrants and Fire Hoses</w:t>
            </w:r>
          </w:p>
        </w:tc>
        <w:tc>
          <w:tcPr>
            <w:tcW w:w="1350" w:type="dxa"/>
            <w:vAlign w:val="bottom"/>
          </w:tcPr>
          <w:p w:rsidR="004040AC" w:rsidRPr="003D7D05" w:rsidP="00FD7987" w14:paraId="7E5482B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148</w:t>
            </w:r>
          </w:p>
        </w:tc>
        <w:tc>
          <w:tcPr>
            <w:tcW w:w="1350" w:type="dxa"/>
            <w:vAlign w:val="bottom"/>
          </w:tcPr>
          <w:p w:rsidR="004040AC" w:rsidRPr="003D7D05" w:rsidP="00FD7987" w14:paraId="0B28ADF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60 </w:t>
            </w:r>
          </w:p>
        </w:tc>
        <w:tc>
          <w:tcPr>
            <w:tcW w:w="1170" w:type="dxa"/>
            <w:vAlign w:val="bottom"/>
          </w:tcPr>
          <w:p w:rsidR="004040AC" w:rsidRPr="003D7D05" w:rsidP="00FD7987" w14:paraId="32A752D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8,880 </w:t>
            </w:r>
          </w:p>
        </w:tc>
        <w:tc>
          <w:tcPr>
            <w:tcW w:w="990" w:type="dxa"/>
            <w:vAlign w:val="bottom"/>
          </w:tcPr>
          <w:p w:rsidR="004040AC" w:rsidRPr="003D7D05" w:rsidP="00FD7987" w14:paraId="582302F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0.50 </w:t>
            </w:r>
          </w:p>
        </w:tc>
        <w:tc>
          <w:tcPr>
            <w:tcW w:w="990" w:type="dxa"/>
            <w:vAlign w:val="bottom"/>
          </w:tcPr>
          <w:p w:rsidR="004040AC" w:rsidRPr="003D7D05" w:rsidP="00FD7987" w14:paraId="5234876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4,440.00 </w:t>
            </w:r>
          </w:p>
        </w:tc>
        <w:tc>
          <w:tcPr>
            <w:tcW w:w="900" w:type="dxa"/>
            <w:vAlign w:val="bottom"/>
          </w:tcPr>
          <w:p w:rsidR="004040AC" w:rsidRPr="003D7D05" w:rsidP="00FD7987" w14:paraId="443C636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bCs/>
                <w:sz w:val="20"/>
                <w:szCs w:val="20"/>
              </w:rPr>
            </w:pPr>
            <w:r w:rsidRPr="003D7D05">
              <w:rPr>
                <w:color w:val="000000"/>
                <w:sz w:val="20"/>
                <w:szCs w:val="20"/>
              </w:rPr>
              <w:t xml:space="preserve">$53.64 </w:t>
            </w:r>
          </w:p>
        </w:tc>
        <w:tc>
          <w:tcPr>
            <w:tcW w:w="1260" w:type="dxa"/>
            <w:vAlign w:val="bottom"/>
          </w:tcPr>
          <w:p w:rsidR="004040AC" w:rsidRPr="003D7D05" w:rsidP="00FD7987" w14:paraId="5BBF059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bCs/>
                <w:sz w:val="20"/>
                <w:szCs w:val="20"/>
              </w:rPr>
            </w:pPr>
            <w:r w:rsidRPr="003D7D05">
              <w:rPr>
                <w:color w:val="000000"/>
                <w:sz w:val="20"/>
                <w:szCs w:val="20"/>
              </w:rPr>
              <w:t xml:space="preserve">$238,167.72 </w:t>
            </w:r>
          </w:p>
        </w:tc>
      </w:tr>
      <w:tr w14:paraId="402C1616" w14:textId="77777777" w:rsidTr="00FD7987">
        <w:tblPrEx>
          <w:tblW w:w="9810" w:type="dxa"/>
          <w:tblInd w:w="-5" w:type="dxa"/>
          <w:tblLayout w:type="fixed"/>
          <w:tblLook w:val="04A0"/>
        </w:tblPrEx>
        <w:trPr>
          <w:trHeight w:val="307"/>
        </w:trPr>
        <w:tc>
          <w:tcPr>
            <w:tcW w:w="1800" w:type="dxa"/>
          </w:tcPr>
          <w:p w:rsidR="004040AC" w:rsidRPr="003D7D05" w:rsidP="00FD7987" w14:paraId="2F613EB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3D7D05">
              <w:rPr>
                <w:sz w:val="20"/>
                <w:szCs w:val="20"/>
              </w:rPr>
              <w:t>V. Certifying Mine Emergency Responses Training</w:t>
            </w:r>
          </w:p>
        </w:tc>
        <w:tc>
          <w:tcPr>
            <w:tcW w:w="1350" w:type="dxa"/>
            <w:vAlign w:val="bottom"/>
          </w:tcPr>
          <w:p w:rsidR="004040AC" w:rsidRPr="003D7D05" w:rsidP="00FD7987" w14:paraId="40AF42F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148</w:t>
            </w:r>
          </w:p>
        </w:tc>
        <w:tc>
          <w:tcPr>
            <w:tcW w:w="1350" w:type="dxa"/>
            <w:vAlign w:val="bottom"/>
          </w:tcPr>
          <w:p w:rsidR="004040AC" w:rsidRPr="003D7D05" w:rsidP="00FD7987" w14:paraId="1EA9448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4 </w:t>
            </w:r>
          </w:p>
        </w:tc>
        <w:tc>
          <w:tcPr>
            <w:tcW w:w="1170" w:type="dxa"/>
            <w:vAlign w:val="bottom"/>
          </w:tcPr>
          <w:p w:rsidR="004040AC" w:rsidRPr="003D7D05" w:rsidP="00FD7987" w14:paraId="5EB651A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592 </w:t>
            </w:r>
          </w:p>
        </w:tc>
        <w:tc>
          <w:tcPr>
            <w:tcW w:w="990" w:type="dxa"/>
            <w:vAlign w:val="bottom"/>
          </w:tcPr>
          <w:p w:rsidR="004040AC" w:rsidRPr="003D7D05" w:rsidP="00FD7987" w14:paraId="1368058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0.03 </w:t>
            </w:r>
          </w:p>
        </w:tc>
        <w:tc>
          <w:tcPr>
            <w:tcW w:w="990" w:type="dxa"/>
            <w:vAlign w:val="bottom"/>
          </w:tcPr>
          <w:p w:rsidR="004040AC" w:rsidRPr="003D7D05" w:rsidP="00FD7987" w14:paraId="18A9084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 xml:space="preserve">                          19.73 </w:t>
            </w:r>
          </w:p>
        </w:tc>
        <w:tc>
          <w:tcPr>
            <w:tcW w:w="900" w:type="dxa"/>
            <w:vAlign w:val="bottom"/>
          </w:tcPr>
          <w:p w:rsidR="004040AC" w:rsidRPr="003D7D05" w:rsidP="00FD7987" w14:paraId="27AF456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bCs/>
                <w:sz w:val="20"/>
                <w:szCs w:val="20"/>
              </w:rPr>
            </w:pPr>
            <w:r w:rsidRPr="003D7D05">
              <w:rPr>
                <w:color w:val="000000"/>
                <w:sz w:val="20"/>
                <w:szCs w:val="20"/>
              </w:rPr>
              <w:t xml:space="preserve">$80.89 </w:t>
            </w:r>
          </w:p>
        </w:tc>
        <w:tc>
          <w:tcPr>
            <w:tcW w:w="1260" w:type="dxa"/>
            <w:vAlign w:val="bottom"/>
          </w:tcPr>
          <w:p w:rsidR="004040AC" w:rsidRPr="003D7D05" w:rsidP="00FD7987" w14:paraId="0A06C12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bCs/>
                <w:sz w:val="20"/>
                <w:szCs w:val="20"/>
              </w:rPr>
            </w:pPr>
            <w:r w:rsidRPr="003D7D05">
              <w:rPr>
                <w:color w:val="000000"/>
                <w:sz w:val="20"/>
                <w:szCs w:val="20"/>
              </w:rPr>
              <w:t xml:space="preserve">$1,596.25 </w:t>
            </w:r>
          </w:p>
        </w:tc>
      </w:tr>
      <w:tr w14:paraId="7F96F35C" w14:textId="77777777" w:rsidTr="00FD7987">
        <w:tblPrEx>
          <w:tblW w:w="9810" w:type="dxa"/>
          <w:tblInd w:w="-5" w:type="dxa"/>
          <w:tblLayout w:type="fixed"/>
          <w:tblLook w:val="04A0"/>
        </w:tblPrEx>
        <w:trPr>
          <w:trHeight w:val="307"/>
        </w:trPr>
        <w:tc>
          <w:tcPr>
            <w:tcW w:w="1800" w:type="dxa"/>
          </w:tcPr>
          <w:p w:rsidR="004040AC" w:rsidRPr="003D7D05" w:rsidP="00FD7987" w14:paraId="7658109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3D7D05">
              <w:rPr>
                <w:sz w:val="20"/>
                <w:szCs w:val="20"/>
              </w:rPr>
              <w:t>VI. Submitting Mine Emergency Evacuation and Firefighting Program of Instruction</w:t>
            </w:r>
          </w:p>
        </w:tc>
        <w:tc>
          <w:tcPr>
            <w:tcW w:w="1350" w:type="dxa"/>
            <w:vAlign w:val="bottom"/>
          </w:tcPr>
          <w:p w:rsidR="004040AC" w:rsidRPr="003D7D05" w:rsidP="00FD7987" w14:paraId="2B80B54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3D7D05">
              <w:rPr>
                <w:color w:val="000000"/>
                <w:sz w:val="20"/>
                <w:szCs w:val="20"/>
              </w:rPr>
              <w:t>148</w:t>
            </w:r>
          </w:p>
        </w:tc>
        <w:tc>
          <w:tcPr>
            <w:tcW w:w="1350" w:type="dxa"/>
            <w:shd w:val="clear" w:color="auto" w:fill="000000" w:themeFill="text1"/>
            <w:vAlign w:val="bottom"/>
          </w:tcPr>
          <w:p w:rsidR="004040AC" w:rsidRPr="003D7D05" w:rsidP="00FD7987" w14:paraId="03B7A24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sidRPr="003D7D05">
              <w:rPr>
                <w:color w:val="000000"/>
                <w:sz w:val="20"/>
                <w:szCs w:val="20"/>
              </w:rPr>
              <w:t xml:space="preserve">                         -   </w:t>
            </w:r>
          </w:p>
        </w:tc>
        <w:tc>
          <w:tcPr>
            <w:tcW w:w="1170" w:type="dxa"/>
            <w:vAlign w:val="bottom"/>
          </w:tcPr>
          <w:p w:rsidR="004040AC" w:rsidRPr="003D7D05" w:rsidP="00FD7987" w14:paraId="36D9B28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sidRPr="003D7D05">
              <w:rPr>
                <w:color w:val="000000"/>
                <w:sz w:val="20"/>
                <w:szCs w:val="20"/>
              </w:rPr>
              <w:t xml:space="preserve">                              15 </w:t>
            </w:r>
          </w:p>
        </w:tc>
        <w:tc>
          <w:tcPr>
            <w:tcW w:w="990" w:type="dxa"/>
            <w:shd w:val="clear" w:color="auto" w:fill="000000" w:themeFill="text1"/>
            <w:vAlign w:val="bottom"/>
          </w:tcPr>
          <w:p w:rsidR="004040AC" w:rsidRPr="003D7D05" w:rsidP="00FD7987" w14:paraId="58A276A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sidRPr="003D7D05">
              <w:rPr>
                <w:color w:val="000000"/>
                <w:sz w:val="20"/>
                <w:szCs w:val="20"/>
              </w:rPr>
              <w:t>0</w:t>
            </w:r>
          </w:p>
        </w:tc>
        <w:tc>
          <w:tcPr>
            <w:tcW w:w="990" w:type="dxa"/>
            <w:vAlign w:val="bottom"/>
          </w:tcPr>
          <w:p w:rsidR="004040AC" w:rsidRPr="003D7D05" w:rsidP="00FD7987" w14:paraId="6BAEB27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sidRPr="003D7D05">
              <w:rPr>
                <w:color w:val="000000"/>
                <w:sz w:val="20"/>
                <w:szCs w:val="20"/>
              </w:rPr>
              <w:t xml:space="preserve">                          60.00 </w:t>
            </w:r>
          </w:p>
        </w:tc>
        <w:tc>
          <w:tcPr>
            <w:tcW w:w="900" w:type="dxa"/>
            <w:shd w:val="clear" w:color="auto" w:fill="000000" w:themeFill="text1"/>
            <w:vAlign w:val="bottom"/>
          </w:tcPr>
          <w:p w:rsidR="004040AC" w:rsidRPr="003D7D05" w:rsidP="00FD7987" w14:paraId="280087B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sidRPr="003D7D05">
              <w:rPr>
                <w:color w:val="000000"/>
                <w:sz w:val="20"/>
                <w:szCs w:val="20"/>
              </w:rPr>
              <w:t>0</w:t>
            </w:r>
          </w:p>
        </w:tc>
        <w:tc>
          <w:tcPr>
            <w:tcW w:w="1260" w:type="dxa"/>
            <w:vAlign w:val="bottom"/>
          </w:tcPr>
          <w:p w:rsidR="004040AC" w:rsidRPr="003D7D05" w:rsidP="00FD7987" w14:paraId="376382A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bCs/>
                <w:sz w:val="20"/>
                <w:szCs w:val="20"/>
              </w:rPr>
            </w:pPr>
            <w:r w:rsidRPr="003D7D05">
              <w:rPr>
                <w:color w:val="000000"/>
                <w:sz w:val="20"/>
                <w:szCs w:val="20"/>
              </w:rPr>
              <w:t xml:space="preserve">$4,167.42 </w:t>
            </w:r>
          </w:p>
        </w:tc>
      </w:tr>
      <w:tr w14:paraId="4E4AEE6F" w14:textId="77777777" w:rsidTr="00FD7987">
        <w:tblPrEx>
          <w:tblW w:w="9810" w:type="dxa"/>
          <w:tblInd w:w="-5" w:type="dxa"/>
          <w:tblLayout w:type="fixed"/>
          <w:tblLook w:val="04A0"/>
        </w:tblPrEx>
        <w:trPr>
          <w:trHeight w:val="307"/>
        </w:trPr>
        <w:tc>
          <w:tcPr>
            <w:tcW w:w="1800" w:type="dxa"/>
            <w:shd w:val="clear" w:color="auto" w:fill="auto"/>
            <w:vAlign w:val="bottom"/>
          </w:tcPr>
          <w:p w:rsidR="004040AC" w:rsidRPr="003D7D05" w:rsidP="00FD7987" w14:paraId="5D031C5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i/>
                <w:iCs/>
                <w:sz w:val="20"/>
                <w:szCs w:val="20"/>
              </w:rPr>
            </w:pPr>
            <w:r w:rsidRPr="003D7D05">
              <w:rPr>
                <w:b/>
                <w:bCs/>
                <w:i/>
                <w:iCs/>
                <w:color w:val="000000"/>
                <w:sz w:val="20"/>
                <w:szCs w:val="20"/>
              </w:rPr>
              <w:t>Total (Rounded)</w:t>
            </w:r>
          </w:p>
        </w:tc>
        <w:tc>
          <w:tcPr>
            <w:tcW w:w="1350" w:type="dxa"/>
            <w:shd w:val="clear" w:color="auto" w:fill="auto"/>
            <w:vAlign w:val="bottom"/>
          </w:tcPr>
          <w:p w:rsidR="004040AC" w:rsidRPr="003D7D05" w:rsidP="00FD7987" w14:paraId="5B6207B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3D7D05">
              <w:rPr>
                <w:b/>
                <w:bCs/>
                <w:i/>
                <w:iCs/>
                <w:color w:val="000000"/>
                <w:sz w:val="20"/>
                <w:szCs w:val="20"/>
              </w:rPr>
              <w:t>148</w:t>
            </w:r>
          </w:p>
        </w:tc>
        <w:tc>
          <w:tcPr>
            <w:tcW w:w="1350" w:type="dxa"/>
            <w:shd w:val="clear" w:color="auto" w:fill="000000" w:themeFill="text1"/>
            <w:vAlign w:val="bottom"/>
          </w:tcPr>
          <w:p w:rsidR="004040AC" w:rsidRPr="003D7D05" w:rsidP="00FD7987" w14:paraId="5ACE215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3D7D05">
              <w:rPr>
                <w:b/>
                <w:bCs/>
                <w:i/>
                <w:iCs/>
                <w:color w:val="000000"/>
                <w:sz w:val="20"/>
                <w:szCs w:val="20"/>
              </w:rPr>
              <w:t> </w:t>
            </w:r>
          </w:p>
        </w:tc>
        <w:tc>
          <w:tcPr>
            <w:tcW w:w="1170" w:type="dxa"/>
            <w:shd w:val="clear" w:color="auto" w:fill="auto"/>
            <w:vAlign w:val="bottom"/>
          </w:tcPr>
          <w:p w:rsidR="004040AC" w:rsidRPr="003D7D05" w:rsidP="00FD7987" w14:paraId="30E0D84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3D7D05">
              <w:rPr>
                <w:b/>
                <w:bCs/>
                <w:i/>
                <w:iCs/>
                <w:color w:val="000000"/>
                <w:sz w:val="20"/>
                <w:szCs w:val="20"/>
              </w:rPr>
              <w:t xml:space="preserve">143,039 </w:t>
            </w:r>
          </w:p>
        </w:tc>
        <w:tc>
          <w:tcPr>
            <w:tcW w:w="990" w:type="dxa"/>
            <w:shd w:val="clear" w:color="auto" w:fill="000000" w:themeFill="text1"/>
            <w:vAlign w:val="bottom"/>
          </w:tcPr>
          <w:p w:rsidR="004040AC" w:rsidRPr="003D7D05" w:rsidP="00FD7987" w14:paraId="3CD4CF1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3D7D05">
              <w:rPr>
                <w:b/>
                <w:bCs/>
                <w:i/>
                <w:iCs/>
                <w:color w:val="000000"/>
                <w:sz w:val="20"/>
                <w:szCs w:val="20"/>
              </w:rPr>
              <w:t> </w:t>
            </w:r>
          </w:p>
        </w:tc>
        <w:tc>
          <w:tcPr>
            <w:tcW w:w="990" w:type="dxa"/>
            <w:shd w:val="clear" w:color="auto" w:fill="auto"/>
            <w:vAlign w:val="bottom"/>
          </w:tcPr>
          <w:p w:rsidR="004040AC" w:rsidRPr="003D7D05" w:rsidP="00FD7987" w14:paraId="4B1975E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3D7D05">
              <w:rPr>
                <w:b/>
                <w:bCs/>
                <w:i/>
                <w:iCs/>
                <w:color w:val="000000"/>
                <w:sz w:val="20"/>
                <w:szCs w:val="20"/>
              </w:rPr>
              <w:t xml:space="preserve">15,878 </w:t>
            </w:r>
          </w:p>
        </w:tc>
        <w:tc>
          <w:tcPr>
            <w:tcW w:w="900" w:type="dxa"/>
            <w:shd w:val="clear" w:color="auto" w:fill="000000" w:themeFill="text1"/>
            <w:vAlign w:val="bottom"/>
          </w:tcPr>
          <w:p w:rsidR="004040AC" w:rsidRPr="003D7D05" w:rsidP="00FD7987" w14:paraId="2ACD02E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3D7D05">
              <w:rPr>
                <w:b/>
                <w:bCs/>
                <w:i/>
                <w:iCs/>
                <w:color w:val="000000"/>
                <w:sz w:val="20"/>
                <w:szCs w:val="20"/>
              </w:rPr>
              <w:t> </w:t>
            </w:r>
          </w:p>
        </w:tc>
        <w:tc>
          <w:tcPr>
            <w:tcW w:w="1260" w:type="dxa"/>
            <w:vAlign w:val="bottom"/>
          </w:tcPr>
          <w:p w:rsidR="004040AC" w:rsidRPr="003D7D05" w:rsidP="00FD7987" w14:paraId="15F40AB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3D7D05">
              <w:rPr>
                <w:b/>
                <w:bCs/>
                <w:i/>
                <w:iCs/>
                <w:color w:val="000000"/>
                <w:sz w:val="20"/>
                <w:szCs w:val="20"/>
              </w:rPr>
              <w:t xml:space="preserve">$1,145,173 </w:t>
            </w:r>
          </w:p>
        </w:tc>
      </w:tr>
    </w:tbl>
    <w:p w:rsidR="004040AC" w:rsidRPr="003D7D05" w:rsidP="004040AC" w14:paraId="2BA9F2C4" w14:textId="77777777">
      <w:pPr>
        <w:rPr>
          <w:bCs/>
          <w:sz w:val="20"/>
          <w:szCs w:val="20"/>
        </w:rPr>
      </w:pPr>
      <w:bookmarkStart w:id="22" w:name="_Hlk185344491"/>
      <w:bookmarkStart w:id="23" w:name="_Hlk181188185"/>
      <w:bookmarkEnd w:id="21"/>
      <w:r w:rsidRPr="003D7D05">
        <w:rPr>
          <w:sz w:val="20"/>
          <w:szCs w:val="20"/>
        </w:rPr>
        <w:t xml:space="preserve">Note: The total number of respondents </w:t>
      </w:r>
      <w:bookmarkStart w:id="24" w:name="_Hlk172641234"/>
      <w:bookmarkStart w:id="25" w:name="_Hlk172027061"/>
      <w:r w:rsidRPr="003D7D05">
        <w:rPr>
          <w:sz w:val="20"/>
          <w:szCs w:val="20"/>
        </w:rPr>
        <w:t xml:space="preserve">is </w:t>
      </w:r>
      <w:r w:rsidRPr="003D7D05">
        <w:rPr>
          <w:bCs/>
          <w:sz w:val="20"/>
          <w:szCs w:val="20"/>
        </w:rPr>
        <w:t>not a sum of respondents from each cost category</w:t>
      </w:r>
      <w:bookmarkEnd w:id="24"/>
      <w:r w:rsidRPr="003D7D05">
        <w:rPr>
          <w:bCs/>
          <w:sz w:val="20"/>
          <w:szCs w:val="20"/>
        </w:rPr>
        <w:t>. It corresponds to the number of</w:t>
      </w:r>
      <w:bookmarkEnd w:id="22"/>
      <w:bookmarkEnd w:id="23"/>
      <w:bookmarkEnd w:id="25"/>
      <w:r w:rsidRPr="003D7D05">
        <w:rPr>
          <w:bCs/>
          <w:sz w:val="20"/>
          <w:szCs w:val="20"/>
        </w:rPr>
        <w:t xml:space="preserve"> active underground coal mines. </w:t>
      </w:r>
      <w:r w:rsidRPr="003D7D05">
        <w:rPr>
          <w:bCs/>
          <w:sz w:val="20"/>
          <w:szCs w:val="20"/>
        </w:rPr>
        <w:t>Total</w:t>
      </w:r>
      <w:r w:rsidRPr="003D7D05">
        <w:rPr>
          <w:bCs/>
          <w:sz w:val="20"/>
          <w:szCs w:val="20"/>
        </w:rPr>
        <w:t xml:space="preserve"> number of responses does not include duplications because two individuals work on the same record it </w:t>
      </w:r>
      <w:r w:rsidRPr="003D7D05">
        <w:rPr>
          <w:bCs/>
          <w:sz w:val="20"/>
          <w:szCs w:val="20"/>
        </w:rPr>
        <w:t>is considered to be</w:t>
      </w:r>
      <w:r w:rsidRPr="003D7D05">
        <w:rPr>
          <w:bCs/>
          <w:sz w:val="20"/>
          <w:szCs w:val="20"/>
        </w:rPr>
        <w:t xml:space="preserve"> one response.</w:t>
      </w:r>
    </w:p>
    <w:p w:rsidR="004040AC" w:rsidRPr="003D7D05" w:rsidP="004040AC" w14:paraId="31D305E5" w14:textId="77777777">
      <w:pPr>
        <w:pStyle w:val="Default"/>
        <w:rPr>
          <w:rFonts w:ascii="Times New Roman" w:hAnsi="Times New Roman" w:cs="Times New Roman"/>
          <w:b/>
          <w:bCs/>
        </w:rPr>
      </w:pPr>
    </w:p>
    <w:p w:rsidR="004040AC" w:rsidRPr="003D7D05" w:rsidP="004040AC" w14:paraId="079600FB" w14:textId="77777777">
      <w:pPr>
        <w:rPr>
          <w:b/>
          <w:bCs/>
          <w:color w:val="000000"/>
        </w:rPr>
      </w:pPr>
      <w:r w:rsidRPr="003D7D05">
        <w:rPr>
          <w:b/>
          <w:bCs/>
          <w:color w:val="000000"/>
        </w:rPr>
        <w:t>13</w:t>
      </w:r>
      <w:r w:rsidRPr="003D7D05">
        <w:rPr>
          <w:b/>
          <w:bCs/>
          <w:color w:val="000000"/>
        </w:rPr>
        <w:t>.  Provide</w:t>
      </w:r>
      <w:r w:rsidRPr="003D7D05">
        <w:rPr>
          <w:b/>
          <w:bCs/>
          <w:color w:val="000000"/>
        </w:rPr>
        <w:t xml:space="preserve"> an estimate of the total annual cost burden to respondents or record keepers resulting from the collection of information.  (Do not include the cost of any hour burden already reflected on the burden worksheet).</w:t>
      </w:r>
    </w:p>
    <w:p w:rsidR="004040AC" w:rsidRPr="003D7D05" w:rsidP="004040AC" w14:paraId="20B0480B" w14:textId="77777777">
      <w:pPr>
        <w:rPr>
          <w:b/>
          <w:bCs/>
          <w:color w:val="000000"/>
        </w:rPr>
      </w:pPr>
    </w:p>
    <w:p w:rsidR="004040AC" w:rsidRPr="003D7D05" w:rsidP="004040AC" w14:paraId="25C8A3F1" w14:textId="77777777">
      <w:pPr>
        <w:pStyle w:val="ListParagraph"/>
        <w:numPr>
          <w:ilvl w:val="0"/>
          <w:numId w:val="9"/>
        </w:numPr>
        <w:tabs>
          <w:tab w:val="left" w:pos="-1440"/>
        </w:tabs>
        <w:rPr>
          <w:b/>
          <w:bCs/>
          <w:color w:val="000000"/>
        </w:rPr>
      </w:pPr>
      <w:r w:rsidRPr="003D7D05">
        <w:rPr>
          <w:b/>
          <w:bCs/>
          <w:color w:val="000000"/>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3D7D05">
        <w:rPr>
          <w:b/>
          <w:bCs/>
          <w:color w:val="000000"/>
        </w:rPr>
        <w:t>take into account</w:t>
      </w:r>
      <w:r w:rsidRPr="003D7D05">
        <w:rPr>
          <w:b/>
          <w:bCs/>
          <w:color w:val="000000"/>
        </w:rPr>
        <w:t xml:space="preserve"> costs associated with generating, maintaining, and disclosing or providing the information.  Include descriptions of methods used to estimate major cost factors including system and technology acquisition, expected </w:t>
      </w:r>
      <w:r w:rsidRPr="003D7D05">
        <w:rPr>
          <w:b/>
          <w:bCs/>
          <w:color w:val="000000"/>
        </w:rPr>
        <w:t xml:space="preserve">useful life of capital equipment, the discount rate(s), and the </w:t>
      </w:r>
      <w:r w:rsidRPr="003D7D05">
        <w:rPr>
          <w:b/>
          <w:bCs/>
          <w:color w:val="000000"/>
        </w:rPr>
        <w:t>time period</w:t>
      </w:r>
      <w:r w:rsidRPr="003D7D05">
        <w:rPr>
          <w:b/>
          <w:bCs/>
          <w:color w:val="000000"/>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4040AC" w:rsidRPr="003D7D05" w:rsidP="004040AC" w14:paraId="1D461524" w14:textId="77777777">
      <w:pPr>
        <w:pStyle w:val="ListParagraph"/>
        <w:tabs>
          <w:tab w:val="left" w:pos="-1440"/>
        </w:tabs>
        <w:rPr>
          <w:b/>
          <w:bCs/>
          <w:color w:val="000000"/>
        </w:rPr>
      </w:pPr>
    </w:p>
    <w:p w:rsidR="004040AC" w:rsidRPr="003D7D05" w:rsidP="004040AC" w14:paraId="24A5CF96" w14:textId="77777777">
      <w:pPr>
        <w:pStyle w:val="ListParagraph"/>
        <w:numPr>
          <w:ilvl w:val="0"/>
          <w:numId w:val="9"/>
        </w:numPr>
        <w:tabs>
          <w:tab w:val="left" w:pos="-1440"/>
        </w:tabs>
        <w:rPr>
          <w:b/>
          <w:bCs/>
          <w:color w:val="000000"/>
        </w:rPr>
      </w:pPr>
      <w:r w:rsidRPr="003D7D05">
        <w:rPr>
          <w:b/>
          <w:bCs/>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040AC" w:rsidRPr="003D7D05" w:rsidP="004040AC" w14:paraId="0819683D" w14:textId="77777777">
      <w:pPr>
        <w:tabs>
          <w:tab w:val="left" w:pos="-1440"/>
        </w:tabs>
        <w:rPr>
          <w:b/>
          <w:bCs/>
          <w:color w:val="000000"/>
        </w:rPr>
      </w:pPr>
    </w:p>
    <w:p w:rsidR="004040AC" w:rsidRPr="003D7D05" w:rsidP="004040AC" w14:paraId="51C0AF38" w14:textId="77777777">
      <w:pPr>
        <w:pStyle w:val="ListParagraph"/>
        <w:numPr>
          <w:ilvl w:val="0"/>
          <w:numId w:val="9"/>
        </w:numPr>
        <w:tabs>
          <w:tab w:val="left" w:pos="-1440"/>
        </w:tabs>
        <w:rPr>
          <w:b/>
          <w:bCs/>
          <w:color w:val="000000"/>
        </w:rPr>
      </w:pPr>
      <w:r w:rsidRPr="003D7D05">
        <w:rPr>
          <w:b/>
          <w:bCs/>
          <w:color w:val="000000"/>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3D7D05">
        <w:rPr>
          <w:b/>
          <w:bCs/>
          <w:color w:val="000000"/>
        </w:rPr>
        <w:t>to provide</w:t>
      </w:r>
      <w:r w:rsidRPr="003D7D05">
        <w:rPr>
          <w:b/>
          <w:bCs/>
          <w:color w:val="000000"/>
        </w:rPr>
        <w:t xml:space="preserve"> information or </w:t>
      </w:r>
      <w:r w:rsidRPr="003D7D05">
        <w:rPr>
          <w:b/>
          <w:bCs/>
          <w:color w:val="000000"/>
        </w:rPr>
        <w:t>keep</w:t>
      </w:r>
      <w:r w:rsidRPr="003D7D05">
        <w:rPr>
          <w:b/>
          <w:bCs/>
          <w:color w:val="000000"/>
        </w:rPr>
        <w:t xml:space="preserve"> records for the government, or (4) as part of customary and usual business or private practices.</w:t>
      </w:r>
    </w:p>
    <w:p w:rsidR="004040AC" w:rsidRPr="003D7D05" w:rsidP="004040AC" w14:paraId="680EE6FC" w14:textId="77777777">
      <w:pPr>
        <w:pStyle w:val="Default"/>
        <w:rPr>
          <w:rFonts w:ascii="Times New Roman" w:hAnsi="Times New Roman" w:cs="Times New Roman"/>
        </w:rPr>
      </w:pPr>
    </w:p>
    <w:p w:rsidR="004040AC" w:rsidRPr="003D7D05" w:rsidP="004040AC" w14:paraId="1EC0441D" w14:textId="77777777">
      <w:pPr>
        <w:pStyle w:val="Default"/>
        <w:rPr>
          <w:rFonts w:ascii="Times New Roman" w:hAnsi="Times New Roman" w:cs="Times New Roman"/>
        </w:rPr>
      </w:pPr>
    </w:p>
    <w:p w:rsidR="004040AC" w:rsidRPr="003D7D05" w:rsidP="004040AC" w14:paraId="5101DBF5" w14:textId="77777777">
      <w:pPr>
        <w:pStyle w:val="ListParagraph"/>
        <w:numPr>
          <w:ilvl w:val="0"/>
          <w:numId w:val="27"/>
        </w:numPr>
        <w:rPr>
          <w:b/>
          <w:bCs/>
        </w:rPr>
      </w:pPr>
      <w:r w:rsidRPr="003D7D05">
        <w:rPr>
          <w:b/>
          <w:bCs/>
          <w:color w:val="000000"/>
        </w:rPr>
        <w:t>Submitting Mine Emergency Evacuation and Firefighting Program of Instruction for MSHA Approval (30 CFR 75.1502)</w:t>
      </w:r>
    </w:p>
    <w:p w:rsidR="004040AC" w:rsidRPr="003D7D05" w:rsidP="004040AC" w14:paraId="4F603486" w14:textId="77777777">
      <w:pPr>
        <w:pStyle w:val="Default"/>
        <w:rPr>
          <w:rFonts w:ascii="Times New Roman" w:hAnsi="Times New Roman" w:cs="Times New Roman"/>
        </w:rPr>
      </w:pPr>
    </w:p>
    <w:p w:rsidR="004040AC" w:rsidRPr="003D7D05" w:rsidP="004040AC" w14:paraId="38CBCF73" w14:textId="77777777">
      <w:pPr>
        <w:pStyle w:val="Default"/>
        <w:rPr>
          <w:rFonts w:ascii="Times New Roman" w:hAnsi="Times New Roman" w:cs="Times New Roman"/>
        </w:rPr>
      </w:pPr>
      <w:r w:rsidRPr="003D7D05">
        <w:rPr>
          <w:rFonts w:ascii="Times New Roman" w:hAnsi="Times New Roman" w:cs="Times New Roman"/>
        </w:rPr>
        <w:t>MSHA assumes that approximately 15 mines will develop or revise and submit a mine emergency evacuation and firefighting PI to the District Manager for approval annually. The average mine emergency evacuation and firefighting PI is estimated to be approximately eight pages in length. Copying costs are estimated at $0.15 per page, and postage and handling is estimated at $3.00 per PI.</w:t>
      </w:r>
    </w:p>
    <w:p w:rsidR="004040AC" w:rsidRPr="003D7D05" w:rsidP="004040AC" w14:paraId="7DE22F4A" w14:textId="77777777">
      <w:pPr>
        <w:pStyle w:val="Default"/>
        <w:rPr>
          <w:rFonts w:ascii="Times New Roman" w:hAnsi="Times New Roman" w:cs="Times New Roman"/>
        </w:rPr>
      </w:pPr>
    </w:p>
    <w:p w:rsidR="004040AC" w:rsidRPr="003D7D05" w:rsidP="004040AC" w14:paraId="693D12C8" w14:textId="77777777">
      <w:pPr>
        <w:pStyle w:val="Default"/>
        <w:rPr>
          <w:rFonts w:ascii="Times New Roman" w:hAnsi="Times New Roman" w:cs="Times New Roman"/>
          <w:b/>
          <w:bCs/>
        </w:rPr>
      </w:pPr>
      <w:r w:rsidRPr="003D7D05">
        <w:rPr>
          <w:rFonts w:ascii="Times New Roman" w:hAnsi="Times New Roman" w:cs="Times New Roman"/>
          <w:b/>
          <w:bCs/>
        </w:rPr>
        <w:t xml:space="preserve">Table 13-1. Estimated Annual Respondent or Recordkeeper Cost Burden, </w:t>
      </w:r>
      <w:r w:rsidRPr="003D7D05">
        <w:rPr>
          <w:rFonts w:ascii="Times New Roman" w:hAnsi="Times New Roman" w:cs="Times New Roman"/>
          <w:b/>
        </w:rPr>
        <w:t>Submitting</w:t>
      </w:r>
      <w:r w:rsidRPr="003D7D05">
        <w:rPr>
          <w:rFonts w:ascii="Times New Roman" w:hAnsi="Times New Roman" w:cs="Times New Roman"/>
          <w:b/>
          <w:bCs/>
        </w:rPr>
        <w:t xml:space="preserve"> Mine Emergency Evacuation and Firefighting Program of Instruction (30 CFR 75.1502)</w:t>
      </w:r>
    </w:p>
    <w:tbl>
      <w:tblPr>
        <w:tblStyle w:val="TableGrid"/>
        <w:tblW w:w="0" w:type="auto"/>
        <w:tblLook w:val="04A0"/>
      </w:tblPr>
      <w:tblGrid>
        <w:gridCol w:w="1870"/>
        <w:gridCol w:w="1870"/>
        <w:gridCol w:w="1870"/>
        <w:gridCol w:w="1870"/>
        <w:gridCol w:w="1870"/>
      </w:tblGrid>
      <w:tr w14:paraId="727CFE3F" w14:textId="77777777" w:rsidTr="00FD7987">
        <w:tblPrEx>
          <w:tblW w:w="0" w:type="auto"/>
          <w:tblLook w:val="04A0"/>
        </w:tblPrEx>
        <w:tc>
          <w:tcPr>
            <w:tcW w:w="1870" w:type="dxa"/>
            <w:shd w:val="clear" w:color="auto" w:fill="95B3D7" w:themeFill="accent1" w:themeFillTint="99"/>
            <w:vAlign w:val="center"/>
          </w:tcPr>
          <w:p w:rsidR="004040AC" w:rsidRPr="003D7D05" w:rsidP="00FD7987" w14:paraId="670667E2" w14:textId="77777777">
            <w:pPr>
              <w:pStyle w:val="Default"/>
              <w:rPr>
                <w:rFonts w:ascii="Times New Roman" w:hAnsi="Times New Roman" w:cs="Times New Roman"/>
                <w:b/>
                <w:bCs/>
                <w:sz w:val="20"/>
                <w:szCs w:val="20"/>
              </w:rPr>
            </w:pPr>
            <w:r w:rsidRPr="003D7D05">
              <w:rPr>
                <w:rFonts w:ascii="Times New Roman" w:hAnsi="Times New Roman" w:cs="Times New Roman"/>
                <w:b/>
                <w:bCs/>
                <w:sz w:val="20"/>
                <w:szCs w:val="20"/>
              </w:rPr>
              <w:t>Cost Components</w:t>
            </w:r>
          </w:p>
        </w:tc>
        <w:tc>
          <w:tcPr>
            <w:tcW w:w="1870" w:type="dxa"/>
            <w:shd w:val="clear" w:color="auto" w:fill="95B3D7" w:themeFill="accent1" w:themeFillTint="99"/>
            <w:vAlign w:val="center"/>
          </w:tcPr>
          <w:p w:rsidR="004040AC" w:rsidRPr="003D7D05" w:rsidP="00FD7987" w14:paraId="7BCC3226" w14:textId="77777777">
            <w:pPr>
              <w:pStyle w:val="Default"/>
              <w:jc w:val="center"/>
              <w:rPr>
                <w:rFonts w:ascii="Times New Roman" w:hAnsi="Times New Roman" w:cs="Times New Roman"/>
                <w:b/>
                <w:bCs/>
                <w:sz w:val="20"/>
                <w:szCs w:val="20"/>
              </w:rPr>
            </w:pPr>
            <w:r w:rsidRPr="003D7D05">
              <w:rPr>
                <w:rFonts w:ascii="Times New Roman" w:hAnsi="Times New Roman" w:cs="Times New Roman"/>
                <w:b/>
                <w:bCs/>
                <w:sz w:val="20"/>
                <w:szCs w:val="20"/>
              </w:rPr>
              <w:t>Number of Responses</w:t>
            </w:r>
          </w:p>
        </w:tc>
        <w:tc>
          <w:tcPr>
            <w:tcW w:w="1870" w:type="dxa"/>
            <w:shd w:val="clear" w:color="auto" w:fill="95B3D7" w:themeFill="accent1" w:themeFillTint="99"/>
            <w:vAlign w:val="center"/>
          </w:tcPr>
          <w:p w:rsidR="004040AC" w:rsidRPr="003D7D05" w:rsidP="00FD7987" w14:paraId="63ACCEF8" w14:textId="77777777">
            <w:pPr>
              <w:pStyle w:val="Default"/>
              <w:jc w:val="center"/>
              <w:rPr>
                <w:rFonts w:ascii="Times New Roman" w:hAnsi="Times New Roman" w:cs="Times New Roman"/>
                <w:b/>
                <w:bCs/>
                <w:sz w:val="20"/>
                <w:szCs w:val="20"/>
              </w:rPr>
            </w:pPr>
            <w:r w:rsidRPr="003D7D05">
              <w:rPr>
                <w:rFonts w:ascii="Times New Roman" w:hAnsi="Times New Roman" w:cs="Times New Roman"/>
                <w:b/>
                <w:bCs/>
                <w:sz w:val="20"/>
                <w:szCs w:val="20"/>
              </w:rPr>
              <w:t>Unit Cost</w:t>
            </w:r>
          </w:p>
        </w:tc>
        <w:tc>
          <w:tcPr>
            <w:tcW w:w="1870" w:type="dxa"/>
            <w:shd w:val="clear" w:color="auto" w:fill="95B3D7" w:themeFill="accent1" w:themeFillTint="99"/>
            <w:vAlign w:val="center"/>
          </w:tcPr>
          <w:p w:rsidR="004040AC" w:rsidRPr="003D7D05" w:rsidP="00FD7987" w14:paraId="778CE0F9" w14:textId="77777777">
            <w:pPr>
              <w:pStyle w:val="Default"/>
              <w:jc w:val="center"/>
              <w:rPr>
                <w:rFonts w:ascii="Times New Roman" w:hAnsi="Times New Roman" w:cs="Times New Roman"/>
                <w:b/>
                <w:bCs/>
                <w:sz w:val="20"/>
                <w:szCs w:val="20"/>
              </w:rPr>
            </w:pPr>
            <w:r w:rsidRPr="003D7D05">
              <w:rPr>
                <w:rFonts w:ascii="Times New Roman" w:hAnsi="Times New Roman" w:cs="Times New Roman"/>
                <w:b/>
                <w:bCs/>
                <w:sz w:val="20"/>
                <w:szCs w:val="20"/>
              </w:rPr>
              <w:t>Number of Units</w:t>
            </w:r>
          </w:p>
        </w:tc>
        <w:tc>
          <w:tcPr>
            <w:tcW w:w="1870" w:type="dxa"/>
            <w:shd w:val="clear" w:color="auto" w:fill="95B3D7" w:themeFill="accent1" w:themeFillTint="99"/>
            <w:vAlign w:val="center"/>
          </w:tcPr>
          <w:p w:rsidR="004040AC" w:rsidRPr="003D7D05" w:rsidP="00FD7987" w14:paraId="729FAB56" w14:textId="77777777">
            <w:pPr>
              <w:pStyle w:val="Default"/>
              <w:jc w:val="center"/>
              <w:rPr>
                <w:rFonts w:ascii="Times New Roman" w:hAnsi="Times New Roman" w:cs="Times New Roman"/>
                <w:b/>
                <w:bCs/>
                <w:sz w:val="20"/>
                <w:szCs w:val="20"/>
              </w:rPr>
            </w:pPr>
            <w:r w:rsidRPr="003D7D05">
              <w:rPr>
                <w:rFonts w:ascii="Times New Roman" w:hAnsi="Times New Roman" w:cs="Times New Roman"/>
                <w:b/>
                <w:bCs/>
                <w:sz w:val="20"/>
                <w:szCs w:val="20"/>
              </w:rPr>
              <w:t>Cost to Recordkeepers</w:t>
            </w:r>
          </w:p>
        </w:tc>
      </w:tr>
      <w:tr w14:paraId="4848CAC9" w14:textId="77777777" w:rsidTr="00FD7987">
        <w:tblPrEx>
          <w:tblW w:w="0" w:type="auto"/>
          <w:tblLook w:val="04A0"/>
        </w:tblPrEx>
        <w:tc>
          <w:tcPr>
            <w:tcW w:w="1870" w:type="dxa"/>
          </w:tcPr>
          <w:p w:rsidR="004040AC" w:rsidRPr="003D7D05" w:rsidP="00FD7987" w14:paraId="4032A867" w14:textId="77777777">
            <w:pPr>
              <w:pStyle w:val="Default"/>
              <w:rPr>
                <w:rFonts w:ascii="Times New Roman" w:hAnsi="Times New Roman" w:cs="Times New Roman"/>
                <w:sz w:val="20"/>
                <w:szCs w:val="20"/>
              </w:rPr>
            </w:pPr>
            <w:r w:rsidRPr="003D7D05">
              <w:rPr>
                <w:rFonts w:ascii="Times New Roman" w:hAnsi="Times New Roman" w:cs="Times New Roman"/>
                <w:sz w:val="20"/>
                <w:szCs w:val="20"/>
              </w:rPr>
              <w:t>Copying PIs</w:t>
            </w:r>
          </w:p>
        </w:tc>
        <w:tc>
          <w:tcPr>
            <w:tcW w:w="1870" w:type="dxa"/>
            <w:vAlign w:val="center"/>
          </w:tcPr>
          <w:p w:rsidR="004040AC" w:rsidRPr="003D7D05" w:rsidP="00FD7987" w14:paraId="72735873"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15</w:t>
            </w:r>
          </w:p>
        </w:tc>
        <w:tc>
          <w:tcPr>
            <w:tcW w:w="1870" w:type="dxa"/>
            <w:vAlign w:val="center"/>
          </w:tcPr>
          <w:p w:rsidR="004040AC" w:rsidRPr="003D7D05" w:rsidP="00FD7987" w14:paraId="4E15163C"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$0.15</w:t>
            </w:r>
          </w:p>
        </w:tc>
        <w:tc>
          <w:tcPr>
            <w:tcW w:w="1870" w:type="dxa"/>
            <w:vAlign w:val="center"/>
          </w:tcPr>
          <w:p w:rsidR="004040AC" w:rsidRPr="003D7D05" w:rsidP="00FD7987" w14:paraId="1A02C95A"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8</w:t>
            </w:r>
          </w:p>
        </w:tc>
        <w:tc>
          <w:tcPr>
            <w:tcW w:w="1870" w:type="dxa"/>
            <w:vAlign w:val="center"/>
          </w:tcPr>
          <w:p w:rsidR="004040AC" w:rsidRPr="003D7D05" w:rsidP="00FD7987" w14:paraId="77F33518"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$18.00</w:t>
            </w:r>
          </w:p>
        </w:tc>
      </w:tr>
      <w:tr w14:paraId="5DA2B3FF" w14:textId="77777777" w:rsidTr="00FD7987">
        <w:tblPrEx>
          <w:tblW w:w="0" w:type="auto"/>
          <w:tblLook w:val="04A0"/>
        </w:tblPrEx>
        <w:tc>
          <w:tcPr>
            <w:tcW w:w="1870" w:type="dxa"/>
          </w:tcPr>
          <w:p w:rsidR="004040AC" w:rsidRPr="003D7D05" w:rsidP="00FD7987" w14:paraId="2B985E9B" w14:textId="77777777">
            <w:pPr>
              <w:pStyle w:val="Default"/>
              <w:rPr>
                <w:rFonts w:ascii="Times New Roman" w:hAnsi="Times New Roman" w:cs="Times New Roman"/>
                <w:sz w:val="20"/>
                <w:szCs w:val="20"/>
              </w:rPr>
            </w:pPr>
            <w:r w:rsidRPr="003D7D05">
              <w:rPr>
                <w:rFonts w:ascii="Times New Roman" w:hAnsi="Times New Roman" w:cs="Times New Roman"/>
                <w:sz w:val="20"/>
                <w:szCs w:val="20"/>
              </w:rPr>
              <w:t>Mailing PIs</w:t>
            </w:r>
          </w:p>
        </w:tc>
        <w:tc>
          <w:tcPr>
            <w:tcW w:w="1870" w:type="dxa"/>
            <w:vAlign w:val="center"/>
          </w:tcPr>
          <w:p w:rsidR="004040AC" w:rsidRPr="003D7D05" w:rsidP="00FD7987" w14:paraId="0F723521"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15</w:t>
            </w:r>
          </w:p>
        </w:tc>
        <w:tc>
          <w:tcPr>
            <w:tcW w:w="1870" w:type="dxa"/>
            <w:vAlign w:val="center"/>
          </w:tcPr>
          <w:p w:rsidR="004040AC" w:rsidRPr="003D7D05" w:rsidP="00FD7987" w14:paraId="2B6CFE25"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$3.00</w:t>
            </w:r>
          </w:p>
        </w:tc>
        <w:tc>
          <w:tcPr>
            <w:tcW w:w="1870" w:type="dxa"/>
            <w:vAlign w:val="center"/>
          </w:tcPr>
          <w:p w:rsidR="004040AC" w:rsidRPr="003D7D05" w:rsidP="00FD7987" w14:paraId="0F5E8C0A"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1</w:t>
            </w:r>
          </w:p>
        </w:tc>
        <w:tc>
          <w:tcPr>
            <w:tcW w:w="1870" w:type="dxa"/>
            <w:vAlign w:val="center"/>
          </w:tcPr>
          <w:p w:rsidR="004040AC" w:rsidRPr="003D7D05" w:rsidP="00FD7987" w14:paraId="392F10C2"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$45.00</w:t>
            </w:r>
          </w:p>
        </w:tc>
      </w:tr>
      <w:tr w14:paraId="0DCEEB17" w14:textId="77777777" w:rsidTr="00FD7987">
        <w:tblPrEx>
          <w:tblW w:w="0" w:type="auto"/>
          <w:tblLook w:val="04A0"/>
        </w:tblPrEx>
        <w:tc>
          <w:tcPr>
            <w:tcW w:w="1870" w:type="dxa"/>
          </w:tcPr>
          <w:p w:rsidR="004040AC" w:rsidRPr="003D7D05" w:rsidP="00FD7987" w14:paraId="45E02F74" w14:textId="77777777">
            <w:pPr>
              <w:pStyle w:val="Default"/>
              <w:rPr>
                <w:rFonts w:ascii="Times New Roman" w:hAnsi="Times New Roman" w:cs="Times New Roman"/>
                <w:b/>
                <w:bCs/>
                <w:i/>
                <w:iCs/>
                <w:sz w:val="20"/>
                <w:szCs w:val="20"/>
              </w:rPr>
            </w:pPr>
            <w:r w:rsidRPr="003D7D05">
              <w:rPr>
                <w:rFonts w:ascii="Times New Roman" w:hAnsi="Times New Roman" w:cs="Times New Roman"/>
                <w:b/>
                <w:bCs/>
                <w:i/>
                <w:iCs/>
                <w:sz w:val="20"/>
                <w:szCs w:val="20"/>
              </w:rPr>
              <w:t>Total (Rounded)</w:t>
            </w:r>
          </w:p>
        </w:tc>
        <w:tc>
          <w:tcPr>
            <w:tcW w:w="1870" w:type="dxa"/>
            <w:vAlign w:val="center"/>
          </w:tcPr>
          <w:p w:rsidR="004040AC" w:rsidRPr="003D7D05" w:rsidP="00FD7987" w14:paraId="44894B9C" w14:textId="77777777">
            <w:pPr>
              <w:pStyle w:val="Default"/>
              <w:jc w:val="right"/>
              <w:rPr>
                <w:rFonts w:ascii="Times New Roman" w:hAnsi="Times New Roman" w:cs="Times New Roman"/>
                <w:b/>
                <w:bCs/>
                <w:i/>
                <w:iCs/>
                <w:sz w:val="20"/>
                <w:szCs w:val="20"/>
              </w:rPr>
            </w:pPr>
            <w:r w:rsidRPr="003D7D05">
              <w:rPr>
                <w:rFonts w:ascii="Times New Roman" w:hAnsi="Times New Roman" w:cs="Times New Roman"/>
                <w:b/>
                <w:bCs/>
                <w:i/>
                <w:iCs/>
                <w:sz w:val="20"/>
                <w:szCs w:val="20"/>
              </w:rPr>
              <w:t>15</w:t>
            </w:r>
          </w:p>
        </w:tc>
        <w:tc>
          <w:tcPr>
            <w:tcW w:w="1870" w:type="dxa"/>
            <w:shd w:val="clear" w:color="auto" w:fill="000000" w:themeFill="text1"/>
            <w:vAlign w:val="center"/>
          </w:tcPr>
          <w:p w:rsidR="004040AC" w:rsidRPr="003D7D05" w:rsidP="00FD7987" w14:paraId="62266AAC" w14:textId="77777777">
            <w:pPr>
              <w:pStyle w:val="Default"/>
              <w:jc w:val="right"/>
              <w:rPr>
                <w:rFonts w:ascii="Times New Roman" w:hAnsi="Times New Roman" w:cs="Times New Roman"/>
                <w:b/>
                <w:bCs/>
                <w:i/>
                <w:iCs/>
                <w:sz w:val="20"/>
                <w:szCs w:val="20"/>
              </w:rPr>
            </w:pPr>
          </w:p>
        </w:tc>
        <w:tc>
          <w:tcPr>
            <w:tcW w:w="1870" w:type="dxa"/>
            <w:shd w:val="clear" w:color="auto" w:fill="000000" w:themeFill="text1"/>
            <w:vAlign w:val="center"/>
          </w:tcPr>
          <w:p w:rsidR="004040AC" w:rsidRPr="003D7D05" w:rsidP="00FD7987" w14:paraId="76D741DD" w14:textId="77777777">
            <w:pPr>
              <w:pStyle w:val="Default"/>
              <w:jc w:val="right"/>
              <w:rPr>
                <w:rFonts w:ascii="Times New Roman" w:hAnsi="Times New Roman" w:cs="Times New Roman"/>
                <w:b/>
                <w:bCs/>
                <w:i/>
                <w:iCs/>
                <w:sz w:val="20"/>
                <w:szCs w:val="20"/>
              </w:rPr>
            </w:pPr>
          </w:p>
        </w:tc>
        <w:tc>
          <w:tcPr>
            <w:tcW w:w="1870" w:type="dxa"/>
            <w:vAlign w:val="center"/>
          </w:tcPr>
          <w:p w:rsidR="004040AC" w:rsidRPr="003D7D05" w:rsidP="00FD7987" w14:paraId="3B06C561" w14:textId="77777777">
            <w:pPr>
              <w:pStyle w:val="Default"/>
              <w:jc w:val="right"/>
              <w:rPr>
                <w:rFonts w:ascii="Times New Roman" w:hAnsi="Times New Roman" w:cs="Times New Roman"/>
                <w:b/>
                <w:bCs/>
                <w:i/>
                <w:iCs/>
                <w:sz w:val="20"/>
                <w:szCs w:val="20"/>
              </w:rPr>
            </w:pPr>
            <w:r w:rsidRPr="003D7D05">
              <w:rPr>
                <w:rFonts w:ascii="Times New Roman" w:hAnsi="Times New Roman" w:cs="Times New Roman"/>
                <w:b/>
                <w:bCs/>
                <w:i/>
                <w:iCs/>
                <w:sz w:val="20"/>
                <w:szCs w:val="20"/>
              </w:rPr>
              <w:t>$63</w:t>
            </w:r>
          </w:p>
        </w:tc>
      </w:tr>
    </w:tbl>
    <w:p w:rsidR="004040AC" w:rsidRPr="003D7D05" w:rsidP="004040AC" w14:paraId="561D8475" w14:textId="77777777">
      <w:pPr>
        <w:pStyle w:val="Default"/>
        <w:rPr>
          <w:rFonts w:ascii="Times New Roman" w:hAnsi="Times New Roman" w:cs="Times New Roman"/>
        </w:rPr>
      </w:pPr>
    </w:p>
    <w:p w:rsidR="004040AC" w:rsidRPr="003D7D05" w:rsidP="004040AC" w14:paraId="456F51B3" w14:textId="77777777">
      <w:pPr>
        <w:pStyle w:val="Default"/>
        <w:rPr>
          <w:rFonts w:ascii="Times New Roman" w:hAnsi="Times New Roman" w:cs="Times New Roman"/>
          <w:b/>
          <w:bCs/>
        </w:rPr>
      </w:pPr>
    </w:p>
    <w:p w:rsidR="004040AC" w:rsidRPr="003D7D05" w:rsidP="004040AC" w14:paraId="5A9E07A8" w14:textId="77777777">
      <w:pPr>
        <w:pStyle w:val="Default"/>
        <w:rPr>
          <w:rFonts w:ascii="Times New Roman" w:hAnsi="Times New Roman" w:cs="Times New Roman"/>
          <w:b/>
          <w:bCs/>
        </w:rPr>
      </w:pPr>
      <w:r w:rsidRPr="003D7D05">
        <w:rPr>
          <w:rFonts w:ascii="Times New Roman" w:hAnsi="Times New Roman" w:cs="Times New Roman"/>
          <w:b/>
          <w:bCs/>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rsidR="004040AC" w:rsidRPr="003D7D05" w:rsidP="004040AC" w14:paraId="7B98AABE" w14:textId="77777777">
      <w:pPr>
        <w:pStyle w:val="Default"/>
        <w:rPr>
          <w:rFonts w:ascii="Times New Roman" w:hAnsi="Times New Roman" w:cs="Times New Roman"/>
        </w:rPr>
      </w:pPr>
    </w:p>
    <w:p w:rsidR="004040AC" w:rsidRPr="003D7D05" w:rsidP="004040AC" w14:paraId="2ADB3EC0" w14:textId="77777777">
      <w:pPr>
        <w:pStyle w:val="BodyText12pt"/>
        <w:rPr>
          <w:szCs w:val="24"/>
        </w:rPr>
      </w:pPr>
      <w:r w:rsidRPr="003D7D05">
        <w:rPr>
          <w:szCs w:val="24"/>
        </w:rPr>
        <w:t>There are no Federal costs associated with this information collection request.</w:t>
      </w:r>
    </w:p>
    <w:p w:rsidR="004040AC" w:rsidRPr="003D7D05" w:rsidP="004040AC" w14:paraId="38030BD1" w14:textId="77777777">
      <w:pPr>
        <w:pStyle w:val="Default"/>
        <w:rPr>
          <w:rFonts w:ascii="Times New Roman" w:hAnsi="Times New Roman" w:cs="Times New Roman"/>
          <w:b/>
          <w:bCs/>
        </w:rPr>
      </w:pPr>
    </w:p>
    <w:p w:rsidR="004040AC" w:rsidRPr="003D7D05" w:rsidP="004040AC" w14:paraId="67E91003" w14:textId="77777777">
      <w:pPr>
        <w:pStyle w:val="Default"/>
        <w:rPr>
          <w:rFonts w:ascii="Times New Roman" w:hAnsi="Times New Roman" w:cs="Times New Roman"/>
          <w:b/>
          <w:bCs/>
        </w:rPr>
      </w:pPr>
      <w:r w:rsidRPr="003D7D05">
        <w:rPr>
          <w:rFonts w:ascii="Times New Roman" w:hAnsi="Times New Roman" w:cs="Times New Roman"/>
          <w:b/>
          <w:bCs/>
        </w:rPr>
        <w:t xml:space="preserve">15. Explain the reasons for any program changes or adjustments reported on the burden worksheet. </w:t>
      </w:r>
    </w:p>
    <w:p w:rsidR="004040AC" w:rsidRPr="003D7D05" w:rsidP="004040AC" w14:paraId="7318410B" w14:textId="77777777">
      <w:pPr>
        <w:pStyle w:val="Default"/>
        <w:rPr>
          <w:rFonts w:ascii="Times New Roman" w:hAnsi="Times New Roman" w:cs="Times New Roman"/>
        </w:rPr>
      </w:pPr>
    </w:p>
    <w:p w:rsidR="004040AC" w:rsidRPr="003D7D05" w:rsidP="004040AC" w14:paraId="048429CD" w14:textId="77777777">
      <w:pPr>
        <w:rPr>
          <w:iCs/>
        </w:rPr>
      </w:pPr>
      <w:r w:rsidRPr="003D7D05">
        <w:rPr>
          <w:iCs/>
          <w:u w:val="single"/>
        </w:rPr>
        <w:t>Number of Respondents</w:t>
      </w:r>
      <w:r w:rsidRPr="003D7D05">
        <w:rPr>
          <w:iCs/>
        </w:rPr>
        <w:t xml:space="preserve">: The estimated number of respondents decreased from 156 to 148 due to the decline in the </w:t>
      </w:r>
      <w:bookmarkStart w:id="26" w:name="_Hlk125973945"/>
      <w:r w:rsidRPr="003D7D05">
        <w:rPr>
          <w:iCs/>
        </w:rPr>
        <w:t>number of active underground coal mines.</w:t>
      </w:r>
    </w:p>
    <w:p w:rsidR="004040AC" w:rsidRPr="003D7D05" w:rsidP="004040AC" w14:paraId="5D44590A" w14:textId="77777777">
      <w:pPr>
        <w:rPr>
          <w:iCs/>
        </w:rPr>
      </w:pPr>
    </w:p>
    <w:p w:rsidR="004040AC" w:rsidRPr="003D7D05" w:rsidP="004040AC" w14:paraId="2218BDFC" w14:textId="77777777">
      <w:pPr>
        <w:rPr>
          <w:iCs/>
        </w:rPr>
      </w:pPr>
      <w:r w:rsidRPr="003D7D05">
        <w:rPr>
          <w:iCs/>
          <w:u w:val="single"/>
        </w:rPr>
        <w:t>Number of Responses</w:t>
      </w:r>
      <w:r w:rsidRPr="003D7D05">
        <w:rPr>
          <w:iCs/>
        </w:rPr>
        <w:t>: The estimated number of responses decreased from 145,516 to 143,039 due to the decline in the number of respondents.</w:t>
      </w:r>
    </w:p>
    <w:p w:rsidR="004040AC" w:rsidRPr="003D7D05" w:rsidP="004040AC" w14:paraId="2A3D2EDC" w14:textId="77777777">
      <w:pPr>
        <w:rPr>
          <w:iCs/>
        </w:rPr>
      </w:pPr>
    </w:p>
    <w:p w:rsidR="004040AC" w:rsidRPr="003D7D05" w:rsidP="004040AC" w14:paraId="083B7E40" w14:textId="77777777">
      <w:pPr>
        <w:rPr>
          <w:iCs/>
        </w:rPr>
      </w:pPr>
      <w:r w:rsidRPr="003D7D05">
        <w:rPr>
          <w:iCs/>
          <w:u w:val="single"/>
        </w:rPr>
        <w:t>Annual Time Burden</w:t>
      </w:r>
      <w:r w:rsidRPr="003D7D05">
        <w:rPr>
          <w:iCs/>
        </w:rPr>
        <w:t>: The estimated annual time burden decreased from 16,254 hours to 15,878 hours due to the decrease in the number of respondents.</w:t>
      </w:r>
    </w:p>
    <w:p w:rsidR="004040AC" w:rsidRPr="003D7D05" w:rsidP="004040AC" w14:paraId="6D6705EF" w14:textId="77777777">
      <w:pPr>
        <w:rPr>
          <w:iCs/>
        </w:rPr>
      </w:pPr>
    </w:p>
    <w:p w:rsidR="004040AC" w:rsidRPr="003D7D05" w:rsidP="004040AC" w14:paraId="245B93DE" w14:textId="77777777">
      <w:bookmarkStart w:id="27" w:name="_Hlk161303117"/>
      <w:r w:rsidRPr="003D7D05">
        <w:rPr>
          <w:u w:val="single"/>
        </w:rPr>
        <w:t>Annual Burden Costs</w:t>
      </w:r>
      <w:r w:rsidRPr="003D7D05">
        <w:t>: The estimated annual burden costs increased from $977,878 to $1,145,173 due to an increase in wage rates.</w:t>
      </w:r>
    </w:p>
    <w:bookmarkEnd w:id="27"/>
    <w:p w:rsidR="004040AC" w:rsidRPr="003D7D05" w:rsidP="004040AC" w14:paraId="684470CE" w14:textId="77777777">
      <w:pPr>
        <w:rPr>
          <w:iCs/>
        </w:rPr>
      </w:pPr>
    </w:p>
    <w:p w:rsidR="004040AC" w:rsidRPr="003D7D05" w:rsidP="004040AC" w14:paraId="24A881C7" w14:textId="77777777">
      <w:pPr>
        <w:rPr>
          <w:iCs/>
        </w:rPr>
      </w:pPr>
      <w:bookmarkStart w:id="28" w:name="_Hlk161302820"/>
      <w:r w:rsidRPr="003D7D05">
        <w:rPr>
          <w:iCs/>
          <w:u w:val="single"/>
        </w:rPr>
        <w:t>Annual Other Burden Costs</w:t>
      </w:r>
      <w:bookmarkEnd w:id="28"/>
      <w:r w:rsidRPr="003D7D05">
        <w:rPr>
          <w:iCs/>
        </w:rPr>
        <w:t>: The estimated annual other burden costs decreased from $67 to $63 due to the decline in the number of respondents.</w:t>
      </w:r>
    </w:p>
    <w:p w:rsidR="004040AC" w:rsidRPr="003D7D05" w:rsidP="004040AC" w14:paraId="6F877B31" w14:textId="77777777"/>
    <w:p w:rsidR="004040AC" w:rsidRPr="003D7D05" w:rsidP="004040AC" w14:paraId="3B8E0714" w14:textId="77777777">
      <w:bookmarkStart w:id="29" w:name="_Hlk172027419"/>
      <w:r w:rsidRPr="003D7D05">
        <w:rPr>
          <w:u w:val="single"/>
        </w:rPr>
        <w:t>Federal Hours</w:t>
      </w:r>
      <w:r w:rsidRPr="003D7D05">
        <w:t>: The estimated annual federal hours remained at 0.</w:t>
      </w:r>
    </w:p>
    <w:p w:rsidR="004040AC" w:rsidRPr="003D7D05" w:rsidP="004040AC" w14:paraId="52B262E8" w14:textId="77777777"/>
    <w:p w:rsidR="004040AC" w:rsidRPr="003D7D05" w:rsidP="004040AC" w14:paraId="2089338D" w14:textId="77777777">
      <w:r w:rsidRPr="003D7D05">
        <w:rPr>
          <w:u w:val="single"/>
        </w:rPr>
        <w:t>Federal Costs</w:t>
      </w:r>
      <w:r w:rsidRPr="003D7D05">
        <w:t>: The estimated annual federal costs remained at 0.</w:t>
      </w:r>
    </w:p>
    <w:p w:rsidR="004040AC" w:rsidRPr="003D7D05" w:rsidP="004040AC" w14:paraId="4A8B76D2" w14:textId="77777777"/>
    <w:bookmarkEnd w:id="29"/>
    <w:p w:rsidR="004040AC" w:rsidRPr="003D7D05" w:rsidP="004040AC" w14:paraId="635A44E2" w14:textId="77777777">
      <w:pPr>
        <w:rPr>
          <w:b/>
          <w:bCs/>
        </w:rPr>
      </w:pPr>
      <w:r w:rsidRPr="003D7D05">
        <w:rPr>
          <w:b/>
          <w:bCs/>
        </w:rPr>
        <w:t xml:space="preserve">Table 15-1. Summary of Changes </w:t>
      </w:r>
    </w:p>
    <w:tbl>
      <w:tblPr>
        <w:tblStyle w:val="TableGrid"/>
        <w:tblW w:w="8447" w:type="dxa"/>
        <w:tblLook w:val="04A0"/>
      </w:tblPr>
      <w:tblGrid>
        <w:gridCol w:w="3505"/>
        <w:gridCol w:w="1816"/>
        <w:gridCol w:w="1694"/>
        <w:gridCol w:w="1432"/>
      </w:tblGrid>
      <w:tr w14:paraId="014724A5" w14:textId="77777777" w:rsidTr="00FD7987">
        <w:tblPrEx>
          <w:tblW w:w="8447" w:type="dxa"/>
          <w:tblLook w:val="04A0"/>
        </w:tblPrEx>
        <w:trPr>
          <w:trHeight w:val="306"/>
        </w:trPr>
        <w:tc>
          <w:tcPr>
            <w:tcW w:w="3505" w:type="dxa"/>
            <w:shd w:val="clear" w:color="auto" w:fill="95B3D7" w:themeFill="accent1" w:themeFillTint="99"/>
            <w:noWrap/>
            <w:hideMark/>
          </w:tcPr>
          <w:p w:rsidR="004040AC" w:rsidRPr="003D7D05" w:rsidP="00FD7987" w14:paraId="19116FD7" w14:textId="77777777">
            <w:pPr>
              <w:pStyle w:val="Default"/>
              <w:rPr>
                <w:rFonts w:ascii="Times New Roman" w:hAnsi="Times New Roman" w:cs="Times New Roman"/>
                <w:sz w:val="20"/>
                <w:szCs w:val="20"/>
              </w:rPr>
            </w:pPr>
          </w:p>
        </w:tc>
        <w:tc>
          <w:tcPr>
            <w:tcW w:w="1816" w:type="dxa"/>
            <w:shd w:val="clear" w:color="auto" w:fill="95B3D7" w:themeFill="accent1" w:themeFillTint="99"/>
            <w:noWrap/>
            <w:vAlign w:val="center"/>
            <w:hideMark/>
          </w:tcPr>
          <w:p w:rsidR="004040AC" w:rsidRPr="003D7D05" w:rsidP="00FD7987" w14:paraId="4CFC477F" w14:textId="77777777">
            <w:pPr>
              <w:pStyle w:val="Default"/>
              <w:jc w:val="center"/>
              <w:rPr>
                <w:rFonts w:ascii="Times New Roman" w:hAnsi="Times New Roman" w:cs="Times New Roman"/>
                <w:b/>
                <w:bCs/>
                <w:sz w:val="20"/>
                <w:szCs w:val="20"/>
              </w:rPr>
            </w:pPr>
            <w:r w:rsidRPr="003D7D05">
              <w:rPr>
                <w:rFonts w:ascii="Times New Roman" w:hAnsi="Times New Roman" w:cs="Times New Roman"/>
                <w:b/>
                <w:bCs/>
                <w:sz w:val="20"/>
                <w:szCs w:val="20"/>
              </w:rPr>
              <w:t>Previous ICR</w:t>
            </w:r>
          </w:p>
        </w:tc>
        <w:tc>
          <w:tcPr>
            <w:tcW w:w="1694" w:type="dxa"/>
            <w:shd w:val="clear" w:color="auto" w:fill="95B3D7" w:themeFill="accent1" w:themeFillTint="99"/>
            <w:vAlign w:val="center"/>
          </w:tcPr>
          <w:p w:rsidR="004040AC" w:rsidRPr="003D7D05" w:rsidP="00FD7987" w14:paraId="054FBC6A" w14:textId="77777777">
            <w:pPr>
              <w:pStyle w:val="Default"/>
              <w:jc w:val="center"/>
              <w:rPr>
                <w:rFonts w:ascii="Times New Roman" w:hAnsi="Times New Roman" w:cs="Times New Roman"/>
                <w:b/>
                <w:bCs/>
                <w:sz w:val="20"/>
                <w:szCs w:val="20"/>
              </w:rPr>
            </w:pPr>
            <w:r w:rsidRPr="003D7D05">
              <w:rPr>
                <w:rFonts w:ascii="Times New Roman" w:hAnsi="Times New Roman" w:cs="Times New Roman"/>
                <w:b/>
                <w:bCs/>
                <w:sz w:val="20"/>
                <w:szCs w:val="20"/>
              </w:rPr>
              <w:t>Currently Approved ICR</w:t>
            </w:r>
          </w:p>
        </w:tc>
        <w:tc>
          <w:tcPr>
            <w:tcW w:w="1432" w:type="dxa"/>
            <w:shd w:val="clear" w:color="auto" w:fill="95B3D7" w:themeFill="accent1" w:themeFillTint="99"/>
            <w:noWrap/>
            <w:vAlign w:val="center"/>
            <w:hideMark/>
          </w:tcPr>
          <w:p w:rsidR="004040AC" w:rsidRPr="003D7D05" w:rsidP="00FD7987" w14:paraId="5EFBE9D9" w14:textId="77777777">
            <w:pPr>
              <w:pStyle w:val="Default"/>
              <w:jc w:val="center"/>
              <w:rPr>
                <w:rFonts w:ascii="Times New Roman" w:hAnsi="Times New Roman" w:cs="Times New Roman"/>
                <w:b/>
                <w:bCs/>
                <w:sz w:val="20"/>
                <w:szCs w:val="20"/>
              </w:rPr>
            </w:pPr>
            <w:r w:rsidRPr="003D7D05">
              <w:rPr>
                <w:rFonts w:ascii="Times New Roman" w:hAnsi="Times New Roman" w:cs="Times New Roman"/>
                <w:b/>
                <w:bCs/>
                <w:sz w:val="20"/>
                <w:szCs w:val="20"/>
              </w:rPr>
              <w:t>Difference</w:t>
            </w:r>
          </w:p>
        </w:tc>
      </w:tr>
      <w:tr w14:paraId="6CAEB85A" w14:textId="77777777" w:rsidTr="00FD7987">
        <w:tblPrEx>
          <w:tblW w:w="8447" w:type="dxa"/>
          <w:tblLook w:val="04A0"/>
        </w:tblPrEx>
        <w:trPr>
          <w:trHeight w:val="322"/>
        </w:trPr>
        <w:tc>
          <w:tcPr>
            <w:tcW w:w="3505" w:type="dxa"/>
            <w:noWrap/>
            <w:vAlign w:val="center"/>
            <w:hideMark/>
          </w:tcPr>
          <w:p w:rsidR="004040AC" w:rsidRPr="003D7D05" w:rsidP="00FD7987" w14:paraId="21557641" w14:textId="77777777">
            <w:pPr>
              <w:pStyle w:val="Default"/>
              <w:rPr>
                <w:rFonts w:ascii="Times New Roman" w:hAnsi="Times New Roman" w:cs="Times New Roman"/>
                <w:sz w:val="20"/>
                <w:szCs w:val="20"/>
              </w:rPr>
            </w:pPr>
            <w:r w:rsidRPr="003D7D05">
              <w:rPr>
                <w:rFonts w:ascii="Times New Roman" w:hAnsi="Times New Roman" w:cs="Times New Roman"/>
                <w:sz w:val="20"/>
                <w:szCs w:val="20"/>
              </w:rPr>
              <w:t>Number of Respondents</w:t>
            </w:r>
          </w:p>
        </w:tc>
        <w:tc>
          <w:tcPr>
            <w:tcW w:w="1816" w:type="dxa"/>
            <w:noWrap/>
            <w:vAlign w:val="center"/>
          </w:tcPr>
          <w:p w:rsidR="004040AC" w:rsidRPr="003D7D05" w:rsidP="00FD7987" w14:paraId="66A66AD0"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156</w:t>
            </w:r>
          </w:p>
        </w:tc>
        <w:tc>
          <w:tcPr>
            <w:tcW w:w="1694" w:type="dxa"/>
            <w:vAlign w:val="center"/>
          </w:tcPr>
          <w:p w:rsidR="004040AC" w:rsidRPr="003D7D05" w:rsidP="00FD7987" w14:paraId="195C92AE"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148</w:t>
            </w:r>
          </w:p>
        </w:tc>
        <w:tc>
          <w:tcPr>
            <w:tcW w:w="1432" w:type="dxa"/>
            <w:noWrap/>
            <w:vAlign w:val="center"/>
          </w:tcPr>
          <w:p w:rsidR="004040AC" w:rsidRPr="003D7D05" w:rsidP="00FD7987" w14:paraId="0F73E898"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-8</w:t>
            </w:r>
          </w:p>
        </w:tc>
      </w:tr>
      <w:tr w14:paraId="52029A72" w14:textId="77777777" w:rsidTr="00FD7987">
        <w:tblPrEx>
          <w:tblW w:w="8447" w:type="dxa"/>
          <w:tblLook w:val="04A0"/>
        </w:tblPrEx>
        <w:trPr>
          <w:trHeight w:val="322"/>
        </w:trPr>
        <w:tc>
          <w:tcPr>
            <w:tcW w:w="3505" w:type="dxa"/>
            <w:noWrap/>
            <w:vAlign w:val="center"/>
            <w:hideMark/>
          </w:tcPr>
          <w:p w:rsidR="004040AC" w:rsidRPr="003D7D05" w:rsidP="00FD7987" w14:paraId="05E34A30" w14:textId="77777777">
            <w:pPr>
              <w:pStyle w:val="Default"/>
              <w:rPr>
                <w:rFonts w:ascii="Times New Roman" w:hAnsi="Times New Roman" w:cs="Times New Roman"/>
                <w:sz w:val="20"/>
                <w:szCs w:val="20"/>
              </w:rPr>
            </w:pPr>
            <w:r w:rsidRPr="003D7D05">
              <w:rPr>
                <w:rFonts w:ascii="Times New Roman" w:hAnsi="Times New Roman" w:cs="Times New Roman"/>
                <w:sz w:val="20"/>
                <w:szCs w:val="20"/>
              </w:rPr>
              <w:t>Number of Responses</w:t>
            </w:r>
          </w:p>
        </w:tc>
        <w:tc>
          <w:tcPr>
            <w:tcW w:w="1816" w:type="dxa"/>
            <w:noWrap/>
            <w:vAlign w:val="center"/>
          </w:tcPr>
          <w:p w:rsidR="004040AC" w:rsidRPr="003D7D05" w:rsidP="00FD7987" w14:paraId="7BA1BFB8"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145,516</w:t>
            </w:r>
          </w:p>
        </w:tc>
        <w:tc>
          <w:tcPr>
            <w:tcW w:w="1694" w:type="dxa"/>
            <w:vAlign w:val="center"/>
          </w:tcPr>
          <w:p w:rsidR="004040AC" w:rsidRPr="003D7D05" w:rsidP="00FD7987" w14:paraId="0744DD19"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143,039</w:t>
            </w:r>
          </w:p>
        </w:tc>
        <w:tc>
          <w:tcPr>
            <w:tcW w:w="1432" w:type="dxa"/>
            <w:noWrap/>
            <w:vAlign w:val="center"/>
          </w:tcPr>
          <w:p w:rsidR="004040AC" w:rsidRPr="003D7D05" w:rsidP="00FD7987" w14:paraId="77E2C73E"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-2,477</w:t>
            </w:r>
          </w:p>
        </w:tc>
      </w:tr>
      <w:tr w14:paraId="0C8D500C" w14:textId="77777777" w:rsidTr="00FD7987">
        <w:tblPrEx>
          <w:tblW w:w="8447" w:type="dxa"/>
          <w:tblLook w:val="04A0"/>
        </w:tblPrEx>
        <w:trPr>
          <w:trHeight w:val="322"/>
        </w:trPr>
        <w:tc>
          <w:tcPr>
            <w:tcW w:w="3505" w:type="dxa"/>
            <w:noWrap/>
            <w:vAlign w:val="center"/>
            <w:hideMark/>
          </w:tcPr>
          <w:p w:rsidR="004040AC" w:rsidRPr="003D7D05" w:rsidP="00FD7987" w14:paraId="48EBEA3F" w14:textId="77777777">
            <w:pPr>
              <w:pStyle w:val="Default"/>
              <w:rPr>
                <w:rFonts w:ascii="Times New Roman" w:hAnsi="Times New Roman" w:cs="Times New Roman"/>
                <w:sz w:val="20"/>
                <w:szCs w:val="20"/>
              </w:rPr>
            </w:pPr>
            <w:r w:rsidRPr="003D7D05">
              <w:rPr>
                <w:rFonts w:ascii="Times New Roman" w:hAnsi="Times New Roman" w:cs="Times New Roman"/>
                <w:sz w:val="20"/>
                <w:szCs w:val="20"/>
              </w:rPr>
              <w:t>Annual Time Burden</w:t>
            </w:r>
          </w:p>
        </w:tc>
        <w:tc>
          <w:tcPr>
            <w:tcW w:w="1816" w:type="dxa"/>
            <w:noWrap/>
            <w:vAlign w:val="center"/>
          </w:tcPr>
          <w:p w:rsidR="004040AC" w:rsidRPr="003D7D05" w:rsidP="00FD7987" w14:paraId="1D863CC5"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16,254</w:t>
            </w:r>
          </w:p>
        </w:tc>
        <w:tc>
          <w:tcPr>
            <w:tcW w:w="1694" w:type="dxa"/>
            <w:vAlign w:val="center"/>
          </w:tcPr>
          <w:p w:rsidR="004040AC" w:rsidRPr="003D7D05" w:rsidP="00FD7987" w14:paraId="41D608CA"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15,878</w:t>
            </w:r>
          </w:p>
        </w:tc>
        <w:tc>
          <w:tcPr>
            <w:tcW w:w="1432" w:type="dxa"/>
            <w:noWrap/>
            <w:vAlign w:val="center"/>
          </w:tcPr>
          <w:p w:rsidR="004040AC" w:rsidRPr="003D7D05" w:rsidP="00FD7987" w14:paraId="4B1C0234"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-376</w:t>
            </w:r>
          </w:p>
        </w:tc>
      </w:tr>
      <w:tr w14:paraId="3D9CC277" w14:textId="77777777" w:rsidTr="00FD7987">
        <w:tblPrEx>
          <w:tblW w:w="8447" w:type="dxa"/>
          <w:tblLook w:val="04A0"/>
        </w:tblPrEx>
        <w:trPr>
          <w:trHeight w:val="322"/>
        </w:trPr>
        <w:tc>
          <w:tcPr>
            <w:tcW w:w="3505" w:type="dxa"/>
            <w:noWrap/>
            <w:vAlign w:val="center"/>
          </w:tcPr>
          <w:p w:rsidR="004040AC" w:rsidRPr="003D7D05" w:rsidP="00FD7987" w14:paraId="244496F5" w14:textId="77777777">
            <w:pPr>
              <w:pStyle w:val="Default"/>
              <w:rPr>
                <w:rFonts w:ascii="Times New Roman" w:hAnsi="Times New Roman" w:cs="Times New Roman"/>
                <w:sz w:val="20"/>
                <w:szCs w:val="20"/>
              </w:rPr>
            </w:pPr>
            <w:r w:rsidRPr="003D7D05">
              <w:rPr>
                <w:rFonts w:ascii="Times New Roman" w:hAnsi="Times New Roman" w:cs="Times New Roman"/>
                <w:sz w:val="20"/>
                <w:szCs w:val="20"/>
              </w:rPr>
              <w:t>Annual Burden Costs</w:t>
            </w:r>
          </w:p>
        </w:tc>
        <w:tc>
          <w:tcPr>
            <w:tcW w:w="1816" w:type="dxa"/>
            <w:noWrap/>
            <w:vAlign w:val="center"/>
          </w:tcPr>
          <w:p w:rsidR="004040AC" w:rsidRPr="003D7D05" w:rsidP="00FD7987" w14:paraId="765FEA20"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$977,878</w:t>
            </w:r>
          </w:p>
        </w:tc>
        <w:tc>
          <w:tcPr>
            <w:tcW w:w="1694" w:type="dxa"/>
            <w:vAlign w:val="center"/>
          </w:tcPr>
          <w:p w:rsidR="004040AC" w:rsidRPr="003D7D05" w:rsidP="00FD7987" w14:paraId="58A5C582"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$1,145,173</w:t>
            </w:r>
          </w:p>
        </w:tc>
        <w:tc>
          <w:tcPr>
            <w:tcW w:w="1432" w:type="dxa"/>
            <w:noWrap/>
            <w:vAlign w:val="center"/>
          </w:tcPr>
          <w:p w:rsidR="004040AC" w:rsidRPr="003D7D05" w:rsidP="00FD7987" w14:paraId="6A96FE0A"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$167,295</w:t>
            </w:r>
          </w:p>
        </w:tc>
      </w:tr>
      <w:tr w14:paraId="1C428156" w14:textId="77777777" w:rsidTr="00FD7987">
        <w:tblPrEx>
          <w:tblW w:w="8447" w:type="dxa"/>
          <w:tblLook w:val="04A0"/>
        </w:tblPrEx>
        <w:trPr>
          <w:trHeight w:val="322"/>
        </w:trPr>
        <w:tc>
          <w:tcPr>
            <w:tcW w:w="3505" w:type="dxa"/>
            <w:noWrap/>
            <w:vAlign w:val="center"/>
            <w:hideMark/>
          </w:tcPr>
          <w:p w:rsidR="004040AC" w:rsidRPr="003D7D05" w:rsidP="00FD7987" w14:paraId="41DD1A3C" w14:textId="77777777">
            <w:pPr>
              <w:pStyle w:val="Default"/>
              <w:rPr>
                <w:rFonts w:ascii="Times New Roman" w:hAnsi="Times New Roman" w:cs="Times New Roman"/>
                <w:sz w:val="20"/>
                <w:szCs w:val="20"/>
              </w:rPr>
            </w:pPr>
            <w:r w:rsidRPr="003D7D05">
              <w:rPr>
                <w:rFonts w:ascii="Times New Roman" w:hAnsi="Times New Roman" w:cs="Times New Roman"/>
                <w:sz w:val="20"/>
                <w:szCs w:val="20"/>
              </w:rPr>
              <w:t xml:space="preserve">Annual Other Burden Costs </w:t>
            </w:r>
          </w:p>
        </w:tc>
        <w:tc>
          <w:tcPr>
            <w:tcW w:w="1816" w:type="dxa"/>
            <w:noWrap/>
            <w:vAlign w:val="center"/>
            <w:hideMark/>
          </w:tcPr>
          <w:p w:rsidR="004040AC" w:rsidRPr="003D7D05" w:rsidP="00FD7987" w14:paraId="5A4442D1"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$67</w:t>
            </w:r>
          </w:p>
        </w:tc>
        <w:tc>
          <w:tcPr>
            <w:tcW w:w="1694" w:type="dxa"/>
            <w:vAlign w:val="center"/>
          </w:tcPr>
          <w:p w:rsidR="004040AC" w:rsidRPr="003D7D05" w:rsidP="00FD7987" w14:paraId="07C42FA9"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$63</w:t>
            </w:r>
          </w:p>
        </w:tc>
        <w:tc>
          <w:tcPr>
            <w:tcW w:w="1432" w:type="dxa"/>
            <w:noWrap/>
            <w:vAlign w:val="center"/>
            <w:hideMark/>
          </w:tcPr>
          <w:p w:rsidR="004040AC" w:rsidRPr="003D7D05" w:rsidP="00FD7987" w14:paraId="0C6510CF" w14:textId="77777777">
            <w:pPr>
              <w:pStyle w:val="Default"/>
              <w:jc w:val="right"/>
              <w:rPr>
                <w:rFonts w:ascii="Times New Roman" w:hAnsi="Times New Roman" w:cs="Times New Roman"/>
                <w:sz w:val="20"/>
                <w:szCs w:val="20"/>
              </w:rPr>
            </w:pPr>
            <w:r w:rsidRPr="003D7D05">
              <w:rPr>
                <w:rFonts w:ascii="Times New Roman" w:hAnsi="Times New Roman" w:cs="Times New Roman"/>
                <w:sz w:val="20"/>
                <w:szCs w:val="20"/>
              </w:rPr>
              <w:t>-$4</w:t>
            </w:r>
          </w:p>
        </w:tc>
      </w:tr>
      <w:tr w14:paraId="7EC3EC55" w14:textId="77777777" w:rsidTr="00FD7987">
        <w:tblPrEx>
          <w:tblW w:w="8447" w:type="dxa"/>
          <w:tblLook w:val="04A0"/>
        </w:tblPrEx>
        <w:trPr>
          <w:trHeight w:val="322"/>
        </w:trPr>
        <w:tc>
          <w:tcPr>
            <w:tcW w:w="3505" w:type="dxa"/>
            <w:noWrap/>
            <w:vAlign w:val="center"/>
          </w:tcPr>
          <w:p w:rsidR="004040AC" w:rsidRPr="003D7D05" w:rsidP="00FD7987" w14:paraId="3E687332" w14:textId="77777777">
            <w:pPr>
              <w:pStyle w:val="Default"/>
              <w:rPr>
                <w:rFonts w:ascii="Times New Roman" w:hAnsi="Times New Roman" w:cs="Times New Roman"/>
                <w:sz w:val="20"/>
                <w:szCs w:val="20"/>
              </w:rPr>
            </w:pPr>
          </w:p>
        </w:tc>
        <w:tc>
          <w:tcPr>
            <w:tcW w:w="1816" w:type="dxa"/>
            <w:noWrap/>
            <w:vAlign w:val="center"/>
          </w:tcPr>
          <w:p w:rsidR="004040AC" w:rsidRPr="003D7D05" w:rsidP="00FD7987" w14:paraId="48180C6C" w14:textId="77777777">
            <w:pPr>
              <w:pStyle w:val="Default"/>
              <w:jc w:val="right"/>
              <w:rPr>
                <w:rFonts w:ascii="Times New Roman" w:hAnsi="Times New Roman" w:cs="Times New Roman"/>
                <w:sz w:val="20"/>
                <w:szCs w:val="20"/>
              </w:rPr>
            </w:pPr>
          </w:p>
        </w:tc>
        <w:tc>
          <w:tcPr>
            <w:tcW w:w="1694" w:type="dxa"/>
            <w:vAlign w:val="center"/>
          </w:tcPr>
          <w:p w:rsidR="004040AC" w:rsidRPr="003D7D05" w:rsidP="00FD7987" w14:paraId="5DA15B1B" w14:textId="77777777">
            <w:pPr>
              <w:pStyle w:val="Default"/>
              <w:jc w:val="right"/>
              <w:rPr>
                <w:rFonts w:ascii="Times New Roman" w:hAnsi="Times New Roman" w:cs="Times New Roman"/>
                <w:sz w:val="20"/>
                <w:szCs w:val="20"/>
              </w:rPr>
            </w:pPr>
          </w:p>
        </w:tc>
        <w:tc>
          <w:tcPr>
            <w:tcW w:w="1432" w:type="dxa"/>
            <w:noWrap/>
            <w:vAlign w:val="center"/>
          </w:tcPr>
          <w:p w:rsidR="004040AC" w:rsidRPr="003D7D05" w:rsidP="00FD7987" w14:paraId="12310CC7" w14:textId="77777777">
            <w:pPr>
              <w:pStyle w:val="Default"/>
              <w:jc w:val="right"/>
              <w:rPr>
                <w:rFonts w:ascii="Times New Roman" w:hAnsi="Times New Roman" w:cs="Times New Roman"/>
                <w:sz w:val="20"/>
                <w:szCs w:val="20"/>
              </w:rPr>
            </w:pPr>
          </w:p>
        </w:tc>
      </w:tr>
      <w:tr w14:paraId="6F05E565" w14:textId="77777777" w:rsidTr="00145D7D">
        <w:tblPrEx>
          <w:tblW w:w="8447" w:type="dxa"/>
          <w:tblLook w:val="04A0"/>
        </w:tblPrEx>
        <w:trPr>
          <w:trHeight w:val="322"/>
        </w:trPr>
        <w:tc>
          <w:tcPr>
            <w:tcW w:w="3505" w:type="dxa"/>
            <w:noWrap/>
            <w:vAlign w:val="center"/>
          </w:tcPr>
          <w:p w:rsidR="00145D7D" w:rsidRPr="003D7D05" w:rsidP="00145D7D" w14:paraId="3D4E6201" w14:textId="77777777">
            <w:pPr>
              <w:pStyle w:val="Default"/>
              <w:rPr>
                <w:rFonts w:ascii="Times New Roman" w:hAnsi="Times New Roman" w:cs="Times New Roman"/>
                <w:sz w:val="20"/>
                <w:szCs w:val="20"/>
              </w:rPr>
            </w:pPr>
            <w:r w:rsidRPr="003D7D05">
              <w:rPr>
                <w:rFonts w:ascii="Times New Roman" w:hAnsi="Times New Roman" w:cs="Times New Roman"/>
                <w:sz w:val="20"/>
                <w:szCs w:val="20"/>
              </w:rPr>
              <w:t>Federal Hours</w:t>
            </w:r>
          </w:p>
        </w:tc>
        <w:tc>
          <w:tcPr>
            <w:tcW w:w="1816" w:type="dxa"/>
            <w:noWrap/>
          </w:tcPr>
          <w:p w:rsidR="00145D7D" w:rsidRPr="003D7D05" w:rsidP="00145D7D" w14:paraId="03129436" w14:textId="5A318349">
            <w:pPr>
              <w:pStyle w:val="Default"/>
              <w:jc w:val="right"/>
              <w:rPr>
                <w:rFonts w:ascii="Times New Roman" w:hAnsi="Times New Roman" w:cs="Times New Roman"/>
                <w:sz w:val="20"/>
                <w:szCs w:val="20"/>
              </w:rPr>
            </w:pPr>
            <w:r w:rsidRPr="003D7D05">
              <w:rPr>
                <w:rFonts w:ascii="Times New Roman" w:hAnsi="Times New Roman" w:cs="Times New Roman"/>
                <w:sz w:val="20"/>
                <w:szCs w:val="20"/>
              </w:rPr>
              <w:t>0</w:t>
            </w:r>
          </w:p>
        </w:tc>
        <w:tc>
          <w:tcPr>
            <w:tcW w:w="1694" w:type="dxa"/>
          </w:tcPr>
          <w:p w:rsidR="00145D7D" w:rsidRPr="003D7D05" w:rsidP="00145D7D" w14:paraId="7ACC98E8" w14:textId="38867A3C">
            <w:pPr>
              <w:pStyle w:val="Default"/>
              <w:jc w:val="right"/>
              <w:rPr>
                <w:rFonts w:ascii="Times New Roman" w:hAnsi="Times New Roman" w:cs="Times New Roman"/>
                <w:sz w:val="20"/>
                <w:szCs w:val="20"/>
              </w:rPr>
            </w:pPr>
            <w:r w:rsidRPr="003D7D05">
              <w:rPr>
                <w:rFonts w:ascii="Times New Roman" w:hAnsi="Times New Roman" w:cs="Times New Roman"/>
                <w:sz w:val="20"/>
                <w:szCs w:val="20"/>
              </w:rPr>
              <w:t>0</w:t>
            </w:r>
          </w:p>
        </w:tc>
        <w:tc>
          <w:tcPr>
            <w:tcW w:w="1432" w:type="dxa"/>
            <w:noWrap/>
          </w:tcPr>
          <w:p w:rsidR="00145D7D" w:rsidRPr="003D7D05" w:rsidP="00145D7D" w14:paraId="1612EC74" w14:textId="1A0C2D29">
            <w:pPr>
              <w:pStyle w:val="Default"/>
              <w:jc w:val="right"/>
              <w:rPr>
                <w:rFonts w:ascii="Times New Roman" w:hAnsi="Times New Roman" w:cs="Times New Roman"/>
                <w:sz w:val="20"/>
                <w:szCs w:val="20"/>
              </w:rPr>
            </w:pPr>
            <w:r w:rsidRPr="003D7D05">
              <w:rPr>
                <w:rFonts w:ascii="Times New Roman" w:hAnsi="Times New Roman" w:cs="Times New Roman"/>
                <w:sz w:val="20"/>
                <w:szCs w:val="20"/>
              </w:rPr>
              <w:t>0</w:t>
            </w:r>
          </w:p>
        </w:tc>
      </w:tr>
      <w:tr w14:paraId="3320B77D" w14:textId="77777777" w:rsidTr="00145D7D">
        <w:tblPrEx>
          <w:tblW w:w="8447" w:type="dxa"/>
          <w:tblLook w:val="04A0"/>
        </w:tblPrEx>
        <w:trPr>
          <w:trHeight w:val="322"/>
        </w:trPr>
        <w:tc>
          <w:tcPr>
            <w:tcW w:w="3505" w:type="dxa"/>
            <w:noWrap/>
            <w:vAlign w:val="center"/>
          </w:tcPr>
          <w:p w:rsidR="00145D7D" w:rsidRPr="003D7D05" w:rsidP="00145D7D" w14:paraId="503E49ED" w14:textId="77777777">
            <w:pPr>
              <w:pStyle w:val="Default"/>
              <w:rPr>
                <w:rFonts w:ascii="Times New Roman" w:hAnsi="Times New Roman" w:cs="Times New Roman"/>
                <w:sz w:val="20"/>
                <w:szCs w:val="20"/>
              </w:rPr>
            </w:pPr>
            <w:r w:rsidRPr="003D7D05">
              <w:rPr>
                <w:rFonts w:ascii="Times New Roman" w:hAnsi="Times New Roman" w:cs="Times New Roman"/>
                <w:sz w:val="20"/>
                <w:szCs w:val="20"/>
              </w:rPr>
              <w:t>Federal Costs</w:t>
            </w:r>
          </w:p>
        </w:tc>
        <w:tc>
          <w:tcPr>
            <w:tcW w:w="1816" w:type="dxa"/>
            <w:noWrap/>
          </w:tcPr>
          <w:p w:rsidR="00145D7D" w:rsidRPr="003D7D05" w:rsidP="00145D7D" w14:paraId="00A6FB38" w14:textId="602D3DCF">
            <w:pPr>
              <w:pStyle w:val="Default"/>
              <w:jc w:val="right"/>
              <w:rPr>
                <w:rFonts w:ascii="Times New Roman" w:hAnsi="Times New Roman" w:cs="Times New Roman"/>
                <w:sz w:val="20"/>
                <w:szCs w:val="20"/>
              </w:rPr>
            </w:pPr>
            <w:r w:rsidRPr="003D7D05">
              <w:rPr>
                <w:rFonts w:ascii="Times New Roman" w:hAnsi="Times New Roman" w:cs="Times New Roman"/>
                <w:sz w:val="20"/>
                <w:szCs w:val="20"/>
              </w:rPr>
              <w:t>$0</w:t>
            </w:r>
          </w:p>
        </w:tc>
        <w:tc>
          <w:tcPr>
            <w:tcW w:w="1694" w:type="dxa"/>
          </w:tcPr>
          <w:p w:rsidR="00145D7D" w:rsidRPr="003D7D05" w:rsidP="00145D7D" w14:paraId="210038F6" w14:textId="42A905B7">
            <w:pPr>
              <w:pStyle w:val="Default"/>
              <w:jc w:val="right"/>
              <w:rPr>
                <w:rFonts w:ascii="Times New Roman" w:hAnsi="Times New Roman" w:cs="Times New Roman"/>
                <w:sz w:val="20"/>
                <w:szCs w:val="20"/>
              </w:rPr>
            </w:pPr>
            <w:r w:rsidRPr="003D7D05">
              <w:rPr>
                <w:rFonts w:ascii="Times New Roman" w:hAnsi="Times New Roman" w:cs="Times New Roman"/>
                <w:sz w:val="20"/>
                <w:szCs w:val="20"/>
              </w:rPr>
              <w:t>$0</w:t>
            </w:r>
          </w:p>
        </w:tc>
        <w:tc>
          <w:tcPr>
            <w:tcW w:w="1432" w:type="dxa"/>
            <w:noWrap/>
          </w:tcPr>
          <w:p w:rsidR="00145D7D" w:rsidRPr="003D7D05" w:rsidP="00145D7D" w14:paraId="2095EFE4" w14:textId="694D1D50">
            <w:pPr>
              <w:pStyle w:val="Default"/>
              <w:jc w:val="right"/>
              <w:rPr>
                <w:rFonts w:ascii="Times New Roman" w:hAnsi="Times New Roman" w:cs="Times New Roman"/>
                <w:sz w:val="20"/>
                <w:szCs w:val="20"/>
              </w:rPr>
            </w:pPr>
            <w:r w:rsidRPr="003D7D05">
              <w:rPr>
                <w:rFonts w:ascii="Times New Roman" w:hAnsi="Times New Roman" w:cs="Times New Roman"/>
                <w:sz w:val="20"/>
                <w:szCs w:val="20"/>
              </w:rPr>
              <w:t>$0</w:t>
            </w:r>
          </w:p>
        </w:tc>
      </w:tr>
    </w:tbl>
    <w:p w:rsidR="004040AC" w:rsidRPr="003D7D05" w:rsidP="004040AC" w14:paraId="092BF458" w14:textId="77777777">
      <w:pPr>
        <w:rPr>
          <w:b/>
          <w:bCs/>
        </w:rPr>
      </w:pPr>
    </w:p>
    <w:bookmarkEnd w:id="26"/>
    <w:p w:rsidR="004040AC" w:rsidRPr="003D7D05" w:rsidP="004040AC" w14:paraId="76497918" w14:textId="77777777">
      <w:pPr>
        <w:pStyle w:val="Default"/>
        <w:rPr>
          <w:rFonts w:ascii="Times New Roman" w:hAnsi="Times New Roman" w:cs="Times New Roman"/>
          <w:b/>
          <w:bCs/>
        </w:rPr>
      </w:pPr>
      <w:r w:rsidRPr="003D7D05">
        <w:rPr>
          <w:rFonts w:ascii="Times New Roman" w:hAnsi="Times New Roman" w:cs="Times New Roman"/>
          <w:b/>
          <w:bCs/>
        </w:rPr>
        <w:t xml:space="preserve">16. For collections of information whose results will be published, outline plans for tabulation, and publication. Address any complex analytical techniques that will be used. Provide the time schedule for the entire project, including the beginning and </w:t>
      </w:r>
      <w:r w:rsidRPr="003D7D05">
        <w:rPr>
          <w:rFonts w:ascii="Times New Roman" w:hAnsi="Times New Roman" w:cs="Times New Roman"/>
          <w:b/>
          <w:bCs/>
        </w:rPr>
        <w:t>ending</w:t>
      </w:r>
      <w:r w:rsidRPr="003D7D05">
        <w:rPr>
          <w:rFonts w:ascii="Times New Roman" w:hAnsi="Times New Roman" w:cs="Times New Roman"/>
          <w:b/>
          <w:bCs/>
        </w:rPr>
        <w:t xml:space="preserve"> dates of the collection of information, completion of report, publication dates, and other actions. </w:t>
      </w:r>
    </w:p>
    <w:p w:rsidR="004040AC" w:rsidRPr="003D7D05" w:rsidP="004040AC" w14:paraId="7BB77AD9" w14:textId="77777777">
      <w:pPr>
        <w:pStyle w:val="Default"/>
        <w:rPr>
          <w:rFonts w:ascii="Times New Roman" w:hAnsi="Times New Roman" w:cs="Times New Roman"/>
        </w:rPr>
      </w:pPr>
    </w:p>
    <w:p w:rsidR="004040AC" w:rsidRPr="003D7D05" w:rsidP="004040AC" w14:paraId="48F0D96F" w14:textId="77777777">
      <w:pPr>
        <w:pStyle w:val="Default"/>
        <w:rPr>
          <w:rFonts w:ascii="Times New Roman" w:hAnsi="Times New Roman" w:cs="Times New Roman"/>
        </w:rPr>
      </w:pPr>
      <w:r w:rsidRPr="003D7D05">
        <w:rPr>
          <w:rFonts w:ascii="Times New Roman" w:hAnsi="Times New Roman" w:cs="Times New Roman"/>
        </w:rPr>
        <w:t xml:space="preserve">The information gathered from this collection will not be published. </w:t>
      </w:r>
    </w:p>
    <w:p w:rsidR="004040AC" w:rsidRPr="003D7D05" w:rsidP="004040AC" w14:paraId="5AD241E0" w14:textId="77777777">
      <w:pPr>
        <w:pStyle w:val="Default"/>
        <w:rPr>
          <w:rFonts w:ascii="Times New Roman" w:hAnsi="Times New Roman" w:cs="Times New Roman"/>
        </w:rPr>
      </w:pPr>
    </w:p>
    <w:p w:rsidR="004040AC" w:rsidRPr="003D7D05" w:rsidP="004040AC" w14:paraId="4F362450" w14:textId="77777777">
      <w:pPr>
        <w:pStyle w:val="Default"/>
        <w:rPr>
          <w:rFonts w:ascii="Times New Roman" w:hAnsi="Times New Roman" w:cs="Times New Roman"/>
          <w:b/>
          <w:bCs/>
        </w:rPr>
      </w:pPr>
      <w:r w:rsidRPr="003D7D05">
        <w:rPr>
          <w:rFonts w:ascii="Times New Roman" w:hAnsi="Times New Roman" w:cs="Times New Roman"/>
          <w:b/>
          <w:bCs/>
        </w:rPr>
        <w:t xml:space="preserve">17. If seeking approval to not display the expiration date for OMB approval of the information collection, explain the reasons that display would be inappropriate. </w:t>
      </w:r>
    </w:p>
    <w:p w:rsidR="004040AC" w:rsidRPr="003D7D05" w:rsidP="004040AC" w14:paraId="6B1BE727" w14:textId="77777777">
      <w:pPr>
        <w:pStyle w:val="Default"/>
        <w:rPr>
          <w:rFonts w:ascii="Times New Roman" w:hAnsi="Times New Roman" w:cs="Times New Roman"/>
        </w:rPr>
      </w:pPr>
    </w:p>
    <w:p w:rsidR="004040AC" w:rsidRPr="003D7D05" w:rsidP="004040AC" w14:paraId="287FB80F" w14:textId="77777777">
      <w:pPr>
        <w:pStyle w:val="Default"/>
        <w:rPr>
          <w:rFonts w:ascii="Times New Roman" w:hAnsi="Times New Roman" w:cs="Times New Roman"/>
        </w:rPr>
      </w:pPr>
      <w:r w:rsidRPr="003D7D05">
        <w:rPr>
          <w:rFonts w:ascii="Times New Roman" w:hAnsi="Times New Roman" w:cs="Times New Roman"/>
        </w:rPr>
        <w:t xml:space="preserve">MSHA has no forms associated with this collection of information on which to display an expiration date. </w:t>
      </w:r>
    </w:p>
    <w:p w:rsidR="004040AC" w:rsidRPr="003D7D05" w:rsidP="004040AC" w14:paraId="46C4D8B6" w14:textId="77777777">
      <w:pPr>
        <w:pStyle w:val="Default"/>
        <w:rPr>
          <w:rFonts w:ascii="Times New Roman" w:hAnsi="Times New Roman" w:cs="Times New Roman"/>
        </w:rPr>
      </w:pPr>
    </w:p>
    <w:p w:rsidR="004040AC" w:rsidRPr="003D7D05" w:rsidP="004040AC" w14:paraId="08BA9FFA" w14:textId="77777777">
      <w:pPr>
        <w:pStyle w:val="Default"/>
        <w:rPr>
          <w:rFonts w:ascii="Times New Roman" w:hAnsi="Times New Roman" w:cs="Times New Roman"/>
          <w:b/>
          <w:bCs/>
        </w:rPr>
      </w:pPr>
      <w:r w:rsidRPr="003D7D05">
        <w:rPr>
          <w:rFonts w:ascii="Times New Roman" w:hAnsi="Times New Roman" w:cs="Times New Roman"/>
          <w:b/>
          <w:bCs/>
        </w:rPr>
        <w:t xml:space="preserve">18. Explain each exception to the topics of the certification statement identified in “Certification for Paperwork Reduction Act Submissions.” </w:t>
      </w:r>
    </w:p>
    <w:p w:rsidR="004040AC" w:rsidRPr="003D7D05" w:rsidP="004040AC" w14:paraId="7A97F5D6" w14:textId="77777777">
      <w:pPr>
        <w:pStyle w:val="Default"/>
        <w:rPr>
          <w:rFonts w:ascii="Times New Roman" w:hAnsi="Times New Roman" w:cs="Times New Roman"/>
        </w:rPr>
      </w:pPr>
    </w:p>
    <w:p w:rsidR="004040AC" w:rsidRPr="003D7D05" w:rsidP="004040AC" w14:paraId="32BEFF8A" w14:textId="77777777">
      <w:pPr>
        <w:pStyle w:val="Default"/>
        <w:rPr>
          <w:rFonts w:ascii="Times New Roman" w:hAnsi="Times New Roman" w:cs="Times New Roman"/>
        </w:rPr>
      </w:pPr>
      <w:r w:rsidRPr="003D7D05">
        <w:rPr>
          <w:rFonts w:ascii="Times New Roman" w:hAnsi="Times New Roman" w:cs="Times New Roman"/>
        </w:rPr>
        <w:t xml:space="preserve">There </w:t>
      </w:r>
      <w:r w:rsidRPr="003D7D05">
        <w:rPr>
          <w:rFonts w:ascii="Times New Roman" w:hAnsi="Times New Roman" w:cs="Times New Roman"/>
        </w:rPr>
        <w:t>are</w:t>
      </w:r>
      <w:r w:rsidRPr="003D7D05">
        <w:rPr>
          <w:rFonts w:ascii="Times New Roman" w:hAnsi="Times New Roman" w:cs="Times New Roman"/>
        </w:rPr>
        <w:t xml:space="preserve"> </w:t>
      </w:r>
      <w:r w:rsidRPr="003D7D05">
        <w:rPr>
          <w:rFonts w:ascii="Times New Roman" w:hAnsi="Times New Roman" w:cs="Times New Roman"/>
        </w:rPr>
        <w:t>no certification</w:t>
      </w:r>
      <w:r w:rsidRPr="003D7D05">
        <w:rPr>
          <w:rFonts w:ascii="Times New Roman" w:hAnsi="Times New Roman" w:cs="Times New Roman"/>
        </w:rPr>
        <w:t xml:space="preserve"> exceptions identified with this information collection. </w:t>
      </w:r>
    </w:p>
    <w:p w:rsidR="004040AC" w:rsidRPr="003D7D05" w:rsidP="004040AC" w14:paraId="645E2114" w14:textId="77777777">
      <w:pPr>
        <w:pStyle w:val="Default"/>
        <w:rPr>
          <w:rFonts w:ascii="Times New Roman" w:hAnsi="Times New Roman" w:cs="Times New Roman"/>
        </w:rPr>
      </w:pPr>
    </w:p>
    <w:p w:rsidR="004040AC" w:rsidRPr="003D7D05" w:rsidP="004040AC" w14:paraId="0A27F534" w14:textId="77777777">
      <w:pPr>
        <w:tabs>
          <w:tab w:val="left" w:pos="-720"/>
        </w:tabs>
        <w:suppressAutoHyphens/>
        <w:rPr>
          <w:b/>
        </w:rPr>
      </w:pPr>
      <w:r w:rsidRPr="003D7D05">
        <w:rPr>
          <w:b/>
        </w:rPr>
        <w:t>B.  Collections of Information Employing Statistical Methods</w:t>
      </w:r>
    </w:p>
    <w:p w:rsidR="004040AC" w:rsidRPr="003D7D05" w:rsidP="004040AC" w14:paraId="39F685D0" w14:textId="77777777">
      <w:pPr>
        <w:tabs>
          <w:tab w:val="left" w:pos="-720"/>
        </w:tabs>
        <w:suppressAutoHyphens/>
      </w:pPr>
      <w:r w:rsidRPr="003D7D05">
        <w:fldChar w:fldCharType="begin"/>
      </w:r>
      <w:r w:rsidRPr="003D7D05">
        <w:instrText>ADVANCE \R 0.95</w:instrText>
      </w:r>
      <w:r w:rsidRPr="003D7D05">
        <w:fldChar w:fldCharType="end"/>
      </w:r>
      <w:r w:rsidRPr="003D7D05">
        <w:fldChar w:fldCharType="begin"/>
      </w:r>
      <w:r w:rsidRPr="003D7D05">
        <w:instrText>ADVANCE \R 0.95</w:instrText>
      </w:r>
      <w:r w:rsidRPr="003D7D05">
        <w:fldChar w:fldCharType="end"/>
      </w:r>
      <w:r w:rsidRPr="003D7D05">
        <w:tab/>
      </w:r>
    </w:p>
    <w:p w:rsidR="004040AC" w:rsidRPr="003D7D05" w:rsidP="004040AC" w14:paraId="41783FB3" w14:textId="77777777">
      <w:pPr>
        <w:tabs>
          <w:tab w:val="left" w:pos="-720"/>
        </w:tabs>
        <w:suppressAutoHyphens/>
        <w:rPr>
          <w:color w:val="FF0000"/>
        </w:rPr>
      </w:pPr>
      <w:r w:rsidRPr="003D7D05">
        <w:t xml:space="preserve">As statistical analysis is not required by the regulation, questions 1 through 5 do not apply. </w:t>
      </w:r>
    </w:p>
    <w:p w:rsidR="004040AC" w:rsidRPr="003D7D05" w:rsidP="004040AC" w14:paraId="3D308647" w14:textId="77777777">
      <w:pPr>
        <w:pStyle w:val="Default"/>
        <w:rPr>
          <w:rFonts w:ascii="Times New Roman" w:hAnsi="Times New Roman" w:cs="Times New Roman"/>
        </w:rPr>
      </w:pPr>
    </w:p>
    <w:p w:rsidR="004040AC" w:rsidRPr="003D7D05" w:rsidP="004040AC" w14:paraId="099C19E1" w14:textId="77777777"/>
    <w:p w:rsidR="004040AC" w:rsidRPr="003D7D05" w:rsidP="004040AC" w14:paraId="4734F90C" w14:textId="48B32BAC">
      <w:pPr>
        <w:rPr>
          <w:color w:val="000000"/>
        </w:rPr>
      </w:pPr>
    </w:p>
    <w:bookmarkEnd w:id="3"/>
    <w:p w:rsidR="004040AC" w:rsidRPr="003D7D05" w:rsidP="004040AC" w14:paraId="56432D68" w14:textId="77777777">
      <w:pPr>
        <w:autoSpaceDE w:val="0"/>
        <w:autoSpaceDN w:val="0"/>
        <w:adjustRightInd w:val="0"/>
        <w:rPr>
          <w:color w:val="000000"/>
        </w:rPr>
      </w:pPr>
    </w:p>
    <w:sectPr w:rsidSect="00414BD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5422674"/>
      <w:docPartObj>
        <w:docPartGallery w:val="Page Numbers (Bottom of Page)"/>
        <w:docPartUnique/>
      </w:docPartObj>
    </w:sdtPr>
    <w:sdtEndPr>
      <w:rPr>
        <w:noProof/>
      </w:rPr>
    </w:sdtEndPr>
    <w:sdtContent>
      <w:p w:rsidR="00EC77D7" w14:paraId="45E95C3A" w14:textId="13733C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0A5F" w14:paraId="0AF930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4375" w:rsidP="00BD0D60" w14:paraId="22A03C58" w14:textId="77777777">
      <w:r>
        <w:separator/>
      </w:r>
    </w:p>
  </w:footnote>
  <w:footnote w:type="continuationSeparator" w:id="1">
    <w:p w:rsidR="00D34375" w:rsidP="00BD0D60" w14:paraId="10883E15" w14:textId="77777777">
      <w:r>
        <w:continuationSeparator/>
      </w:r>
    </w:p>
  </w:footnote>
  <w:footnote w:id="2">
    <w:p w:rsidR="004040AC" w:rsidRPr="00F72BA5" w:rsidP="004040AC" w14:paraId="4499762C" w14:textId="77777777">
      <w:pPr>
        <w:pStyle w:val="FootnoteText"/>
      </w:pPr>
      <w:r w:rsidRPr="00F72BA5">
        <w:rPr>
          <w:rStyle w:val="FootnoteReference"/>
        </w:rPr>
        <w:footnoteRef/>
      </w:r>
      <w:r w:rsidRPr="00F72BA5">
        <w:t xml:space="preserve"> For all wage rates,</w:t>
      </w:r>
      <w:r>
        <w:t xml:space="preserve"> including Federal wage rates,</w:t>
      </w:r>
      <w:r w:rsidRPr="00F72BA5">
        <w:t xml:space="preserve"> MSHA use</w:t>
      </w:r>
      <w:r>
        <w:t>s</w:t>
      </w:r>
      <w:r w:rsidRPr="00F72BA5">
        <w:t xml:space="preserve">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4040AC" w:rsidRPr="00F72BA5" w:rsidP="004040AC" w14:paraId="4E5760FB" w14:textId="77777777">
      <w:pPr>
        <w:pStyle w:val="FootnoteText"/>
      </w:pPr>
    </w:p>
  </w:footnote>
  <w:footnote w:id="3">
    <w:p w:rsidR="004040AC" w:rsidRPr="00F72BA5" w:rsidP="004040AC" w14:paraId="093065B6" w14:textId="77777777">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Pr>
          <w:rStyle w:val="ui-provider"/>
        </w:rPr>
        <w:t xml:space="preserve"> </w:t>
      </w:r>
      <w:r w:rsidRPr="00F72BA5">
        <w:rPr>
          <w:rStyle w:val="ui-provider"/>
        </w:rPr>
        <w:t>at </w:t>
      </w:r>
      <w:hyperlink r:id="rId1" w:tgtFrame="_blank" w:tooltip="https://www.bls.gov/oes/oes_ques.htm" w:history="1">
        <w:r w:rsidRPr="00F72BA5">
          <w:rPr>
            <w:rStyle w:val="Hyperlink"/>
          </w:rPr>
          <w:t>https://www.bls.gov/oes/oes_ques.htm</w:t>
        </w:r>
      </w:hyperlink>
      <w:r w:rsidRPr="00F72BA5">
        <w:t xml:space="preserve">. </w:t>
      </w:r>
      <w:bookmarkStart w:id="12" w:name="_Hlk172026849"/>
      <w:r w:rsidRPr="002A01B1">
        <w:t>The average wage rate is calculated as the employment-weighted average of hourly mean wages for the occupation.</w:t>
      </w:r>
    </w:p>
    <w:bookmarkEnd w:id="12"/>
    <w:p w:rsidR="004040AC" w:rsidRPr="00F72BA5" w:rsidP="004040AC" w14:paraId="20BAB982" w14:textId="77777777">
      <w:pPr>
        <w:pStyle w:val="FootnoteText"/>
      </w:pPr>
    </w:p>
  </w:footnote>
  <w:footnote w:id="4">
    <w:p w:rsidR="004040AC" w:rsidRPr="00F72BA5" w:rsidP="004040AC" w14:paraId="366B6128" w14:textId="77777777">
      <w:pPr>
        <w:pStyle w:val="FootnoteText"/>
      </w:pPr>
      <w:r w:rsidRPr="00F72BA5">
        <w:rPr>
          <w:rStyle w:val="FootnoteReference"/>
        </w:rPr>
        <w:footnoteRef/>
      </w:r>
      <w:r w:rsidRPr="00F72BA5">
        <w:t xml:space="preserve"> 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t>s</w:t>
      </w:r>
      <w:r w:rsidRPr="00F72BA5">
        <w:t xml:space="preserve"> the latest 4-quarter moving average to determine what percent of total loaded wages are benefits. MSHA computes the benefit multiplier with a number of detailed calculations, but it may be approximated with the formula 1 + (benefit percentage</w:t>
      </w:r>
      <w:r>
        <w:t xml:space="preserve"> </w:t>
      </w:r>
      <w:r w:rsidRPr="00F72BA5">
        <w:t>/</w:t>
      </w:r>
      <w:r>
        <w:t xml:space="preserve"> </w:t>
      </w:r>
      <w:r w:rsidRPr="00F72BA5">
        <w:t>(1-benefit percentage)).</w:t>
      </w:r>
    </w:p>
    <w:p w:rsidR="004040AC" w:rsidRPr="00F72BA5" w:rsidP="004040AC" w14:paraId="507B0675" w14:textId="77777777">
      <w:pPr>
        <w:pStyle w:val="FootnoteText"/>
      </w:pPr>
    </w:p>
  </w:footnote>
  <w:footnote w:id="5">
    <w:p w:rsidR="004040AC" w:rsidRPr="00F72BA5" w:rsidP="004040AC" w14:paraId="1AB3A8EC" w14:textId="77777777">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Inflation Multiplier = (Current Quarter Cost Index Value / OEWS Wage Base Quarter Index Value).</w:t>
      </w:r>
    </w:p>
    <w:p w:rsidR="004040AC" w:rsidRPr="00F72BA5" w:rsidP="004040AC" w14:paraId="79642738" w14:textId="77777777">
      <w:pPr>
        <w:pStyle w:val="FootnoteText"/>
      </w:pPr>
    </w:p>
  </w:footnote>
  <w:footnote w:id="6">
    <w:p w:rsidR="004040AC" w:rsidRPr="00F72BA5" w:rsidP="004040AC" w14:paraId="1241861C" w14:textId="77777777">
      <w:pPr>
        <w:pStyle w:val="FootnoteText"/>
      </w:pPr>
      <w:r w:rsidRPr="00F72BA5">
        <w:rPr>
          <w:rStyle w:val="FootnoteReference"/>
        </w:rPr>
        <w:footnoteRef/>
      </w:r>
      <w:r w:rsidRPr="00F72BA5">
        <w:t xml:space="preserve"> </w:t>
      </w:r>
      <w:r w:rsidRPr="00883AE8">
        <w:t>MSHA use</w:t>
      </w:r>
      <w:r>
        <w:t>s</w:t>
      </w:r>
      <w:r w:rsidRPr="00883AE8">
        <w:t xml:space="preserve"> an overhead rate of 1 percent. The mining environment generally involves very little overhead, especially costs associated with workers engaged in administrative or clerical tasks.</w:t>
      </w:r>
      <w:r w:rsidRPr="00883A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A5F" w:rsidRPr="00107DA1" w:rsidP="00151737" w14:paraId="3F718147" w14:textId="77777777">
    <w:pPr>
      <w:pStyle w:val="Header"/>
      <w:tabs>
        <w:tab w:val="clear" w:pos="4680"/>
        <w:tab w:val="clear" w:pos="9360"/>
      </w:tabs>
      <w:rPr>
        <w:bCs/>
      </w:rPr>
    </w:pPr>
    <w:r w:rsidRPr="00107DA1">
      <w:rPr>
        <w:bCs/>
      </w:rPr>
      <w:t>Underground Coal Mine Fire Protection</w:t>
    </w:r>
  </w:p>
  <w:p w:rsidR="00580A5F" w:rsidRPr="00107DA1" w:rsidP="00151737" w14:paraId="00794A9A" w14:textId="0DD16914">
    <w:pPr>
      <w:pStyle w:val="Header"/>
      <w:tabs>
        <w:tab w:val="clear" w:pos="4680"/>
        <w:tab w:val="clear" w:pos="9360"/>
      </w:tabs>
      <w:rPr>
        <w:bCs/>
      </w:rPr>
    </w:pPr>
    <w:r w:rsidRPr="00107DA1">
      <w:rPr>
        <w:bCs/>
      </w:rPr>
      <w:t xml:space="preserve">OMB Control Number: </w:t>
    </w:r>
    <w:r w:rsidRPr="00107DA1">
      <w:rPr>
        <w:bCs/>
      </w:rPr>
      <w:t>1219-0054</w:t>
    </w:r>
  </w:p>
  <w:p w:rsidR="00580A5F" w:rsidRPr="00107DA1" w:rsidP="00151737" w14:paraId="6707CB77" w14:textId="69A96A74">
    <w:pPr>
      <w:pStyle w:val="Header"/>
      <w:tabs>
        <w:tab w:val="clear" w:pos="4680"/>
        <w:tab w:val="clear" w:pos="9360"/>
      </w:tabs>
      <w:rPr>
        <w:bCs/>
      </w:rPr>
    </w:pPr>
    <w:r w:rsidRPr="00107DA1">
      <w:rPr>
        <w:bCs/>
      </w:rPr>
      <w:t>OMB Expiration: 10/31/</w:t>
    </w:r>
    <w:r w:rsidRPr="00107DA1" w:rsidR="00267F56">
      <w:rPr>
        <w:bCs/>
      </w:rPr>
      <w:t>2025</w:t>
    </w:r>
  </w:p>
  <w:p w:rsidR="00350693" w:rsidRPr="00151737" w:rsidP="00151737" w14:paraId="06E52CB2" w14:textId="77777777">
    <w:pPr>
      <w:pStyle w:val="Header"/>
      <w:tabs>
        <w:tab w:val="clear" w:pos="4680"/>
        <w:tab w:val="clear" w:pos="936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756D6"/>
    <w:multiLevelType w:val="hybridMultilevel"/>
    <w:tmpl w:val="3AB8145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D764E7"/>
    <w:multiLevelType w:val="hybridMultilevel"/>
    <w:tmpl w:val="B562E4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AE2A5E"/>
    <w:multiLevelType w:val="hybridMultilevel"/>
    <w:tmpl w:val="E25EDA3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022FBF"/>
    <w:multiLevelType w:val="hybridMultilevel"/>
    <w:tmpl w:val="A45CDD9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061517"/>
    <w:multiLevelType w:val="hybridMultilevel"/>
    <w:tmpl w:val="7048F0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6E351B"/>
    <w:multiLevelType w:val="hybridMultilevel"/>
    <w:tmpl w:val="3AB8145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C20E19"/>
    <w:multiLevelType w:val="hybridMultilevel"/>
    <w:tmpl w:val="07CA4490"/>
    <w:lvl w:ilvl="0">
      <w:start w:val="6"/>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015C7A"/>
    <w:multiLevelType w:val="hybridMultilevel"/>
    <w:tmpl w:val="1234B164"/>
    <w:lvl w:ilvl="0">
      <w:start w:val="5"/>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2A0CDD"/>
    <w:multiLevelType w:val="hybridMultilevel"/>
    <w:tmpl w:val="3AB8145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996AD9"/>
    <w:multiLevelType w:val="hybridMultilevel"/>
    <w:tmpl w:val="B1BAA3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12595A"/>
    <w:multiLevelType w:val="hybridMultilevel"/>
    <w:tmpl w:val="C04CA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513184"/>
    <w:multiLevelType w:val="hybridMultilevel"/>
    <w:tmpl w:val="BAE22250"/>
    <w:lvl w:ilvl="0">
      <w:start w:val="3"/>
      <w:numFmt w:val="lowerLetter"/>
      <w:lvlText w:val="(%1)"/>
      <w:lvlJc w:val="left"/>
      <w:pPr>
        <w:tabs>
          <w:tab w:val="num" w:pos="1080"/>
        </w:tabs>
        <w:ind w:left="1080" w:hanging="36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2">
    <w:nsid w:val="2A4D771F"/>
    <w:multiLevelType w:val="hybridMultilevel"/>
    <w:tmpl w:val="3AB8145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A80D35"/>
    <w:multiLevelType w:val="hybridMultilevel"/>
    <w:tmpl w:val="1836499C"/>
    <w:lvl w:ilvl="0">
      <w:start w:val="1"/>
      <w:numFmt w:val="upperLetter"/>
      <w:lvlText w:val="%1."/>
      <w:lvlJc w:val="left"/>
      <w:pPr>
        <w:ind w:left="730" w:hanging="37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FA3C4E"/>
    <w:multiLevelType w:val="hybridMultilevel"/>
    <w:tmpl w:val="6C82120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C7728E"/>
    <w:multiLevelType w:val="hybridMultilevel"/>
    <w:tmpl w:val="A45CDD9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B7346B"/>
    <w:multiLevelType w:val="hybridMultilevel"/>
    <w:tmpl w:val="685E5F1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8">
    <w:nsid w:val="4E280B80"/>
    <w:multiLevelType w:val="hybridMultilevel"/>
    <w:tmpl w:val="E25EDA3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4933B6"/>
    <w:multiLevelType w:val="hybridMultilevel"/>
    <w:tmpl w:val="3AB8145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FE174BA"/>
    <w:multiLevelType w:val="hybridMultilevel"/>
    <w:tmpl w:val="3AB8145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874F81"/>
    <w:multiLevelType w:val="hybridMultilevel"/>
    <w:tmpl w:val="ABEE6898"/>
    <w:lvl w:ilvl="0">
      <w:start w:val="1"/>
      <w:numFmt w:val="low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2">
    <w:nsid w:val="6A870BC3"/>
    <w:multiLevelType w:val="hybridMultilevel"/>
    <w:tmpl w:val="72EC6B92"/>
    <w:lvl w:ilvl="0">
      <w:start w:val="1"/>
      <w:numFmt w:val="upperRoman"/>
      <w:lvlText w:val="%1."/>
      <w:lvlJc w:val="left"/>
      <w:pPr>
        <w:ind w:left="780" w:hanging="72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3">
    <w:nsid w:val="6AB150D4"/>
    <w:multiLevelType w:val="hybridMultilevel"/>
    <w:tmpl w:val="3AB8145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C8E55A6"/>
    <w:multiLevelType w:val="hybridMultilevel"/>
    <w:tmpl w:val="1F8E1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0E1DA3"/>
    <w:multiLevelType w:val="hybridMultilevel"/>
    <w:tmpl w:val="1F9C29B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0E7DFD"/>
    <w:multiLevelType w:val="hybridMultilevel"/>
    <w:tmpl w:val="E25EDA3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4112274">
    <w:abstractNumId w:val="21"/>
  </w:num>
  <w:num w:numId="2" w16cid:durableId="1076979226">
    <w:abstractNumId w:val="11"/>
  </w:num>
  <w:num w:numId="3" w16cid:durableId="1031149706">
    <w:abstractNumId w:val="4"/>
  </w:num>
  <w:num w:numId="4" w16cid:durableId="1863978394">
    <w:abstractNumId w:val="9"/>
  </w:num>
  <w:num w:numId="5" w16cid:durableId="1081175710">
    <w:abstractNumId w:val="24"/>
  </w:num>
  <w:num w:numId="6" w16cid:durableId="673071529">
    <w:abstractNumId w:val="10"/>
  </w:num>
  <w:num w:numId="7" w16cid:durableId="1970820830">
    <w:abstractNumId w:val="13"/>
  </w:num>
  <w:num w:numId="8" w16cid:durableId="345333264">
    <w:abstractNumId w:val="1"/>
  </w:num>
  <w:num w:numId="9" w16cid:durableId="150290488">
    <w:abstractNumId w:val="15"/>
  </w:num>
  <w:num w:numId="10" w16cid:durableId="829254866">
    <w:abstractNumId w:val="20"/>
  </w:num>
  <w:num w:numId="11" w16cid:durableId="257639190">
    <w:abstractNumId w:val="22"/>
  </w:num>
  <w:num w:numId="12" w16cid:durableId="1817525434">
    <w:abstractNumId w:val="3"/>
  </w:num>
  <w:num w:numId="13" w16cid:durableId="317418144">
    <w:abstractNumId w:val="19"/>
  </w:num>
  <w:num w:numId="14" w16cid:durableId="1319646975">
    <w:abstractNumId w:val="18"/>
  </w:num>
  <w:num w:numId="15" w16cid:durableId="277108141">
    <w:abstractNumId w:val="0"/>
  </w:num>
  <w:num w:numId="16" w16cid:durableId="41057641">
    <w:abstractNumId w:val="5"/>
  </w:num>
  <w:num w:numId="17" w16cid:durableId="489832629">
    <w:abstractNumId w:val="23"/>
  </w:num>
  <w:num w:numId="18" w16cid:durableId="171258423">
    <w:abstractNumId w:val="2"/>
  </w:num>
  <w:num w:numId="19" w16cid:durableId="893854579">
    <w:abstractNumId w:val="12"/>
  </w:num>
  <w:num w:numId="20" w16cid:durableId="1679505359">
    <w:abstractNumId w:val="25"/>
  </w:num>
  <w:num w:numId="21" w16cid:durableId="1851525243">
    <w:abstractNumId w:val="17"/>
  </w:num>
  <w:num w:numId="22" w16cid:durableId="670253875">
    <w:abstractNumId w:val="8"/>
  </w:num>
  <w:num w:numId="23" w16cid:durableId="1701079036">
    <w:abstractNumId w:val="7"/>
  </w:num>
  <w:num w:numId="24" w16cid:durableId="83039252">
    <w:abstractNumId w:val="14"/>
  </w:num>
  <w:num w:numId="25" w16cid:durableId="806512700">
    <w:abstractNumId w:val="26"/>
  </w:num>
  <w:num w:numId="26" w16cid:durableId="2027439306">
    <w:abstractNumId w:val="16"/>
  </w:num>
  <w:num w:numId="27" w16cid:durableId="1994289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65"/>
    <w:rsid w:val="00000141"/>
    <w:rsid w:val="00005D19"/>
    <w:rsid w:val="00010B01"/>
    <w:rsid w:val="00012F31"/>
    <w:rsid w:val="00013080"/>
    <w:rsid w:val="00014BCB"/>
    <w:rsid w:val="00016B13"/>
    <w:rsid w:val="000209F5"/>
    <w:rsid w:val="000257C1"/>
    <w:rsid w:val="00025C8C"/>
    <w:rsid w:val="0002646F"/>
    <w:rsid w:val="000331FB"/>
    <w:rsid w:val="00033C48"/>
    <w:rsid w:val="0003435F"/>
    <w:rsid w:val="00034BFD"/>
    <w:rsid w:val="00035860"/>
    <w:rsid w:val="00040582"/>
    <w:rsid w:val="00040E25"/>
    <w:rsid w:val="00043DF3"/>
    <w:rsid w:val="000522F3"/>
    <w:rsid w:val="00053E7C"/>
    <w:rsid w:val="000549B3"/>
    <w:rsid w:val="00054A17"/>
    <w:rsid w:val="000638CA"/>
    <w:rsid w:val="00063E16"/>
    <w:rsid w:val="00064293"/>
    <w:rsid w:val="0006487F"/>
    <w:rsid w:val="000727A8"/>
    <w:rsid w:val="00074480"/>
    <w:rsid w:val="00075597"/>
    <w:rsid w:val="00083B1A"/>
    <w:rsid w:val="00084237"/>
    <w:rsid w:val="000853E6"/>
    <w:rsid w:val="00085C54"/>
    <w:rsid w:val="00087616"/>
    <w:rsid w:val="000876D0"/>
    <w:rsid w:val="0009385D"/>
    <w:rsid w:val="000970A1"/>
    <w:rsid w:val="000971B5"/>
    <w:rsid w:val="000A456E"/>
    <w:rsid w:val="000B12DF"/>
    <w:rsid w:val="000B3605"/>
    <w:rsid w:val="000B6063"/>
    <w:rsid w:val="000C0E20"/>
    <w:rsid w:val="000C1719"/>
    <w:rsid w:val="000C3AE5"/>
    <w:rsid w:val="000C653B"/>
    <w:rsid w:val="000D0999"/>
    <w:rsid w:val="000D0DCB"/>
    <w:rsid w:val="000D182D"/>
    <w:rsid w:val="000D3E45"/>
    <w:rsid w:val="000E2AC4"/>
    <w:rsid w:val="000E75D2"/>
    <w:rsid w:val="001007D5"/>
    <w:rsid w:val="00100B8D"/>
    <w:rsid w:val="00102604"/>
    <w:rsid w:val="00107DA1"/>
    <w:rsid w:val="00111232"/>
    <w:rsid w:val="0011193A"/>
    <w:rsid w:val="0011271B"/>
    <w:rsid w:val="00113A73"/>
    <w:rsid w:val="0011508E"/>
    <w:rsid w:val="00123524"/>
    <w:rsid w:val="00131D4C"/>
    <w:rsid w:val="00133904"/>
    <w:rsid w:val="00133C74"/>
    <w:rsid w:val="00135C61"/>
    <w:rsid w:val="00143068"/>
    <w:rsid w:val="00143B1D"/>
    <w:rsid w:val="00145D7D"/>
    <w:rsid w:val="00151737"/>
    <w:rsid w:val="00151B9C"/>
    <w:rsid w:val="00163044"/>
    <w:rsid w:val="001660BE"/>
    <w:rsid w:val="0017317D"/>
    <w:rsid w:val="00175011"/>
    <w:rsid w:val="001764B2"/>
    <w:rsid w:val="001765C3"/>
    <w:rsid w:val="00176849"/>
    <w:rsid w:val="00176BD7"/>
    <w:rsid w:val="0017790E"/>
    <w:rsid w:val="00177C22"/>
    <w:rsid w:val="00181937"/>
    <w:rsid w:val="0018246D"/>
    <w:rsid w:val="001834B6"/>
    <w:rsid w:val="001855B3"/>
    <w:rsid w:val="00190158"/>
    <w:rsid w:val="00191749"/>
    <w:rsid w:val="00192D60"/>
    <w:rsid w:val="00193453"/>
    <w:rsid w:val="00193E68"/>
    <w:rsid w:val="001978EE"/>
    <w:rsid w:val="001A1EBB"/>
    <w:rsid w:val="001A2BB1"/>
    <w:rsid w:val="001A317F"/>
    <w:rsid w:val="001A321E"/>
    <w:rsid w:val="001A3DC1"/>
    <w:rsid w:val="001A4547"/>
    <w:rsid w:val="001A66CF"/>
    <w:rsid w:val="001B0A81"/>
    <w:rsid w:val="001B1F60"/>
    <w:rsid w:val="001B21F8"/>
    <w:rsid w:val="001B24F6"/>
    <w:rsid w:val="001B3905"/>
    <w:rsid w:val="001B624A"/>
    <w:rsid w:val="001B7AB7"/>
    <w:rsid w:val="001C0B03"/>
    <w:rsid w:val="001C2358"/>
    <w:rsid w:val="001D32D8"/>
    <w:rsid w:val="001D4946"/>
    <w:rsid w:val="001E1333"/>
    <w:rsid w:val="001E3A7C"/>
    <w:rsid w:val="001E6B18"/>
    <w:rsid w:val="001E6B81"/>
    <w:rsid w:val="001F086F"/>
    <w:rsid w:val="001F0BF1"/>
    <w:rsid w:val="001F20DD"/>
    <w:rsid w:val="001F2D32"/>
    <w:rsid w:val="001F3575"/>
    <w:rsid w:val="001F60FE"/>
    <w:rsid w:val="001F65EF"/>
    <w:rsid w:val="00201D01"/>
    <w:rsid w:val="00203237"/>
    <w:rsid w:val="00203A26"/>
    <w:rsid w:val="00207744"/>
    <w:rsid w:val="00214547"/>
    <w:rsid w:val="002158B6"/>
    <w:rsid w:val="002179E5"/>
    <w:rsid w:val="002212FD"/>
    <w:rsid w:val="00223686"/>
    <w:rsid w:val="00226CC3"/>
    <w:rsid w:val="0022762B"/>
    <w:rsid w:val="00232A56"/>
    <w:rsid w:val="00235B15"/>
    <w:rsid w:val="00236AC5"/>
    <w:rsid w:val="00237895"/>
    <w:rsid w:val="00237963"/>
    <w:rsid w:val="00237A22"/>
    <w:rsid w:val="00237C5B"/>
    <w:rsid w:val="0024067D"/>
    <w:rsid w:val="0024220F"/>
    <w:rsid w:val="00243639"/>
    <w:rsid w:val="00250A86"/>
    <w:rsid w:val="00251561"/>
    <w:rsid w:val="00252F46"/>
    <w:rsid w:val="00254706"/>
    <w:rsid w:val="00255D04"/>
    <w:rsid w:val="0025761C"/>
    <w:rsid w:val="0026087A"/>
    <w:rsid w:val="00260914"/>
    <w:rsid w:val="00261444"/>
    <w:rsid w:val="0026215C"/>
    <w:rsid w:val="00262D72"/>
    <w:rsid w:val="00264344"/>
    <w:rsid w:val="00267F56"/>
    <w:rsid w:val="00270338"/>
    <w:rsid w:val="00270590"/>
    <w:rsid w:val="00271CB2"/>
    <w:rsid w:val="0027319B"/>
    <w:rsid w:val="0027766E"/>
    <w:rsid w:val="0027798C"/>
    <w:rsid w:val="0028178D"/>
    <w:rsid w:val="0028457C"/>
    <w:rsid w:val="00285CFC"/>
    <w:rsid w:val="00286F3F"/>
    <w:rsid w:val="0028742A"/>
    <w:rsid w:val="00293938"/>
    <w:rsid w:val="00296447"/>
    <w:rsid w:val="002A0057"/>
    <w:rsid w:val="002A01B1"/>
    <w:rsid w:val="002A1356"/>
    <w:rsid w:val="002A1649"/>
    <w:rsid w:val="002A43C8"/>
    <w:rsid w:val="002A6775"/>
    <w:rsid w:val="002B0F94"/>
    <w:rsid w:val="002B2CD2"/>
    <w:rsid w:val="002B42B7"/>
    <w:rsid w:val="002B4D8E"/>
    <w:rsid w:val="002B50E2"/>
    <w:rsid w:val="002C0C98"/>
    <w:rsid w:val="002C21AA"/>
    <w:rsid w:val="002C62FC"/>
    <w:rsid w:val="002D3188"/>
    <w:rsid w:val="002D31FF"/>
    <w:rsid w:val="002D5969"/>
    <w:rsid w:val="002D7509"/>
    <w:rsid w:val="002E2000"/>
    <w:rsid w:val="002E67D6"/>
    <w:rsid w:val="002F25E7"/>
    <w:rsid w:val="002F28FB"/>
    <w:rsid w:val="002F34C7"/>
    <w:rsid w:val="002F4365"/>
    <w:rsid w:val="002F4FCD"/>
    <w:rsid w:val="002F52BD"/>
    <w:rsid w:val="002F5EC2"/>
    <w:rsid w:val="0030002C"/>
    <w:rsid w:val="0030007A"/>
    <w:rsid w:val="00303C68"/>
    <w:rsid w:val="00304CC4"/>
    <w:rsid w:val="00314369"/>
    <w:rsid w:val="00315240"/>
    <w:rsid w:val="003158C2"/>
    <w:rsid w:val="0031728A"/>
    <w:rsid w:val="00320B38"/>
    <w:rsid w:val="003243BC"/>
    <w:rsid w:val="00325718"/>
    <w:rsid w:val="00327B70"/>
    <w:rsid w:val="00334C4D"/>
    <w:rsid w:val="00335311"/>
    <w:rsid w:val="00336CE6"/>
    <w:rsid w:val="00337F7E"/>
    <w:rsid w:val="00340289"/>
    <w:rsid w:val="003403F5"/>
    <w:rsid w:val="00343162"/>
    <w:rsid w:val="00344A91"/>
    <w:rsid w:val="003451D3"/>
    <w:rsid w:val="00350693"/>
    <w:rsid w:val="0035337D"/>
    <w:rsid w:val="00356EB0"/>
    <w:rsid w:val="00360F03"/>
    <w:rsid w:val="0036115F"/>
    <w:rsid w:val="0036297E"/>
    <w:rsid w:val="0036426B"/>
    <w:rsid w:val="0036428E"/>
    <w:rsid w:val="00373541"/>
    <w:rsid w:val="0037647D"/>
    <w:rsid w:val="003802C0"/>
    <w:rsid w:val="00381B5C"/>
    <w:rsid w:val="0038277D"/>
    <w:rsid w:val="00385542"/>
    <w:rsid w:val="0038612D"/>
    <w:rsid w:val="00391F9B"/>
    <w:rsid w:val="00396747"/>
    <w:rsid w:val="003A07F7"/>
    <w:rsid w:val="003A13B8"/>
    <w:rsid w:val="003A5A49"/>
    <w:rsid w:val="003A6120"/>
    <w:rsid w:val="003B3609"/>
    <w:rsid w:val="003B71E2"/>
    <w:rsid w:val="003B77F2"/>
    <w:rsid w:val="003B780A"/>
    <w:rsid w:val="003C0BD0"/>
    <w:rsid w:val="003C50B5"/>
    <w:rsid w:val="003D17C6"/>
    <w:rsid w:val="003D1F6A"/>
    <w:rsid w:val="003D3300"/>
    <w:rsid w:val="003D517C"/>
    <w:rsid w:val="003D7D05"/>
    <w:rsid w:val="003E37E9"/>
    <w:rsid w:val="003E49E8"/>
    <w:rsid w:val="003E5631"/>
    <w:rsid w:val="003E7C50"/>
    <w:rsid w:val="003F0F8C"/>
    <w:rsid w:val="003F3D15"/>
    <w:rsid w:val="003F6CA3"/>
    <w:rsid w:val="003F7F03"/>
    <w:rsid w:val="004026E2"/>
    <w:rsid w:val="00403FDD"/>
    <w:rsid w:val="004040AC"/>
    <w:rsid w:val="004048AE"/>
    <w:rsid w:val="00407EB9"/>
    <w:rsid w:val="00414BDB"/>
    <w:rsid w:val="0042342A"/>
    <w:rsid w:val="00426273"/>
    <w:rsid w:val="004267A5"/>
    <w:rsid w:val="004279A2"/>
    <w:rsid w:val="00431DAA"/>
    <w:rsid w:val="00436354"/>
    <w:rsid w:val="00436490"/>
    <w:rsid w:val="004364CD"/>
    <w:rsid w:val="0044063B"/>
    <w:rsid w:val="00444E17"/>
    <w:rsid w:val="004453EE"/>
    <w:rsid w:val="004508F8"/>
    <w:rsid w:val="00450C02"/>
    <w:rsid w:val="00452043"/>
    <w:rsid w:val="00452AC4"/>
    <w:rsid w:val="00454DB0"/>
    <w:rsid w:val="004567EC"/>
    <w:rsid w:val="00460973"/>
    <w:rsid w:val="00461EE9"/>
    <w:rsid w:val="00464A28"/>
    <w:rsid w:val="00465D7D"/>
    <w:rsid w:val="0046677D"/>
    <w:rsid w:val="0046731E"/>
    <w:rsid w:val="004719EA"/>
    <w:rsid w:val="0047256A"/>
    <w:rsid w:val="00473AA1"/>
    <w:rsid w:val="00476F93"/>
    <w:rsid w:val="00480836"/>
    <w:rsid w:val="00480EA7"/>
    <w:rsid w:val="004820E2"/>
    <w:rsid w:val="004834C3"/>
    <w:rsid w:val="004835F7"/>
    <w:rsid w:val="00483A07"/>
    <w:rsid w:val="00484AEA"/>
    <w:rsid w:val="00486E89"/>
    <w:rsid w:val="00490327"/>
    <w:rsid w:val="00490DD1"/>
    <w:rsid w:val="00491787"/>
    <w:rsid w:val="0049576C"/>
    <w:rsid w:val="004A003E"/>
    <w:rsid w:val="004A5078"/>
    <w:rsid w:val="004A6264"/>
    <w:rsid w:val="004A62B5"/>
    <w:rsid w:val="004B1569"/>
    <w:rsid w:val="004B36EF"/>
    <w:rsid w:val="004C156A"/>
    <w:rsid w:val="004C2AC7"/>
    <w:rsid w:val="004C5BF7"/>
    <w:rsid w:val="004D590E"/>
    <w:rsid w:val="004D68CF"/>
    <w:rsid w:val="004E0CAF"/>
    <w:rsid w:val="004E1AA6"/>
    <w:rsid w:val="004E284E"/>
    <w:rsid w:val="004F176F"/>
    <w:rsid w:val="004F6ADC"/>
    <w:rsid w:val="00505198"/>
    <w:rsid w:val="0050610E"/>
    <w:rsid w:val="0051154C"/>
    <w:rsid w:val="00511F84"/>
    <w:rsid w:val="00512DC7"/>
    <w:rsid w:val="005200AE"/>
    <w:rsid w:val="005218EC"/>
    <w:rsid w:val="00521B66"/>
    <w:rsid w:val="00525508"/>
    <w:rsid w:val="005304F3"/>
    <w:rsid w:val="00534CB5"/>
    <w:rsid w:val="00535C50"/>
    <w:rsid w:val="005375C3"/>
    <w:rsid w:val="00537669"/>
    <w:rsid w:val="005401B0"/>
    <w:rsid w:val="00543F2B"/>
    <w:rsid w:val="0055137E"/>
    <w:rsid w:val="005525B9"/>
    <w:rsid w:val="00553EC6"/>
    <w:rsid w:val="00560AF0"/>
    <w:rsid w:val="0056564F"/>
    <w:rsid w:val="00567B04"/>
    <w:rsid w:val="00571DEF"/>
    <w:rsid w:val="0057269B"/>
    <w:rsid w:val="0057376D"/>
    <w:rsid w:val="00577AF4"/>
    <w:rsid w:val="005800B5"/>
    <w:rsid w:val="005809AB"/>
    <w:rsid w:val="00580A5F"/>
    <w:rsid w:val="0058123F"/>
    <w:rsid w:val="00582A14"/>
    <w:rsid w:val="00582ECE"/>
    <w:rsid w:val="00594972"/>
    <w:rsid w:val="00597EF3"/>
    <w:rsid w:val="005A1BED"/>
    <w:rsid w:val="005A1DA6"/>
    <w:rsid w:val="005A1E17"/>
    <w:rsid w:val="005A24DE"/>
    <w:rsid w:val="005A4925"/>
    <w:rsid w:val="005A5E7F"/>
    <w:rsid w:val="005A6B8A"/>
    <w:rsid w:val="005A70F9"/>
    <w:rsid w:val="005B1BE7"/>
    <w:rsid w:val="005C3A85"/>
    <w:rsid w:val="005C4859"/>
    <w:rsid w:val="005C5703"/>
    <w:rsid w:val="005D34ED"/>
    <w:rsid w:val="005E3912"/>
    <w:rsid w:val="005E6410"/>
    <w:rsid w:val="005F0D9A"/>
    <w:rsid w:val="005F29FD"/>
    <w:rsid w:val="005F36F7"/>
    <w:rsid w:val="005F3B00"/>
    <w:rsid w:val="005F4216"/>
    <w:rsid w:val="005F4A76"/>
    <w:rsid w:val="005F7F4E"/>
    <w:rsid w:val="0060266F"/>
    <w:rsid w:val="00603260"/>
    <w:rsid w:val="00604531"/>
    <w:rsid w:val="00605952"/>
    <w:rsid w:val="00610492"/>
    <w:rsid w:val="00615803"/>
    <w:rsid w:val="0061750F"/>
    <w:rsid w:val="00617BB6"/>
    <w:rsid w:val="00617FB4"/>
    <w:rsid w:val="006207D6"/>
    <w:rsid w:val="0062156C"/>
    <w:rsid w:val="00621FD8"/>
    <w:rsid w:val="00623D69"/>
    <w:rsid w:val="0062592E"/>
    <w:rsid w:val="00626332"/>
    <w:rsid w:val="00627F18"/>
    <w:rsid w:val="00630BC3"/>
    <w:rsid w:val="006325EE"/>
    <w:rsid w:val="00636E2E"/>
    <w:rsid w:val="00637A0C"/>
    <w:rsid w:val="00647C05"/>
    <w:rsid w:val="00650319"/>
    <w:rsid w:val="00652145"/>
    <w:rsid w:val="006613E6"/>
    <w:rsid w:val="00662028"/>
    <w:rsid w:val="0067003A"/>
    <w:rsid w:val="00674D0A"/>
    <w:rsid w:val="006758F3"/>
    <w:rsid w:val="006773E2"/>
    <w:rsid w:val="00685EF3"/>
    <w:rsid w:val="00691973"/>
    <w:rsid w:val="00694855"/>
    <w:rsid w:val="006A2956"/>
    <w:rsid w:val="006A3B30"/>
    <w:rsid w:val="006A7E8A"/>
    <w:rsid w:val="006B2897"/>
    <w:rsid w:val="006B5739"/>
    <w:rsid w:val="006B6569"/>
    <w:rsid w:val="006C1E29"/>
    <w:rsid w:val="006D4D72"/>
    <w:rsid w:val="006E1A96"/>
    <w:rsid w:val="006E5F17"/>
    <w:rsid w:val="006E60DC"/>
    <w:rsid w:val="006E7010"/>
    <w:rsid w:val="006E7491"/>
    <w:rsid w:val="006F1364"/>
    <w:rsid w:val="006F65F4"/>
    <w:rsid w:val="00700544"/>
    <w:rsid w:val="00702880"/>
    <w:rsid w:val="00704408"/>
    <w:rsid w:val="00712EBE"/>
    <w:rsid w:val="00714176"/>
    <w:rsid w:val="00722B7F"/>
    <w:rsid w:val="007267A0"/>
    <w:rsid w:val="007268FE"/>
    <w:rsid w:val="0073117A"/>
    <w:rsid w:val="007329B4"/>
    <w:rsid w:val="00734900"/>
    <w:rsid w:val="00736465"/>
    <w:rsid w:val="0073703B"/>
    <w:rsid w:val="00740E86"/>
    <w:rsid w:val="00742035"/>
    <w:rsid w:val="00747C81"/>
    <w:rsid w:val="00753ACE"/>
    <w:rsid w:val="00756C21"/>
    <w:rsid w:val="00756D7B"/>
    <w:rsid w:val="00760AA7"/>
    <w:rsid w:val="0076472A"/>
    <w:rsid w:val="00776798"/>
    <w:rsid w:val="0078409E"/>
    <w:rsid w:val="00786361"/>
    <w:rsid w:val="007909F4"/>
    <w:rsid w:val="00792FA5"/>
    <w:rsid w:val="007A3676"/>
    <w:rsid w:val="007B0D8A"/>
    <w:rsid w:val="007B5CCC"/>
    <w:rsid w:val="007B6FB8"/>
    <w:rsid w:val="007B71FD"/>
    <w:rsid w:val="007C1110"/>
    <w:rsid w:val="007C11AF"/>
    <w:rsid w:val="007C1A9A"/>
    <w:rsid w:val="007C37A5"/>
    <w:rsid w:val="007C4D46"/>
    <w:rsid w:val="007C5958"/>
    <w:rsid w:val="007C6AFE"/>
    <w:rsid w:val="007C6D55"/>
    <w:rsid w:val="007D0EEE"/>
    <w:rsid w:val="007D4975"/>
    <w:rsid w:val="007D647A"/>
    <w:rsid w:val="007D7D38"/>
    <w:rsid w:val="007E4AA6"/>
    <w:rsid w:val="007E6258"/>
    <w:rsid w:val="007F08F0"/>
    <w:rsid w:val="007F0B47"/>
    <w:rsid w:val="007F10E7"/>
    <w:rsid w:val="007F1DB6"/>
    <w:rsid w:val="007F3FDE"/>
    <w:rsid w:val="007F6220"/>
    <w:rsid w:val="007F71DE"/>
    <w:rsid w:val="008029CB"/>
    <w:rsid w:val="00802FC9"/>
    <w:rsid w:val="008033B5"/>
    <w:rsid w:val="00806E75"/>
    <w:rsid w:val="00806FCC"/>
    <w:rsid w:val="00812B24"/>
    <w:rsid w:val="0081346B"/>
    <w:rsid w:val="00820872"/>
    <w:rsid w:val="008244FE"/>
    <w:rsid w:val="00832517"/>
    <w:rsid w:val="00834507"/>
    <w:rsid w:val="00840061"/>
    <w:rsid w:val="00847317"/>
    <w:rsid w:val="00847CD5"/>
    <w:rsid w:val="008516E5"/>
    <w:rsid w:val="00855C31"/>
    <w:rsid w:val="00855D66"/>
    <w:rsid w:val="00860A82"/>
    <w:rsid w:val="008633C3"/>
    <w:rsid w:val="0086683C"/>
    <w:rsid w:val="0086753B"/>
    <w:rsid w:val="00877B0E"/>
    <w:rsid w:val="008802B5"/>
    <w:rsid w:val="00883AE8"/>
    <w:rsid w:val="00884318"/>
    <w:rsid w:val="008872AC"/>
    <w:rsid w:val="00890CC8"/>
    <w:rsid w:val="008916EA"/>
    <w:rsid w:val="00892EBC"/>
    <w:rsid w:val="0089367A"/>
    <w:rsid w:val="00896002"/>
    <w:rsid w:val="0089788D"/>
    <w:rsid w:val="008A3D0B"/>
    <w:rsid w:val="008B0DEE"/>
    <w:rsid w:val="008B4247"/>
    <w:rsid w:val="008C3B1E"/>
    <w:rsid w:val="008C522F"/>
    <w:rsid w:val="008C60F8"/>
    <w:rsid w:val="008D0262"/>
    <w:rsid w:val="008D098F"/>
    <w:rsid w:val="008D0BE5"/>
    <w:rsid w:val="008D1EC5"/>
    <w:rsid w:val="008D5A81"/>
    <w:rsid w:val="008E0392"/>
    <w:rsid w:val="008F0336"/>
    <w:rsid w:val="00901553"/>
    <w:rsid w:val="009023F5"/>
    <w:rsid w:val="009026BD"/>
    <w:rsid w:val="009038BE"/>
    <w:rsid w:val="00905C15"/>
    <w:rsid w:val="00912143"/>
    <w:rsid w:val="00912C86"/>
    <w:rsid w:val="00913E39"/>
    <w:rsid w:val="009166B3"/>
    <w:rsid w:val="00921266"/>
    <w:rsid w:val="00926D39"/>
    <w:rsid w:val="00930190"/>
    <w:rsid w:val="009312A6"/>
    <w:rsid w:val="00935633"/>
    <w:rsid w:val="00935E63"/>
    <w:rsid w:val="009367B9"/>
    <w:rsid w:val="00937776"/>
    <w:rsid w:val="00942B00"/>
    <w:rsid w:val="00950C41"/>
    <w:rsid w:val="00961500"/>
    <w:rsid w:val="00961EC8"/>
    <w:rsid w:val="009652A2"/>
    <w:rsid w:val="0097183A"/>
    <w:rsid w:val="009751D1"/>
    <w:rsid w:val="009755CB"/>
    <w:rsid w:val="00981151"/>
    <w:rsid w:val="00981A64"/>
    <w:rsid w:val="00983AA6"/>
    <w:rsid w:val="00987621"/>
    <w:rsid w:val="009A236B"/>
    <w:rsid w:val="009A35D8"/>
    <w:rsid w:val="009A40D0"/>
    <w:rsid w:val="009A4345"/>
    <w:rsid w:val="009A52FA"/>
    <w:rsid w:val="009A7D86"/>
    <w:rsid w:val="009B4248"/>
    <w:rsid w:val="009B7B2B"/>
    <w:rsid w:val="009B7DA5"/>
    <w:rsid w:val="009C106D"/>
    <w:rsid w:val="009C2D5E"/>
    <w:rsid w:val="009C4911"/>
    <w:rsid w:val="009C4D5F"/>
    <w:rsid w:val="009C75C9"/>
    <w:rsid w:val="009C7DEC"/>
    <w:rsid w:val="009D2B38"/>
    <w:rsid w:val="009D4AF6"/>
    <w:rsid w:val="009D6255"/>
    <w:rsid w:val="009D72FB"/>
    <w:rsid w:val="009D7457"/>
    <w:rsid w:val="009D785E"/>
    <w:rsid w:val="009E6BD5"/>
    <w:rsid w:val="009E6F08"/>
    <w:rsid w:val="009E7075"/>
    <w:rsid w:val="009E77D4"/>
    <w:rsid w:val="009F293A"/>
    <w:rsid w:val="009F2D20"/>
    <w:rsid w:val="009F50E5"/>
    <w:rsid w:val="009F7A65"/>
    <w:rsid w:val="00A010B8"/>
    <w:rsid w:val="00A01204"/>
    <w:rsid w:val="00A0345F"/>
    <w:rsid w:val="00A05969"/>
    <w:rsid w:val="00A1164C"/>
    <w:rsid w:val="00A123B5"/>
    <w:rsid w:val="00A14B27"/>
    <w:rsid w:val="00A16E4A"/>
    <w:rsid w:val="00A21985"/>
    <w:rsid w:val="00A25DCC"/>
    <w:rsid w:val="00A26D9D"/>
    <w:rsid w:val="00A36F6B"/>
    <w:rsid w:val="00A41D6E"/>
    <w:rsid w:val="00A5249B"/>
    <w:rsid w:val="00A538DE"/>
    <w:rsid w:val="00A56883"/>
    <w:rsid w:val="00A6378A"/>
    <w:rsid w:val="00A63E40"/>
    <w:rsid w:val="00A64939"/>
    <w:rsid w:val="00A66F3F"/>
    <w:rsid w:val="00A67BDF"/>
    <w:rsid w:val="00A708EE"/>
    <w:rsid w:val="00A70BF8"/>
    <w:rsid w:val="00A809FD"/>
    <w:rsid w:val="00A81648"/>
    <w:rsid w:val="00A83F48"/>
    <w:rsid w:val="00A8623D"/>
    <w:rsid w:val="00A90BE7"/>
    <w:rsid w:val="00A915C2"/>
    <w:rsid w:val="00A94FB6"/>
    <w:rsid w:val="00A95E51"/>
    <w:rsid w:val="00AA24E7"/>
    <w:rsid w:val="00AA3C68"/>
    <w:rsid w:val="00AB034F"/>
    <w:rsid w:val="00AB2D26"/>
    <w:rsid w:val="00AB5CBC"/>
    <w:rsid w:val="00AB7A41"/>
    <w:rsid w:val="00AC22FC"/>
    <w:rsid w:val="00AC403A"/>
    <w:rsid w:val="00AC45B8"/>
    <w:rsid w:val="00AC4BD1"/>
    <w:rsid w:val="00AC5BE0"/>
    <w:rsid w:val="00AC63F6"/>
    <w:rsid w:val="00AD2D55"/>
    <w:rsid w:val="00AD38BE"/>
    <w:rsid w:val="00AD4C7F"/>
    <w:rsid w:val="00AD7EA9"/>
    <w:rsid w:val="00AE5D61"/>
    <w:rsid w:val="00AE6C4D"/>
    <w:rsid w:val="00AF09FC"/>
    <w:rsid w:val="00AF4CAD"/>
    <w:rsid w:val="00AF7F2F"/>
    <w:rsid w:val="00B00101"/>
    <w:rsid w:val="00B0460E"/>
    <w:rsid w:val="00B0606C"/>
    <w:rsid w:val="00B075AD"/>
    <w:rsid w:val="00B07885"/>
    <w:rsid w:val="00B07C2E"/>
    <w:rsid w:val="00B13DCA"/>
    <w:rsid w:val="00B147E4"/>
    <w:rsid w:val="00B16026"/>
    <w:rsid w:val="00B1609C"/>
    <w:rsid w:val="00B16233"/>
    <w:rsid w:val="00B21719"/>
    <w:rsid w:val="00B2189B"/>
    <w:rsid w:val="00B223F6"/>
    <w:rsid w:val="00B23FC1"/>
    <w:rsid w:val="00B33FCC"/>
    <w:rsid w:val="00B40158"/>
    <w:rsid w:val="00B4088F"/>
    <w:rsid w:val="00B41377"/>
    <w:rsid w:val="00B44648"/>
    <w:rsid w:val="00B50095"/>
    <w:rsid w:val="00B50893"/>
    <w:rsid w:val="00B5229A"/>
    <w:rsid w:val="00B54318"/>
    <w:rsid w:val="00B54BB7"/>
    <w:rsid w:val="00B57AC3"/>
    <w:rsid w:val="00B63D16"/>
    <w:rsid w:val="00B67177"/>
    <w:rsid w:val="00B676AC"/>
    <w:rsid w:val="00B67D7E"/>
    <w:rsid w:val="00B734C2"/>
    <w:rsid w:val="00B740C6"/>
    <w:rsid w:val="00B77273"/>
    <w:rsid w:val="00B81695"/>
    <w:rsid w:val="00B81973"/>
    <w:rsid w:val="00B835FB"/>
    <w:rsid w:val="00B86306"/>
    <w:rsid w:val="00B869D1"/>
    <w:rsid w:val="00B87193"/>
    <w:rsid w:val="00B87CEE"/>
    <w:rsid w:val="00B90C20"/>
    <w:rsid w:val="00B911B5"/>
    <w:rsid w:val="00B92093"/>
    <w:rsid w:val="00BB1E71"/>
    <w:rsid w:val="00BB1F56"/>
    <w:rsid w:val="00BB3152"/>
    <w:rsid w:val="00BB44BA"/>
    <w:rsid w:val="00BB4E34"/>
    <w:rsid w:val="00BB5DE0"/>
    <w:rsid w:val="00BB75AB"/>
    <w:rsid w:val="00BC02F7"/>
    <w:rsid w:val="00BC236C"/>
    <w:rsid w:val="00BC5EE9"/>
    <w:rsid w:val="00BD0241"/>
    <w:rsid w:val="00BD0D60"/>
    <w:rsid w:val="00BD1499"/>
    <w:rsid w:val="00BD236C"/>
    <w:rsid w:val="00BD51D7"/>
    <w:rsid w:val="00BD66CE"/>
    <w:rsid w:val="00BE467F"/>
    <w:rsid w:val="00BF2FEE"/>
    <w:rsid w:val="00BF4221"/>
    <w:rsid w:val="00BF52D1"/>
    <w:rsid w:val="00C00A49"/>
    <w:rsid w:val="00C02252"/>
    <w:rsid w:val="00C04F9E"/>
    <w:rsid w:val="00C1415E"/>
    <w:rsid w:val="00C167BD"/>
    <w:rsid w:val="00C22208"/>
    <w:rsid w:val="00C232B4"/>
    <w:rsid w:val="00C24B03"/>
    <w:rsid w:val="00C24F90"/>
    <w:rsid w:val="00C255E3"/>
    <w:rsid w:val="00C2597C"/>
    <w:rsid w:val="00C270DA"/>
    <w:rsid w:val="00C31D93"/>
    <w:rsid w:val="00C3397A"/>
    <w:rsid w:val="00C4712A"/>
    <w:rsid w:val="00C47F06"/>
    <w:rsid w:val="00C501B6"/>
    <w:rsid w:val="00C5056D"/>
    <w:rsid w:val="00C51004"/>
    <w:rsid w:val="00C524AF"/>
    <w:rsid w:val="00C533D2"/>
    <w:rsid w:val="00C53EB4"/>
    <w:rsid w:val="00C547C7"/>
    <w:rsid w:val="00C552FF"/>
    <w:rsid w:val="00C57EAC"/>
    <w:rsid w:val="00C605D9"/>
    <w:rsid w:val="00C60C40"/>
    <w:rsid w:val="00C60E0D"/>
    <w:rsid w:val="00C62DE8"/>
    <w:rsid w:val="00C656A4"/>
    <w:rsid w:val="00C66443"/>
    <w:rsid w:val="00C755E5"/>
    <w:rsid w:val="00C76236"/>
    <w:rsid w:val="00C77B51"/>
    <w:rsid w:val="00C82929"/>
    <w:rsid w:val="00C8351D"/>
    <w:rsid w:val="00C83608"/>
    <w:rsid w:val="00C86951"/>
    <w:rsid w:val="00C87989"/>
    <w:rsid w:val="00C90BA7"/>
    <w:rsid w:val="00C912FA"/>
    <w:rsid w:val="00C91CFA"/>
    <w:rsid w:val="00CA168A"/>
    <w:rsid w:val="00CA7B91"/>
    <w:rsid w:val="00CB13F3"/>
    <w:rsid w:val="00CB3A82"/>
    <w:rsid w:val="00CB5488"/>
    <w:rsid w:val="00CC35D9"/>
    <w:rsid w:val="00CC48ED"/>
    <w:rsid w:val="00CC5312"/>
    <w:rsid w:val="00CC5F3E"/>
    <w:rsid w:val="00CD1B79"/>
    <w:rsid w:val="00CD20C5"/>
    <w:rsid w:val="00CD52DC"/>
    <w:rsid w:val="00CD5DA8"/>
    <w:rsid w:val="00CD6B2F"/>
    <w:rsid w:val="00CE5C40"/>
    <w:rsid w:val="00CE695F"/>
    <w:rsid w:val="00CE6D21"/>
    <w:rsid w:val="00CF207F"/>
    <w:rsid w:val="00CF2A68"/>
    <w:rsid w:val="00CF3F96"/>
    <w:rsid w:val="00CF4BED"/>
    <w:rsid w:val="00CF766F"/>
    <w:rsid w:val="00D00235"/>
    <w:rsid w:val="00D01291"/>
    <w:rsid w:val="00D059D7"/>
    <w:rsid w:val="00D05DFD"/>
    <w:rsid w:val="00D079B0"/>
    <w:rsid w:val="00D079EF"/>
    <w:rsid w:val="00D16736"/>
    <w:rsid w:val="00D21049"/>
    <w:rsid w:val="00D21EF8"/>
    <w:rsid w:val="00D22F3F"/>
    <w:rsid w:val="00D3066F"/>
    <w:rsid w:val="00D30804"/>
    <w:rsid w:val="00D319CE"/>
    <w:rsid w:val="00D332EC"/>
    <w:rsid w:val="00D33405"/>
    <w:rsid w:val="00D34375"/>
    <w:rsid w:val="00D3680A"/>
    <w:rsid w:val="00D36A53"/>
    <w:rsid w:val="00D37267"/>
    <w:rsid w:val="00D40B11"/>
    <w:rsid w:val="00D40C9A"/>
    <w:rsid w:val="00D421E1"/>
    <w:rsid w:val="00D43A44"/>
    <w:rsid w:val="00D50841"/>
    <w:rsid w:val="00D5157F"/>
    <w:rsid w:val="00D522FC"/>
    <w:rsid w:val="00D52727"/>
    <w:rsid w:val="00D52B79"/>
    <w:rsid w:val="00D53E4A"/>
    <w:rsid w:val="00D549FD"/>
    <w:rsid w:val="00D56765"/>
    <w:rsid w:val="00D578DD"/>
    <w:rsid w:val="00D57AB0"/>
    <w:rsid w:val="00D61068"/>
    <w:rsid w:val="00D61D96"/>
    <w:rsid w:val="00D6543D"/>
    <w:rsid w:val="00D65774"/>
    <w:rsid w:val="00D722E0"/>
    <w:rsid w:val="00D7304F"/>
    <w:rsid w:val="00D7748B"/>
    <w:rsid w:val="00D77EFB"/>
    <w:rsid w:val="00D80755"/>
    <w:rsid w:val="00D8378F"/>
    <w:rsid w:val="00D911C1"/>
    <w:rsid w:val="00D91B21"/>
    <w:rsid w:val="00D92412"/>
    <w:rsid w:val="00D92CC8"/>
    <w:rsid w:val="00D954CF"/>
    <w:rsid w:val="00D95CC8"/>
    <w:rsid w:val="00D97109"/>
    <w:rsid w:val="00DA0DAE"/>
    <w:rsid w:val="00DB7A06"/>
    <w:rsid w:val="00DB7F7D"/>
    <w:rsid w:val="00DC31B8"/>
    <w:rsid w:val="00DC35BA"/>
    <w:rsid w:val="00DC6137"/>
    <w:rsid w:val="00DC6CBB"/>
    <w:rsid w:val="00DD0CA1"/>
    <w:rsid w:val="00DD67B5"/>
    <w:rsid w:val="00DE280A"/>
    <w:rsid w:val="00DE2D1A"/>
    <w:rsid w:val="00DE3317"/>
    <w:rsid w:val="00DE5609"/>
    <w:rsid w:val="00DF1648"/>
    <w:rsid w:val="00DF2EBC"/>
    <w:rsid w:val="00DF356D"/>
    <w:rsid w:val="00DF35CB"/>
    <w:rsid w:val="00DF38E5"/>
    <w:rsid w:val="00DF3DA9"/>
    <w:rsid w:val="00E0157A"/>
    <w:rsid w:val="00E06303"/>
    <w:rsid w:val="00E07CC2"/>
    <w:rsid w:val="00E1211F"/>
    <w:rsid w:val="00E154BB"/>
    <w:rsid w:val="00E16391"/>
    <w:rsid w:val="00E2211F"/>
    <w:rsid w:val="00E234A9"/>
    <w:rsid w:val="00E27F58"/>
    <w:rsid w:val="00E32E36"/>
    <w:rsid w:val="00E425E1"/>
    <w:rsid w:val="00E44B5F"/>
    <w:rsid w:val="00E45C49"/>
    <w:rsid w:val="00E532A9"/>
    <w:rsid w:val="00E54561"/>
    <w:rsid w:val="00E60FEC"/>
    <w:rsid w:val="00E630FC"/>
    <w:rsid w:val="00E63882"/>
    <w:rsid w:val="00E66AA3"/>
    <w:rsid w:val="00E67BF6"/>
    <w:rsid w:val="00E74898"/>
    <w:rsid w:val="00E77465"/>
    <w:rsid w:val="00E82303"/>
    <w:rsid w:val="00E83135"/>
    <w:rsid w:val="00E84879"/>
    <w:rsid w:val="00E90CBB"/>
    <w:rsid w:val="00E91FDB"/>
    <w:rsid w:val="00E96C9A"/>
    <w:rsid w:val="00E97401"/>
    <w:rsid w:val="00EA37D3"/>
    <w:rsid w:val="00EA3BE7"/>
    <w:rsid w:val="00EA4E87"/>
    <w:rsid w:val="00EA6D07"/>
    <w:rsid w:val="00EA76D6"/>
    <w:rsid w:val="00EB2487"/>
    <w:rsid w:val="00EB517E"/>
    <w:rsid w:val="00EB69A7"/>
    <w:rsid w:val="00EC081C"/>
    <w:rsid w:val="00EC6788"/>
    <w:rsid w:val="00EC6C57"/>
    <w:rsid w:val="00EC77D7"/>
    <w:rsid w:val="00ED0020"/>
    <w:rsid w:val="00ED0BB8"/>
    <w:rsid w:val="00ED17BA"/>
    <w:rsid w:val="00ED5627"/>
    <w:rsid w:val="00EE070C"/>
    <w:rsid w:val="00EE2ABF"/>
    <w:rsid w:val="00EE3252"/>
    <w:rsid w:val="00EE6594"/>
    <w:rsid w:val="00EF31BC"/>
    <w:rsid w:val="00EF4351"/>
    <w:rsid w:val="00EF50A7"/>
    <w:rsid w:val="00EF6D39"/>
    <w:rsid w:val="00EF6E9F"/>
    <w:rsid w:val="00F06E56"/>
    <w:rsid w:val="00F12133"/>
    <w:rsid w:val="00F1221D"/>
    <w:rsid w:val="00F14732"/>
    <w:rsid w:val="00F15C05"/>
    <w:rsid w:val="00F1764C"/>
    <w:rsid w:val="00F20918"/>
    <w:rsid w:val="00F21A4E"/>
    <w:rsid w:val="00F33191"/>
    <w:rsid w:val="00F33236"/>
    <w:rsid w:val="00F35520"/>
    <w:rsid w:val="00F3610D"/>
    <w:rsid w:val="00F364A5"/>
    <w:rsid w:val="00F36B78"/>
    <w:rsid w:val="00F371EC"/>
    <w:rsid w:val="00F4662E"/>
    <w:rsid w:val="00F535C5"/>
    <w:rsid w:val="00F55384"/>
    <w:rsid w:val="00F614DB"/>
    <w:rsid w:val="00F64B06"/>
    <w:rsid w:val="00F65099"/>
    <w:rsid w:val="00F71640"/>
    <w:rsid w:val="00F71DD1"/>
    <w:rsid w:val="00F72BA5"/>
    <w:rsid w:val="00F760F5"/>
    <w:rsid w:val="00F77252"/>
    <w:rsid w:val="00F83B8F"/>
    <w:rsid w:val="00F90098"/>
    <w:rsid w:val="00F93CD5"/>
    <w:rsid w:val="00F94A34"/>
    <w:rsid w:val="00F94E69"/>
    <w:rsid w:val="00FA0244"/>
    <w:rsid w:val="00FA3201"/>
    <w:rsid w:val="00FA4853"/>
    <w:rsid w:val="00FA6864"/>
    <w:rsid w:val="00FA7612"/>
    <w:rsid w:val="00FA7EA5"/>
    <w:rsid w:val="00FB2544"/>
    <w:rsid w:val="00FB4B6B"/>
    <w:rsid w:val="00FB5A2A"/>
    <w:rsid w:val="00FB6F08"/>
    <w:rsid w:val="00FB7056"/>
    <w:rsid w:val="00FC07C6"/>
    <w:rsid w:val="00FC15AB"/>
    <w:rsid w:val="00FC2145"/>
    <w:rsid w:val="00FC231E"/>
    <w:rsid w:val="00FC3C01"/>
    <w:rsid w:val="00FC46B5"/>
    <w:rsid w:val="00FC4BAC"/>
    <w:rsid w:val="00FC56F2"/>
    <w:rsid w:val="00FD00FF"/>
    <w:rsid w:val="00FD2574"/>
    <w:rsid w:val="00FD3442"/>
    <w:rsid w:val="00FD727A"/>
    <w:rsid w:val="00FD7987"/>
    <w:rsid w:val="00FE1C6C"/>
    <w:rsid w:val="00FE51BC"/>
    <w:rsid w:val="00FE52A2"/>
    <w:rsid w:val="00FE6A5E"/>
    <w:rsid w:val="00FE6D24"/>
    <w:rsid w:val="00FF1340"/>
    <w:rsid w:val="00FF1920"/>
    <w:rsid w:val="00FF48CF"/>
    <w:rsid w:val="00FF54A2"/>
    <w:rsid w:val="00FF6F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482F3B9"/>
  <w15:docId w15:val="{DCA5ED66-7280-4194-8948-3B753421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Calibri" w:hAnsi="Book Antiqu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8F0"/>
    <w:rPr>
      <w:rFonts w:ascii="Times New Roman" w:eastAsia="Times New Roman" w:hAnsi="Times New Roman"/>
      <w:sz w:val="24"/>
      <w:szCs w:val="24"/>
    </w:rPr>
  </w:style>
  <w:style w:type="paragraph" w:styleId="Heading1">
    <w:name w:val="heading 1"/>
    <w:basedOn w:val="Normal"/>
    <w:next w:val="Normal"/>
    <w:link w:val="Heading1Char"/>
    <w:uiPriority w:val="99"/>
    <w:qFormat/>
    <w:rsid w:val="00D56765"/>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6765"/>
    <w:rPr>
      <w:rFonts w:ascii="Times New Roman" w:hAnsi="Times New Roman" w:cs="Times New Roman"/>
      <w:b/>
      <w:sz w:val="20"/>
      <w:szCs w:val="20"/>
    </w:rPr>
  </w:style>
  <w:style w:type="paragraph" w:customStyle="1" w:styleId="Default">
    <w:name w:val="Default"/>
    <w:rsid w:val="00D56765"/>
    <w:pPr>
      <w:autoSpaceDE w:val="0"/>
      <w:autoSpaceDN w:val="0"/>
      <w:adjustRightInd w:val="0"/>
    </w:pPr>
    <w:rPr>
      <w:rFonts w:cs="Book Antiqua"/>
      <w:color w:val="000000"/>
      <w:sz w:val="24"/>
      <w:szCs w:val="24"/>
    </w:rPr>
  </w:style>
  <w:style w:type="paragraph" w:styleId="Title">
    <w:name w:val="Title"/>
    <w:basedOn w:val="Normal"/>
    <w:link w:val="TitleChar"/>
    <w:uiPriority w:val="99"/>
    <w:qFormat/>
    <w:rsid w:val="00D56765"/>
    <w:pPr>
      <w:suppressAutoHyphens/>
      <w:jc w:val="center"/>
    </w:pPr>
    <w:rPr>
      <w:b/>
      <w:sz w:val="32"/>
      <w:szCs w:val="20"/>
    </w:rPr>
  </w:style>
  <w:style w:type="character" w:customStyle="1" w:styleId="TitleChar">
    <w:name w:val="Title Char"/>
    <w:basedOn w:val="DefaultParagraphFont"/>
    <w:link w:val="Title"/>
    <w:uiPriority w:val="99"/>
    <w:locked/>
    <w:rsid w:val="00D56765"/>
    <w:rPr>
      <w:rFonts w:ascii="Times New Roman" w:hAnsi="Times New Roman" w:cs="Times New Roman"/>
      <w:b/>
      <w:sz w:val="20"/>
      <w:szCs w:val="20"/>
    </w:rPr>
  </w:style>
  <w:style w:type="character" w:styleId="CommentReference">
    <w:name w:val="annotation reference"/>
    <w:basedOn w:val="DefaultParagraphFont"/>
    <w:uiPriority w:val="99"/>
    <w:semiHidden/>
    <w:rsid w:val="00B81973"/>
    <w:rPr>
      <w:rFonts w:cs="Times New Roman"/>
      <w:sz w:val="16"/>
      <w:szCs w:val="16"/>
    </w:rPr>
  </w:style>
  <w:style w:type="paragraph" w:styleId="CommentText">
    <w:name w:val="annotation text"/>
    <w:basedOn w:val="Normal"/>
    <w:link w:val="CommentTextChar"/>
    <w:uiPriority w:val="99"/>
    <w:semiHidden/>
    <w:rsid w:val="00B81973"/>
    <w:rPr>
      <w:sz w:val="20"/>
      <w:szCs w:val="20"/>
    </w:rPr>
  </w:style>
  <w:style w:type="character" w:customStyle="1" w:styleId="CommentTextChar">
    <w:name w:val="Comment Text Char"/>
    <w:basedOn w:val="DefaultParagraphFont"/>
    <w:link w:val="CommentText"/>
    <w:uiPriority w:val="99"/>
    <w:semiHidden/>
    <w:locked/>
    <w:rsid w:val="00B81973"/>
    <w:rPr>
      <w:rFonts w:ascii="Times New Roman" w:hAnsi="Times New Roman" w:cs="Times New Roman"/>
      <w:sz w:val="20"/>
      <w:szCs w:val="20"/>
    </w:rPr>
  </w:style>
  <w:style w:type="paragraph" w:styleId="BalloonText">
    <w:name w:val="Balloon Text"/>
    <w:basedOn w:val="Normal"/>
    <w:link w:val="BalloonTextChar"/>
    <w:uiPriority w:val="99"/>
    <w:semiHidden/>
    <w:rsid w:val="003A6120"/>
    <w:rPr>
      <w:rFonts w:ascii="Tahoma" w:hAnsi="Tahoma" w:cs="Tahoma"/>
      <w:sz w:val="16"/>
      <w:szCs w:val="16"/>
    </w:rPr>
  </w:style>
  <w:style w:type="character" w:customStyle="1" w:styleId="BalloonTextChar">
    <w:name w:val="Balloon Text Char"/>
    <w:basedOn w:val="DefaultParagraphFont"/>
    <w:link w:val="BalloonText"/>
    <w:uiPriority w:val="99"/>
    <w:semiHidden/>
    <w:rsid w:val="00673E90"/>
    <w:rPr>
      <w:rFonts w:ascii="Times New Roman" w:eastAsia="Times New Roman" w:hAnsi="Times New Roman"/>
    </w:rPr>
  </w:style>
  <w:style w:type="paragraph" w:styleId="Header">
    <w:name w:val="header"/>
    <w:basedOn w:val="Normal"/>
    <w:link w:val="HeaderChar"/>
    <w:uiPriority w:val="99"/>
    <w:unhideWhenUsed/>
    <w:rsid w:val="00BD0D60"/>
    <w:pPr>
      <w:tabs>
        <w:tab w:val="center" w:pos="4680"/>
        <w:tab w:val="right" w:pos="9360"/>
      </w:tabs>
    </w:pPr>
  </w:style>
  <w:style w:type="character" w:customStyle="1" w:styleId="HeaderChar">
    <w:name w:val="Header Char"/>
    <w:basedOn w:val="DefaultParagraphFont"/>
    <w:link w:val="Header"/>
    <w:uiPriority w:val="99"/>
    <w:rsid w:val="00BD0D60"/>
    <w:rPr>
      <w:rFonts w:ascii="Times New Roman" w:eastAsia="Times New Roman" w:hAnsi="Times New Roman"/>
      <w:sz w:val="24"/>
      <w:szCs w:val="24"/>
    </w:rPr>
  </w:style>
  <w:style w:type="paragraph" w:styleId="Footer">
    <w:name w:val="footer"/>
    <w:basedOn w:val="Normal"/>
    <w:link w:val="FooterChar"/>
    <w:uiPriority w:val="99"/>
    <w:unhideWhenUsed/>
    <w:rsid w:val="00BD0D60"/>
    <w:pPr>
      <w:tabs>
        <w:tab w:val="center" w:pos="4680"/>
        <w:tab w:val="right" w:pos="9360"/>
      </w:tabs>
    </w:pPr>
  </w:style>
  <w:style w:type="character" w:customStyle="1" w:styleId="FooterChar">
    <w:name w:val="Footer Char"/>
    <w:basedOn w:val="DefaultParagraphFont"/>
    <w:link w:val="Footer"/>
    <w:uiPriority w:val="99"/>
    <w:rsid w:val="00BD0D60"/>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F2EBC"/>
    <w:rPr>
      <w:b/>
      <w:bCs/>
    </w:rPr>
  </w:style>
  <w:style w:type="character" w:customStyle="1" w:styleId="CommentSubjectChar">
    <w:name w:val="Comment Subject Char"/>
    <w:basedOn w:val="CommentTextChar"/>
    <w:link w:val="CommentSubject"/>
    <w:uiPriority w:val="99"/>
    <w:semiHidden/>
    <w:rsid w:val="00DF2EBC"/>
    <w:rPr>
      <w:rFonts w:ascii="Times New Roman" w:eastAsia="Times New Roman" w:hAnsi="Times New Roman" w:cs="Times New Roman"/>
      <w:b/>
      <w:bCs/>
      <w:sz w:val="20"/>
      <w:szCs w:val="20"/>
    </w:rPr>
  </w:style>
  <w:style w:type="paragraph" w:styleId="FootnoteText">
    <w:name w:val="footnote text"/>
    <w:basedOn w:val="Normal"/>
    <w:link w:val="FootnoteTextChar"/>
    <w:unhideWhenUsed/>
    <w:rsid w:val="00CC5F3E"/>
    <w:rPr>
      <w:sz w:val="20"/>
      <w:szCs w:val="20"/>
    </w:rPr>
  </w:style>
  <w:style w:type="character" w:customStyle="1" w:styleId="FootnoteTextChar">
    <w:name w:val="Footnote Text Char"/>
    <w:basedOn w:val="DefaultParagraphFont"/>
    <w:link w:val="FootnoteText"/>
    <w:rsid w:val="00CC5F3E"/>
    <w:rPr>
      <w:rFonts w:ascii="Times New Roman" w:eastAsia="Times New Roman" w:hAnsi="Times New Roman"/>
      <w:sz w:val="20"/>
      <w:szCs w:val="20"/>
    </w:rPr>
  </w:style>
  <w:style w:type="character" w:styleId="FootnoteReference">
    <w:name w:val="footnote reference"/>
    <w:basedOn w:val="DefaultParagraphFont"/>
    <w:unhideWhenUsed/>
    <w:rsid w:val="00CC5F3E"/>
    <w:rPr>
      <w:vertAlign w:val="superscript"/>
    </w:rPr>
  </w:style>
  <w:style w:type="character" w:styleId="Hyperlink">
    <w:name w:val="Hyperlink"/>
    <w:basedOn w:val="DefaultParagraphFont"/>
    <w:unhideWhenUsed/>
    <w:rsid w:val="002158B6"/>
    <w:rPr>
      <w:color w:val="0000FF" w:themeColor="hyperlink"/>
      <w:u w:val="single"/>
    </w:rPr>
  </w:style>
  <w:style w:type="character" w:styleId="FollowedHyperlink">
    <w:name w:val="FollowedHyperlink"/>
    <w:basedOn w:val="DefaultParagraphFont"/>
    <w:uiPriority w:val="99"/>
    <w:semiHidden/>
    <w:unhideWhenUsed/>
    <w:rsid w:val="002158B6"/>
    <w:rPr>
      <w:color w:val="800080" w:themeColor="followedHyperlink"/>
      <w:u w:val="single"/>
    </w:rPr>
  </w:style>
  <w:style w:type="paragraph" w:styleId="Revision">
    <w:name w:val="Revision"/>
    <w:hidden/>
    <w:uiPriority w:val="99"/>
    <w:semiHidden/>
    <w:rsid w:val="004453EE"/>
    <w:rPr>
      <w:rFonts w:ascii="Times New Roman" w:eastAsia="Times New Roman" w:hAnsi="Times New Roman"/>
      <w:sz w:val="24"/>
      <w:szCs w:val="24"/>
    </w:rPr>
  </w:style>
  <w:style w:type="table" w:styleId="TableGrid">
    <w:name w:val="Table Grid"/>
    <w:basedOn w:val="TableNormal"/>
    <w:locked/>
    <w:rsid w:val="00786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30FC"/>
    <w:rPr>
      <w:color w:val="605E5C"/>
      <w:shd w:val="clear" w:color="auto" w:fill="E1DFDD"/>
    </w:rPr>
  </w:style>
  <w:style w:type="paragraph" w:styleId="ListParagraph">
    <w:name w:val="List Paragraph"/>
    <w:basedOn w:val="Normal"/>
    <w:uiPriority w:val="34"/>
    <w:qFormat/>
    <w:rsid w:val="003A13B8"/>
    <w:pPr>
      <w:ind w:left="720"/>
      <w:contextualSpacing/>
    </w:pPr>
  </w:style>
  <w:style w:type="character" w:customStyle="1" w:styleId="ui-provider">
    <w:name w:val="ui-provider"/>
    <w:basedOn w:val="DefaultParagraphFont"/>
    <w:rsid w:val="00567B04"/>
  </w:style>
  <w:style w:type="paragraph" w:customStyle="1" w:styleId="BodyText12pt">
    <w:name w:val="Body Text + 12pt"/>
    <w:basedOn w:val="BodyText"/>
    <w:link w:val="BodyText12ptChar"/>
    <w:rsid w:val="0027798C"/>
    <w:pPr>
      <w:spacing w:after="0"/>
    </w:pPr>
    <w:rPr>
      <w:szCs w:val="20"/>
    </w:rPr>
  </w:style>
  <w:style w:type="character" w:customStyle="1" w:styleId="BodyText12ptChar">
    <w:name w:val="Body Text + 12pt Char"/>
    <w:link w:val="BodyText12pt"/>
    <w:locked/>
    <w:rsid w:val="0027798C"/>
    <w:rPr>
      <w:rFonts w:ascii="Times New Roman" w:eastAsia="Times New Roman" w:hAnsi="Times New Roman"/>
      <w:sz w:val="24"/>
      <w:szCs w:val="20"/>
    </w:rPr>
  </w:style>
  <w:style w:type="paragraph" w:styleId="BodyText">
    <w:name w:val="Body Text"/>
    <w:basedOn w:val="Normal"/>
    <w:link w:val="BodyTextChar"/>
    <w:uiPriority w:val="99"/>
    <w:semiHidden/>
    <w:unhideWhenUsed/>
    <w:rsid w:val="0027798C"/>
    <w:pPr>
      <w:spacing w:after="120"/>
    </w:pPr>
  </w:style>
  <w:style w:type="character" w:customStyle="1" w:styleId="BodyTextChar">
    <w:name w:val="Body Text Char"/>
    <w:basedOn w:val="DefaultParagraphFont"/>
    <w:link w:val="BodyText"/>
    <w:uiPriority w:val="99"/>
    <w:semiHidden/>
    <w:rsid w:val="0027798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E3CEC-27E9-4388-835A-4A596F19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20</Pages>
  <Words>6798</Words>
  <Characters>39037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DOL</Company>
  <LinksUpToDate>false</LinksUpToDate>
  <CharactersWithSpaces>45744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Bouchet, Nicole - MSHA</dc:creator>
  <cp:lastModifiedBy>Moore, Joanna - MSHA</cp:lastModifiedBy>
  <cp:revision>12</cp:revision>
  <cp:lastPrinted>2019-04-17T20:00:00Z</cp:lastPrinted>
  <dcterms:created xsi:type="dcterms:W3CDTF">2025-04-01T13:39:00Z</dcterms:created>
  <dcterms:modified xsi:type="dcterms:W3CDTF">2025-08-07T17:58:00Z</dcterms:modified>
</cp:coreProperties>
</file>