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309F5" w:rsidP="6BEC65BA" w14:paraId="0A4D5958" w14:textId="77777777">
      <w:pPr>
        <w:pStyle w:val="BodyText"/>
      </w:pPr>
      <w:r w:rsidRPr="6BEC65BA">
        <w:t>Supp</w:t>
      </w:r>
      <w:r w:rsidRPr="6BEC65BA" w:rsidR="00DE1FEE">
        <w:t>orting</w:t>
      </w:r>
      <w:r w:rsidRPr="6BEC65BA">
        <w:t xml:space="preserve"> Statement</w:t>
      </w:r>
    </w:p>
    <w:p w:rsidR="00AD033B" w:rsidRPr="00E15F50" w:rsidP="6BEC65BA" w14:paraId="54694555" w14:textId="77777777">
      <w:pPr>
        <w:jc w:val="center"/>
        <w:rPr>
          <w:rFonts w:ascii="Times New Roman" w:hAnsi="Times New Roman"/>
          <w:sz w:val="24"/>
          <w:u w:val="single"/>
        </w:rPr>
      </w:pPr>
      <w:r w:rsidRPr="6BEC65BA">
        <w:rPr>
          <w:rFonts w:ascii="Times New Roman" w:hAnsi="Times New Roman"/>
          <w:sz w:val="24"/>
          <w:u w:val="single"/>
        </w:rPr>
        <w:t>OMB Control Number 1506-0043</w:t>
      </w:r>
    </w:p>
    <w:p w:rsidR="00374CD1" w:rsidRPr="00AD033B" w:rsidP="6BEC65BA" w14:paraId="6595A8D7" w14:textId="77777777">
      <w:pPr>
        <w:pStyle w:val="BodyText"/>
      </w:pPr>
      <w:r w:rsidRPr="6BEC65BA">
        <w:t>Prohibition on Correspondent Accounts for Foreign Shell Banks; Records Concerning Owners of Foreign Banks and Agents for Service of Legal Process</w:t>
      </w:r>
    </w:p>
    <w:p w:rsidR="00374CD1" w:rsidP="6BEC65BA" w14:paraId="397B2D94" w14:textId="77777777">
      <w:pPr>
        <w:tabs>
          <w:tab w:val="center" w:pos="4680"/>
        </w:tabs>
        <w:rPr>
          <w:rFonts w:ascii="Times New Roman" w:hAnsi="Times New Roman"/>
          <w:sz w:val="24"/>
        </w:rPr>
      </w:pPr>
      <w:r>
        <w:rPr>
          <w:rFonts w:ascii="Times New Roman" w:hAnsi="Times New Roman"/>
          <w:sz w:val="24"/>
        </w:rPr>
        <w:tab/>
      </w:r>
    </w:p>
    <w:p w:rsidR="00565F27" w:rsidP="6BEC65BA" w14:paraId="459048B4" w14:textId="77777777">
      <w:pPr>
        <w:rPr>
          <w:rFonts w:ascii="Times New Roman" w:hAnsi="Times New Roman"/>
          <w:sz w:val="24"/>
        </w:rPr>
      </w:pPr>
      <w:r w:rsidRPr="6BEC65BA">
        <w:rPr>
          <w:rFonts w:ascii="Times New Roman" w:hAnsi="Times New Roman"/>
          <w:sz w:val="24"/>
        </w:rPr>
        <w:t xml:space="preserve">1.  </w:t>
      </w:r>
      <w:r w:rsidRPr="6BEC65BA" w:rsidR="00E368FA">
        <w:rPr>
          <w:rFonts w:ascii="Times New Roman" w:hAnsi="Times New Roman"/>
          <w:sz w:val="24"/>
          <w:u w:val="single"/>
        </w:rPr>
        <w:t>Circumstances necessitating collection of information</w:t>
      </w:r>
      <w:r w:rsidRPr="6BEC65BA" w:rsidR="008C19A7">
        <w:rPr>
          <w:rFonts w:ascii="Times New Roman" w:hAnsi="Times New Roman"/>
          <w:sz w:val="24"/>
          <w:u w:val="single"/>
        </w:rPr>
        <w:t>.</w:t>
      </w:r>
      <w:r w:rsidRPr="6BEC65BA" w:rsidR="00E368FA">
        <w:rPr>
          <w:rFonts w:ascii="Times New Roman" w:hAnsi="Times New Roman"/>
          <w:sz w:val="24"/>
        </w:rPr>
        <w:t xml:space="preserve">  </w:t>
      </w:r>
    </w:p>
    <w:p w:rsidR="0035191E" w:rsidP="6BEC65BA" w14:paraId="4B41F53C" w14:textId="77777777">
      <w:pPr>
        <w:rPr>
          <w:rFonts w:ascii="Times New Roman" w:hAnsi="Times New Roman"/>
          <w:sz w:val="24"/>
        </w:rPr>
      </w:pPr>
    </w:p>
    <w:p w:rsidR="0095027B" w:rsidP="00505D8C" w14:paraId="246678CD" w14:textId="2896437E">
      <w:pPr>
        <w:pStyle w:val="BodyTextIndent"/>
        <w:spacing w:line="240" w:lineRule="auto"/>
        <w:ind w:firstLine="720"/>
        <w:rPr>
          <w:rFonts w:ascii="Times New Roman" w:hAnsi="Times New Roman"/>
          <w:color w:val="auto"/>
        </w:rPr>
      </w:pPr>
      <w:r w:rsidRPr="0095027B">
        <w:rPr>
          <w:rFonts w:ascii="Times New Roman" w:hAnsi="Times New Roman"/>
          <w:color w:val="auto"/>
        </w:rPr>
        <w:t xml:space="preserve">The legislative framework generally referred to as the </w:t>
      </w:r>
      <w:r w:rsidRPr="0095027B" w:rsidR="3203282D">
        <w:rPr>
          <w:rFonts w:ascii="Times New Roman" w:hAnsi="Times New Roman"/>
          <w:color w:val="auto"/>
        </w:rPr>
        <w:t>Bank Secrecy Act</w:t>
      </w:r>
      <w:r w:rsidRPr="0095027B">
        <w:rPr>
          <w:rFonts w:ascii="Times New Roman" w:hAnsi="Times New Roman"/>
          <w:color w:val="auto"/>
        </w:rPr>
        <w:t xml:space="preserve"> </w:t>
      </w:r>
      <w:r w:rsidRPr="0095027B" w:rsidR="6FBEE37D">
        <w:rPr>
          <w:rFonts w:ascii="Times New Roman" w:hAnsi="Times New Roman"/>
          <w:color w:val="auto"/>
        </w:rPr>
        <w:t>(</w:t>
      </w:r>
      <w:r w:rsidRPr="0095027B">
        <w:rPr>
          <w:rFonts w:ascii="Times New Roman" w:hAnsi="Times New Roman"/>
          <w:color w:val="auto"/>
        </w:rPr>
        <w:t>BSA</w:t>
      </w:r>
      <w:r w:rsidRPr="0095027B" w:rsidR="31C63BC0">
        <w:rPr>
          <w:rFonts w:ascii="Times New Roman" w:hAnsi="Times New Roman"/>
          <w:color w:val="auto"/>
        </w:rPr>
        <w:t>)</w:t>
      </w:r>
      <w:r w:rsidRPr="0095027B">
        <w:rPr>
          <w:rFonts w:ascii="Times New Roman" w:hAnsi="Times New Roman"/>
          <w:color w:val="auto"/>
        </w:rPr>
        <w:t xml:space="preserve"> consists of the Currency and Foreign Transactions Reporting Act of 1970, as amended by the Uniting and Strengthening America by Providing Appropriate Tools Required to Intercept and Obstruct Terrorism Act of 2001 (USA PATRIOT Act),</w:t>
      </w:r>
      <w:r>
        <w:rPr>
          <w:rStyle w:val="FootnoteReference"/>
          <w:rFonts w:ascii="Times New Roman" w:hAnsi="Times New Roman"/>
          <w:color w:val="auto"/>
          <w:vertAlign w:val="superscript"/>
        </w:rPr>
        <w:footnoteReference w:id="3"/>
      </w:r>
      <w:r w:rsidRPr="0095027B">
        <w:rPr>
          <w:rFonts w:ascii="Times New Roman" w:hAnsi="Times New Roman"/>
          <w:color w:val="auto"/>
          <w:vertAlign w:val="superscript"/>
        </w:rPr>
        <w:t xml:space="preserve"> </w:t>
      </w:r>
      <w:r w:rsidRPr="0095027B">
        <w:rPr>
          <w:rFonts w:ascii="Times New Roman" w:hAnsi="Times New Roman"/>
          <w:color w:val="auto"/>
        </w:rPr>
        <w:t>and other legislation, including the Anti-Money Laundering Act of 2020 (AML Act).</w:t>
      </w:r>
      <w:r>
        <w:rPr>
          <w:rStyle w:val="FootnoteReference"/>
          <w:rFonts w:ascii="Times New Roman" w:hAnsi="Times New Roman"/>
          <w:color w:val="auto"/>
          <w:vertAlign w:val="superscript"/>
        </w:rPr>
        <w:footnoteReference w:id="4"/>
      </w:r>
      <w:r w:rsidRPr="0095027B">
        <w:rPr>
          <w:rFonts w:ascii="Times New Roman" w:hAnsi="Times New Roman"/>
          <w:color w:val="auto"/>
        </w:rPr>
        <w:t xml:space="preserve">  The BSA is codified at 12 U.S.C. 1829b, 1951–1960 and 31 U.S.C. 5311–5314, 5316–5336, including notes thereto, with implementing regulations at 31 CFR chapter X.  </w:t>
      </w:r>
    </w:p>
    <w:p w:rsidR="0095027B" w:rsidRPr="0095027B" w:rsidP="00505D8C" w14:paraId="2AA903CD" w14:textId="77777777">
      <w:pPr>
        <w:pStyle w:val="BodyTextIndent"/>
        <w:spacing w:line="240" w:lineRule="auto"/>
        <w:rPr>
          <w:rFonts w:ascii="Times New Roman" w:hAnsi="Times New Roman"/>
          <w:color w:val="auto"/>
        </w:rPr>
      </w:pPr>
    </w:p>
    <w:p w:rsidR="003B48BD" w:rsidRPr="00FF1ABD" w:rsidP="00505D8C" w14:paraId="19959673" w14:textId="5B8F52C0">
      <w:pPr>
        <w:pStyle w:val="BodyTextIndent"/>
        <w:spacing w:line="240" w:lineRule="auto"/>
        <w:ind w:firstLine="720"/>
        <w:rPr>
          <w:rFonts w:ascii="Times New Roman" w:hAnsi="Times New Roman"/>
          <w:color w:val="auto"/>
        </w:rPr>
      </w:pPr>
      <w:r w:rsidRPr="6BEC65BA">
        <w:rPr>
          <w:rFonts w:ascii="Times New Roman" w:hAnsi="Times New Roman"/>
          <w:color w:val="auto"/>
        </w:rPr>
        <w:t xml:space="preserve">The BSA authorizes the Secretary of the Treasury (Secretary) to, </w:t>
      </w:r>
      <w:r w:rsidRPr="6BEC65BA">
        <w:rPr>
          <w:rFonts w:ascii="Times New Roman" w:hAnsi="Times New Roman"/>
          <w:i/>
          <w:iCs/>
          <w:color w:val="auto"/>
        </w:rPr>
        <w:t>inter alia</w:t>
      </w:r>
      <w:r w:rsidRPr="6BEC65BA">
        <w:rPr>
          <w:rFonts w:ascii="Times New Roman" w:hAnsi="Times New Roman"/>
          <w:color w:val="auto"/>
        </w:rPr>
        <w:t>, require financial institutions to keep records and file reports that are determined to have a high degree of usefulness in criminal, tax, or regulatory matters, risk assessments or proceedings, or in intelligence or counter-intelligence activities, including analysis, to protect against terrorism, and to implement anti-money laundering/countering the financing of terrorism (AML/CFT) programs and compliance procedures.</w:t>
      </w:r>
      <w:r>
        <w:rPr>
          <w:rStyle w:val="FootnoteReference"/>
          <w:rFonts w:ascii="Times New Roman" w:hAnsi="Times New Roman"/>
          <w:color w:val="auto"/>
          <w:vertAlign w:val="superscript"/>
        </w:rPr>
        <w:footnoteReference w:id="5"/>
      </w:r>
      <w:r w:rsidRPr="6BEC65BA">
        <w:rPr>
          <w:rFonts w:ascii="Times New Roman" w:hAnsi="Times New Roman"/>
          <w:color w:val="auto"/>
          <w:vertAlign w:val="superscript"/>
        </w:rPr>
        <w:t xml:space="preserve"> </w:t>
      </w:r>
      <w:r w:rsidRPr="6BEC65BA">
        <w:rPr>
          <w:rFonts w:ascii="Times New Roman" w:hAnsi="Times New Roman"/>
          <w:color w:val="auto"/>
        </w:rPr>
        <w:t xml:space="preserve"> The Secretary has delegated to the Director of FinCEN (Director) the authority to administer the BSA.</w:t>
      </w:r>
      <w:r>
        <w:rPr>
          <w:rStyle w:val="FootnoteReference"/>
          <w:rFonts w:ascii="Times New Roman" w:hAnsi="Times New Roman"/>
          <w:color w:val="auto"/>
          <w:vertAlign w:val="superscript"/>
        </w:rPr>
        <w:footnoteReference w:id="6"/>
      </w:r>
    </w:p>
    <w:p w:rsidR="00F91F1A" w:rsidRPr="00FF1ABD" w:rsidP="00505D8C" w14:paraId="6CB4B22F" w14:textId="77777777">
      <w:pPr>
        <w:pStyle w:val="BodyTextIndent"/>
        <w:spacing w:line="240" w:lineRule="auto"/>
        <w:rPr>
          <w:rFonts w:ascii="Times New Roman" w:hAnsi="Times New Roman"/>
          <w:color w:val="auto"/>
        </w:rPr>
      </w:pPr>
    </w:p>
    <w:p w:rsidR="003B48BD" w:rsidP="00505D8C" w14:paraId="1AB98203" w14:textId="63D124A6">
      <w:pPr>
        <w:ind w:firstLine="720"/>
        <w:rPr>
          <w:rFonts w:ascii="Times New Roman" w:hAnsi="Times New Roman"/>
          <w:sz w:val="24"/>
        </w:rPr>
      </w:pPr>
      <w:r w:rsidRPr="6BEC65BA">
        <w:rPr>
          <w:rFonts w:ascii="Times New Roman" w:hAnsi="Times New Roman"/>
          <w:sz w:val="24"/>
        </w:rPr>
        <w:t xml:space="preserve">31 U.S.C. 5318(j) prohibits </w:t>
      </w:r>
      <w:r w:rsidRPr="3320454F" w:rsidR="034F65E8">
        <w:rPr>
          <w:rFonts w:ascii="Times New Roman" w:hAnsi="Times New Roman"/>
          <w:sz w:val="24"/>
        </w:rPr>
        <w:t xml:space="preserve">a </w:t>
      </w:r>
      <w:r w:rsidRPr="6BEC65BA">
        <w:rPr>
          <w:rFonts w:ascii="Times New Roman" w:hAnsi="Times New Roman"/>
          <w:sz w:val="24"/>
        </w:rPr>
        <w:t>covered financial institution</w:t>
      </w:r>
      <w:r>
        <w:rPr>
          <w:rStyle w:val="FootnoteReference"/>
          <w:rFonts w:ascii="Times New Roman" w:hAnsi="Times New Roman"/>
          <w:sz w:val="24"/>
          <w:vertAlign w:val="superscript"/>
        </w:rPr>
        <w:footnoteReference w:id="7"/>
      </w:r>
      <w:r w:rsidRPr="6BEC65BA">
        <w:rPr>
          <w:rFonts w:ascii="Times New Roman" w:hAnsi="Times New Roman"/>
          <w:sz w:val="24"/>
          <w:vertAlign w:val="superscript"/>
        </w:rPr>
        <w:t xml:space="preserve"> </w:t>
      </w:r>
      <w:r w:rsidRPr="6BEC65BA">
        <w:rPr>
          <w:rFonts w:ascii="Times New Roman" w:hAnsi="Times New Roman"/>
          <w:sz w:val="24"/>
        </w:rPr>
        <w:t xml:space="preserve">from maintaining correspondent accounts in the United States for, or on behalf of, foreign banks that do not have a physical presence in any country.  In addition, under 31 U.S.C. 5318(k), a covered financial institution maintaining a correspondent account in the United States for a foreign bank, must retain records identifying: (i) the owners of record and the beneficial owners of the foreign bank, </w:t>
      </w:r>
      <w:r w:rsidRPr="6BEC65BA">
        <w:rPr>
          <w:rFonts w:ascii="Times New Roman" w:hAnsi="Times New Roman"/>
          <w:sz w:val="24"/>
        </w:rPr>
        <w:t>and (ii) the name and address of a person residing in the United States who is authorized to accept service of legal process for the foreign bank.</w:t>
      </w:r>
      <w:r>
        <w:rPr>
          <w:rFonts w:ascii="Times New Roman" w:hAnsi="Times New Roman"/>
          <w:vertAlign w:val="superscript"/>
        </w:rPr>
        <w:footnoteReference w:id="8"/>
      </w:r>
      <w:r w:rsidRPr="6BEC65BA">
        <w:rPr>
          <w:rFonts w:ascii="Times New Roman" w:hAnsi="Times New Roman"/>
          <w:sz w:val="24"/>
        </w:rPr>
        <w:t xml:space="preserve">  </w:t>
      </w:r>
      <w:r w:rsidR="00D86CED">
        <w:rPr>
          <w:rFonts w:ascii="Times New Roman" w:hAnsi="Times New Roman"/>
          <w:sz w:val="24"/>
        </w:rPr>
        <w:t xml:space="preserve">The covered financial institution must </w:t>
      </w:r>
      <w:r w:rsidRPr="00B90D55" w:rsidR="00D86CED">
        <w:rPr>
          <w:rFonts w:ascii="Times New Roman" w:hAnsi="Times New Roman"/>
          <w:sz w:val="24"/>
        </w:rPr>
        <w:t>provide the information to</w:t>
      </w:r>
      <w:r w:rsidR="00D86CED">
        <w:rPr>
          <w:rFonts w:ascii="Times New Roman" w:hAnsi="Times New Roman"/>
          <w:sz w:val="24"/>
        </w:rPr>
        <w:t xml:space="preserve"> any Federal law enforcement officer who has submitted a written request for such information, </w:t>
      </w:r>
      <w:r w:rsidRPr="00B90D55" w:rsidR="00D86CED">
        <w:rPr>
          <w:rFonts w:ascii="Times New Roman" w:hAnsi="Times New Roman"/>
          <w:sz w:val="24"/>
        </w:rPr>
        <w:t>not later than 7 days after receipt</w:t>
      </w:r>
      <w:r w:rsidR="00D86CED">
        <w:rPr>
          <w:rFonts w:ascii="Times New Roman" w:hAnsi="Times New Roman"/>
          <w:sz w:val="24"/>
        </w:rPr>
        <w:t xml:space="preserve"> of the request.</w:t>
      </w:r>
      <w:r>
        <w:rPr>
          <w:rStyle w:val="FootnoteReference"/>
          <w:rFonts w:ascii="Times New Roman" w:hAnsi="Times New Roman"/>
          <w:sz w:val="24"/>
          <w:vertAlign w:val="superscript"/>
        </w:rPr>
        <w:footnoteReference w:id="9"/>
      </w:r>
      <w:r w:rsidR="00D86CED">
        <w:rPr>
          <w:rFonts w:ascii="Times New Roman" w:hAnsi="Times New Roman"/>
          <w:sz w:val="24"/>
        </w:rPr>
        <w:t xml:space="preserve"> </w:t>
      </w:r>
      <w:r w:rsidRPr="6BEC65BA" w:rsidR="00D86CED">
        <w:rPr>
          <w:rFonts w:ascii="Times New Roman" w:hAnsi="Times New Roman"/>
          <w:sz w:val="24"/>
        </w:rPr>
        <w:t xml:space="preserve"> </w:t>
      </w:r>
      <w:r w:rsidRPr="6BEC65BA">
        <w:rPr>
          <w:rFonts w:ascii="Times New Roman" w:hAnsi="Times New Roman"/>
          <w:sz w:val="24"/>
        </w:rPr>
        <w:t xml:space="preserve">The regulations implementing 31 U.S.C. 5318(j) and 31 U.S.C. 5318(k) appear at 31 CFR 1010.630.  </w:t>
      </w:r>
    </w:p>
    <w:p w:rsidR="002C21A4" w:rsidRPr="00FF1ABD" w:rsidP="00505D8C" w14:paraId="48F91945" w14:textId="77777777">
      <w:pPr>
        <w:ind w:firstLine="720"/>
        <w:rPr>
          <w:rFonts w:ascii="Times New Roman" w:hAnsi="Times New Roman"/>
          <w:sz w:val="24"/>
        </w:rPr>
      </w:pPr>
    </w:p>
    <w:p w:rsidR="003B48BD" w:rsidRPr="00FF1ABD" w:rsidP="00505D8C" w14:paraId="59BD6476" w14:textId="4A64E66B">
      <w:pPr>
        <w:shd w:val="clear" w:color="auto" w:fill="FFFFFF" w:themeFill="background1"/>
        <w:ind w:firstLine="720"/>
        <w:rPr>
          <w:rFonts w:ascii="Times New Roman" w:hAnsi="Times New Roman"/>
          <w:sz w:val="24"/>
        </w:rPr>
      </w:pPr>
      <w:hyperlink r:id="rId10" w:anchor="p-1010.630(a)" w:history="1">
        <w:r w:rsidRPr="20ED4DC9">
          <w:rPr>
            <w:rStyle w:val="Hyperlink"/>
            <w:rFonts w:ascii="Times New Roman" w:eastAsia="MS Mincho" w:hAnsi="Times New Roman"/>
            <w:color w:val="auto"/>
            <w:sz w:val="24"/>
            <w:u w:val="none"/>
          </w:rPr>
          <w:t>3</w:t>
        </w:r>
      </w:hyperlink>
      <w:r w:rsidRPr="00E15F50">
        <w:rPr>
          <w:rFonts w:ascii="Times New Roman" w:hAnsi="Times New Roman"/>
          <w:sz w:val="24"/>
        </w:rPr>
        <w:t>1 CFR 1010.630(a)(1)</w:t>
      </w:r>
      <w:r>
        <w:rPr>
          <w:rStyle w:val="FootnoteReference"/>
          <w:rFonts w:ascii="Times New Roman" w:hAnsi="Times New Roman"/>
          <w:sz w:val="24"/>
          <w:vertAlign w:val="superscript"/>
        </w:rPr>
        <w:footnoteReference w:id="10"/>
      </w:r>
      <w:r w:rsidRPr="002C21A4">
        <w:rPr>
          <w:rFonts w:ascii="Times New Roman" w:hAnsi="Times New Roman"/>
          <w:sz w:val="24"/>
        </w:rPr>
        <w:t xml:space="preserve"> </w:t>
      </w:r>
      <w:r w:rsidRPr="6AB3309C" w:rsidR="2B3D20DD">
        <w:rPr>
          <w:rFonts w:ascii="Times New Roman" w:hAnsi="Times New Roman"/>
          <w:sz w:val="24"/>
        </w:rPr>
        <w:t>prohibits a covered financial institution</w:t>
      </w:r>
      <w:r w:rsidRPr="002C21A4" w:rsidR="2B3D20DD">
        <w:rPr>
          <w:rFonts w:ascii="Times New Roman" w:hAnsi="Times New Roman"/>
          <w:sz w:val="24"/>
        </w:rPr>
        <w:t xml:space="preserve"> </w:t>
      </w:r>
      <w:r w:rsidRPr="6AB3309C">
        <w:rPr>
          <w:rFonts w:ascii="Times New Roman" w:hAnsi="Times New Roman"/>
          <w:sz w:val="24"/>
        </w:rPr>
        <w:t>from establishing</w:t>
      </w:r>
      <w:r w:rsidRPr="6AB3309C" w:rsidR="372158B2">
        <w:rPr>
          <w:rFonts w:ascii="Times New Roman" w:hAnsi="Times New Roman"/>
          <w:sz w:val="24"/>
        </w:rPr>
        <w:t>, maintaining, administering, or managing correspondent accounts</w:t>
      </w:r>
      <w:r>
        <w:rPr>
          <w:rStyle w:val="FootnoteReference"/>
          <w:rFonts w:ascii="Times New Roman" w:hAnsi="Times New Roman"/>
          <w:sz w:val="24"/>
          <w:vertAlign w:val="superscript"/>
        </w:rPr>
        <w:footnoteReference w:id="11"/>
      </w:r>
      <w:r w:rsidRPr="6AB3309C" w:rsidR="575EEEB5">
        <w:rPr>
          <w:rFonts w:ascii="Times New Roman" w:hAnsi="Times New Roman"/>
          <w:sz w:val="24"/>
        </w:rPr>
        <w:t xml:space="preserve"> in the United States for, or on behalf of, foreign shell banks.</w:t>
      </w:r>
      <w:r>
        <w:rPr>
          <w:rStyle w:val="FootnoteReference"/>
          <w:rFonts w:ascii="Times New Roman" w:hAnsi="Times New Roman"/>
          <w:sz w:val="24"/>
          <w:vertAlign w:val="superscript"/>
        </w:rPr>
        <w:footnoteReference w:id="12"/>
      </w:r>
      <w:r w:rsidRPr="6AB3309C">
        <w:rPr>
          <w:rFonts w:ascii="Times New Roman" w:hAnsi="Times New Roman"/>
          <w:sz w:val="24"/>
          <w:vertAlign w:val="superscript"/>
        </w:rPr>
        <w:t xml:space="preserve"> </w:t>
      </w:r>
      <w:r w:rsidRPr="6AB3309C">
        <w:rPr>
          <w:rFonts w:ascii="Times New Roman" w:hAnsi="Times New Roman"/>
          <w:sz w:val="24"/>
        </w:rPr>
        <w:t xml:space="preserve"> </w:t>
      </w:r>
      <w:r w:rsidRPr="6AB3309C" w:rsidR="57E14813">
        <w:rPr>
          <w:rFonts w:ascii="Times New Roman" w:hAnsi="Times New Roman"/>
          <w:sz w:val="24"/>
        </w:rPr>
        <w:t xml:space="preserve">A </w:t>
      </w:r>
      <w:r w:rsidRPr="6AB3309C" w:rsidR="153A1E91">
        <w:rPr>
          <w:rFonts w:ascii="Times New Roman" w:hAnsi="Times New Roman"/>
          <w:sz w:val="24"/>
        </w:rPr>
        <w:t>c</w:t>
      </w:r>
      <w:r w:rsidRPr="6AB3309C">
        <w:rPr>
          <w:rFonts w:ascii="Times New Roman" w:hAnsi="Times New Roman"/>
          <w:sz w:val="24"/>
        </w:rPr>
        <w:t>overed</w:t>
      </w:r>
      <w:r w:rsidRPr="6BEC65BA">
        <w:rPr>
          <w:rFonts w:ascii="Times New Roman" w:hAnsi="Times New Roman"/>
          <w:sz w:val="24"/>
        </w:rPr>
        <w:t xml:space="preserve"> financial institution must take reasonable steps to ensure that any correspondent account established</w:t>
      </w:r>
      <w:r w:rsidRPr="6AB3309C" w:rsidR="2DA2EC73">
        <w:rPr>
          <w:rFonts w:ascii="Times New Roman" w:hAnsi="Times New Roman"/>
          <w:sz w:val="24"/>
        </w:rPr>
        <w:t>, maintained, administered, or managed by that covered financial institution in the United States for a foreign bank is not being used by that foreign bank</w:t>
      </w:r>
      <w:r>
        <w:rPr>
          <w:rStyle w:val="FootnoteReference"/>
          <w:rFonts w:ascii="Times New Roman" w:hAnsi="Times New Roman"/>
          <w:sz w:val="24"/>
          <w:vertAlign w:val="superscript"/>
        </w:rPr>
        <w:footnoteReference w:id="13"/>
      </w:r>
      <w:r w:rsidRPr="6AB3309C" w:rsidR="330E62FF">
        <w:rPr>
          <w:rFonts w:ascii="Times New Roman" w:hAnsi="Times New Roman"/>
          <w:sz w:val="24"/>
        </w:rPr>
        <w:t xml:space="preserve"> to indirectly provide banking services to a foreign shell bank.</w:t>
      </w:r>
      <w:r>
        <w:rPr>
          <w:rStyle w:val="FootnoteReference"/>
          <w:rFonts w:ascii="Times New Roman" w:hAnsi="Times New Roman"/>
          <w:sz w:val="24"/>
          <w:vertAlign w:val="superscript"/>
        </w:rPr>
        <w:footnoteReference w:id="14"/>
      </w:r>
      <w:r w:rsidRPr="6AB3309C" w:rsidR="66AE68F5">
        <w:rPr>
          <w:rStyle w:val="FootnoteReference"/>
          <w:rFonts w:ascii="Times New Roman" w:hAnsi="Times New Roman"/>
          <w:sz w:val="24"/>
          <w:vertAlign w:val="superscript"/>
        </w:rPr>
        <w:t xml:space="preserve"> </w:t>
      </w:r>
    </w:p>
    <w:p w:rsidR="00F91F1A" w:rsidRPr="00FF1ABD" w:rsidP="00505D8C" w14:paraId="7DC40D00" w14:textId="77777777">
      <w:pPr>
        <w:shd w:val="clear" w:color="auto" w:fill="FFFFFF" w:themeFill="background1"/>
        <w:ind w:firstLine="720"/>
        <w:rPr>
          <w:rFonts w:ascii="Times New Roman" w:hAnsi="Times New Roman"/>
          <w:sz w:val="24"/>
        </w:rPr>
      </w:pPr>
    </w:p>
    <w:p w:rsidR="003B48BD" w:rsidRPr="00FF1ABD" w:rsidP="00505D8C" w14:paraId="51C3E59F" w14:textId="2AFE5ED2">
      <w:pPr>
        <w:shd w:val="clear" w:color="auto" w:fill="FFFFFF" w:themeFill="background1"/>
        <w:ind w:firstLine="720"/>
        <w:rPr>
          <w:rFonts w:ascii="Times New Roman" w:hAnsi="Times New Roman"/>
          <w:sz w:val="24"/>
        </w:rPr>
      </w:pPr>
      <w:hyperlink r:id="rId10" w:anchor="p-1010.630(a)(2)" w:history="1">
        <w:r w:rsidRPr="00E15F50">
          <w:rPr>
            <w:rStyle w:val="Hyperlink"/>
            <w:rFonts w:ascii="Times New Roman" w:hAnsi="Times New Roman"/>
            <w:color w:val="auto"/>
            <w:sz w:val="24"/>
            <w:u w:val="none"/>
          </w:rPr>
          <w:t>31 CFR 1010.630(a)(2)</w:t>
        </w:r>
      </w:hyperlink>
      <w:r w:rsidRPr="00E15F50">
        <w:rPr>
          <w:rFonts w:ascii="Times New Roman" w:hAnsi="Times New Roman"/>
          <w:sz w:val="24"/>
        </w:rPr>
        <w:t xml:space="preserve"> requires </w:t>
      </w:r>
      <w:r w:rsidRPr="3320454F" w:rsidR="035FEA32">
        <w:rPr>
          <w:rFonts w:ascii="Times New Roman" w:hAnsi="Times New Roman"/>
          <w:sz w:val="24"/>
        </w:rPr>
        <w:t xml:space="preserve">a </w:t>
      </w:r>
      <w:r w:rsidRPr="00E15F50">
        <w:rPr>
          <w:rFonts w:ascii="Times New Roman" w:hAnsi="Times New Roman"/>
          <w:sz w:val="24"/>
        </w:rPr>
        <w:t xml:space="preserve">covered financial institution </w:t>
      </w:r>
      <w:r w:rsidRPr="6BEC65BA">
        <w:rPr>
          <w:rFonts w:ascii="Times New Roman" w:hAnsi="Times New Roman"/>
          <w:sz w:val="24"/>
        </w:rPr>
        <w:t xml:space="preserve">that </w:t>
      </w:r>
      <w:r w:rsidRPr="3320454F">
        <w:rPr>
          <w:rFonts w:ascii="Times New Roman" w:hAnsi="Times New Roman"/>
          <w:sz w:val="24"/>
        </w:rPr>
        <w:t>maintain</w:t>
      </w:r>
      <w:r w:rsidRPr="3320454F" w:rsidR="2A583D6F">
        <w:rPr>
          <w:rFonts w:ascii="Times New Roman" w:hAnsi="Times New Roman"/>
          <w:sz w:val="24"/>
        </w:rPr>
        <w:t>s</w:t>
      </w:r>
      <w:r w:rsidRPr="6BEC65BA">
        <w:rPr>
          <w:rFonts w:ascii="Times New Roman" w:hAnsi="Times New Roman"/>
          <w:sz w:val="24"/>
        </w:rPr>
        <w:t xml:space="preserve"> a correspondent account in the United States for a foreign bank to retain records in the United States identifying: (i) the owners</w:t>
      </w:r>
      <w:r>
        <w:rPr>
          <w:rStyle w:val="FootnoteReference"/>
          <w:rFonts w:ascii="Times New Roman" w:hAnsi="Times New Roman"/>
          <w:sz w:val="24"/>
          <w:vertAlign w:val="superscript"/>
        </w:rPr>
        <w:footnoteReference w:id="15"/>
      </w:r>
      <w:r w:rsidRPr="6BEC65BA">
        <w:rPr>
          <w:rFonts w:ascii="Times New Roman" w:hAnsi="Times New Roman"/>
          <w:sz w:val="24"/>
        </w:rPr>
        <w:t xml:space="preserve"> of each such foreign bank whose shares are not publicly traded,</w:t>
      </w:r>
      <w:r>
        <w:rPr>
          <w:rStyle w:val="FootnoteReference"/>
          <w:rFonts w:ascii="Times New Roman" w:hAnsi="Times New Roman"/>
          <w:sz w:val="24"/>
          <w:vertAlign w:val="superscript"/>
        </w:rPr>
        <w:footnoteReference w:id="16"/>
      </w:r>
      <w:r w:rsidRPr="6BEC65BA">
        <w:rPr>
          <w:rFonts w:ascii="Times New Roman" w:hAnsi="Times New Roman"/>
          <w:sz w:val="24"/>
        </w:rPr>
        <w:t xml:space="preserve"> unless the foreign bank is required to file </w:t>
      </w:r>
      <w:r w:rsidRPr="6BEC65BA" w:rsidR="0BAA80F8">
        <w:rPr>
          <w:rFonts w:ascii="Times New Roman" w:hAnsi="Times New Roman"/>
          <w:sz w:val="24"/>
        </w:rPr>
        <w:t xml:space="preserve">with the Federal Reserve Board </w:t>
      </w:r>
      <w:r w:rsidRPr="6BEC65BA">
        <w:rPr>
          <w:rFonts w:ascii="Times New Roman" w:hAnsi="Times New Roman"/>
          <w:sz w:val="24"/>
        </w:rPr>
        <w:t>a Form FR</w:t>
      </w:r>
      <w:r w:rsidRPr="3320454F" w:rsidR="77581C60">
        <w:rPr>
          <w:rFonts w:ascii="Times New Roman" w:hAnsi="Times New Roman"/>
          <w:sz w:val="24"/>
        </w:rPr>
        <w:t xml:space="preserve"> </w:t>
      </w:r>
      <w:r w:rsidRPr="6BEC65BA">
        <w:rPr>
          <w:rFonts w:ascii="Times New Roman" w:hAnsi="Times New Roman"/>
          <w:sz w:val="24"/>
        </w:rPr>
        <w:t>Y</w:t>
      </w:r>
      <w:r w:rsidRPr="3320454F" w:rsidR="4E99764F">
        <w:rPr>
          <w:rFonts w:ascii="Times New Roman" w:hAnsi="Times New Roman"/>
          <w:sz w:val="24"/>
        </w:rPr>
        <w:t>-7</w:t>
      </w:r>
      <w:r w:rsidRPr="6BEC65BA">
        <w:rPr>
          <w:rFonts w:ascii="Times New Roman" w:hAnsi="Times New Roman"/>
          <w:sz w:val="24"/>
        </w:rPr>
        <w:t xml:space="preserve">  </w:t>
      </w:r>
      <w:r w:rsidRPr="6BEC65BA" w:rsidR="269597A5">
        <w:rPr>
          <w:rFonts w:ascii="Times New Roman" w:hAnsi="Times New Roman"/>
          <w:sz w:val="24"/>
        </w:rPr>
        <w:t xml:space="preserve">that </w:t>
      </w:r>
      <w:r w:rsidRPr="6BEC65BA">
        <w:rPr>
          <w:rFonts w:ascii="Times New Roman" w:hAnsi="Times New Roman"/>
          <w:sz w:val="24"/>
        </w:rPr>
        <w:t>identif</w:t>
      </w:r>
      <w:r w:rsidRPr="6BEC65BA" w:rsidR="18122AAA">
        <w:rPr>
          <w:rFonts w:ascii="Times New Roman" w:hAnsi="Times New Roman"/>
          <w:sz w:val="24"/>
        </w:rPr>
        <w:t>ies</w:t>
      </w:r>
      <w:r w:rsidRPr="3320454F" w:rsidR="210CEE68">
        <w:rPr>
          <w:rFonts w:ascii="Times New Roman" w:hAnsi="Times New Roman"/>
          <w:sz w:val="24"/>
        </w:rPr>
        <w:t xml:space="preserve"> the current owners of the foreign bank;</w:t>
      </w:r>
      <w:r>
        <w:rPr>
          <w:rStyle w:val="FootnoteReference"/>
          <w:rFonts w:ascii="Times New Roman" w:hAnsi="Times New Roman"/>
          <w:sz w:val="24"/>
          <w:vertAlign w:val="superscript"/>
        </w:rPr>
        <w:footnoteReference w:id="17"/>
      </w:r>
      <w:r w:rsidRPr="6BEC65BA">
        <w:rPr>
          <w:rFonts w:ascii="Times New Roman" w:hAnsi="Times New Roman"/>
          <w:sz w:val="24"/>
          <w:vertAlign w:val="superscript"/>
        </w:rPr>
        <w:t xml:space="preserve"> </w:t>
      </w:r>
      <w:r w:rsidRPr="6BEC65BA">
        <w:rPr>
          <w:rFonts w:ascii="Times New Roman" w:hAnsi="Times New Roman"/>
          <w:sz w:val="24"/>
        </w:rPr>
        <w:t xml:space="preserve">and (ii) the name and street address of a person who resides in the United States and is authorized, and has agreed to be an agent to </w:t>
      </w:r>
      <w:r w:rsidRPr="6BEC65BA">
        <w:rPr>
          <w:rFonts w:ascii="Times New Roman" w:hAnsi="Times New Roman"/>
          <w:sz w:val="24"/>
        </w:rPr>
        <w:t>accept service of legal process for records regarding each such account.</w:t>
      </w:r>
    </w:p>
    <w:p w:rsidR="00F91F1A" w:rsidRPr="00FF1ABD" w:rsidP="00505D8C" w14:paraId="0A32AA37" w14:textId="77777777">
      <w:pPr>
        <w:shd w:val="clear" w:color="auto" w:fill="FFFFFF" w:themeFill="background1"/>
        <w:ind w:firstLine="720"/>
        <w:rPr>
          <w:rFonts w:ascii="Times New Roman" w:hAnsi="Times New Roman"/>
          <w:sz w:val="24"/>
        </w:rPr>
      </w:pPr>
    </w:p>
    <w:p w:rsidR="003B48BD" w:rsidRPr="00E15F50" w:rsidP="00505D8C" w14:paraId="634CEE09" w14:textId="0FFC05CB">
      <w:pPr>
        <w:shd w:val="clear" w:color="auto" w:fill="FFFFFF" w:themeFill="background1"/>
        <w:ind w:firstLine="720"/>
        <w:rPr>
          <w:rFonts w:ascii="Times New Roman" w:hAnsi="Times New Roman"/>
          <w:sz w:val="24"/>
        </w:rPr>
      </w:pPr>
      <w:r w:rsidRPr="6AB3309C">
        <w:rPr>
          <w:rStyle w:val="Emphasis"/>
          <w:rFonts w:ascii="Times New Roman" w:hAnsi="Times New Roman"/>
          <w:i w:val="0"/>
          <w:iCs w:val="0"/>
          <w:sz w:val="24"/>
        </w:rPr>
        <w:t xml:space="preserve">31 CFR 1010.630(b) states that </w:t>
      </w:r>
      <w:r w:rsidRPr="00E15F50">
        <w:rPr>
          <w:rStyle w:val="Emphasis"/>
          <w:rFonts w:ascii="Times New Roman" w:hAnsi="Times New Roman"/>
          <w:i w:val="0"/>
          <w:iCs w:val="0"/>
          <w:sz w:val="24"/>
        </w:rPr>
        <w:t>a covered financial institution will be deemed to be in compliance with the requirements of 31 CFR 1010.630(a) with respect to a foreign bank if the covered financial institution obtains,</w:t>
      </w:r>
      <w:r w:rsidRPr="6BEC65BA">
        <w:rPr>
          <w:rFonts w:ascii="Times New Roman" w:hAnsi="Times New Roman"/>
          <w:sz w:val="24"/>
        </w:rPr>
        <w:t xml:space="preserve"> at least once every three years, a certification or recertification from the foreign bank.</w:t>
      </w:r>
      <w:r w:rsidRPr="00E15F50">
        <w:rPr>
          <w:rFonts w:ascii="Times New Roman" w:hAnsi="Times New Roman"/>
          <w:sz w:val="24"/>
        </w:rPr>
        <w:t xml:space="preserve">  FinCEN has developed an optional form</w:t>
      </w:r>
      <w:r>
        <w:rPr>
          <w:rStyle w:val="FootnoteReference"/>
          <w:rFonts w:ascii="Times New Roman" w:hAnsi="Times New Roman"/>
          <w:sz w:val="24"/>
          <w:vertAlign w:val="superscript"/>
        </w:rPr>
        <w:footnoteReference w:id="18"/>
      </w:r>
      <w:r w:rsidRPr="00E15F50">
        <w:rPr>
          <w:rFonts w:ascii="Times New Roman" w:hAnsi="Times New Roman"/>
          <w:sz w:val="24"/>
          <w:vertAlign w:val="superscript"/>
        </w:rPr>
        <w:t xml:space="preserve"> </w:t>
      </w:r>
      <w:r w:rsidRPr="00E15F50">
        <w:rPr>
          <w:rFonts w:ascii="Times New Roman" w:hAnsi="Times New Roman"/>
          <w:sz w:val="24"/>
        </w:rPr>
        <w:t>that</w:t>
      </w:r>
      <w:r w:rsidRPr="6AB3309C" w:rsidR="36096326">
        <w:rPr>
          <w:rFonts w:ascii="Times New Roman" w:hAnsi="Times New Roman"/>
          <w:sz w:val="24"/>
        </w:rPr>
        <w:t xml:space="preserve"> </w:t>
      </w:r>
      <w:r w:rsidRPr="6AB3309C" w:rsidR="14008745">
        <w:rPr>
          <w:rFonts w:ascii="Times New Roman" w:hAnsi="Times New Roman"/>
          <w:sz w:val="24"/>
        </w:rPr>
        <w:t>c</w:t>
      </w:r>
      <w:r w:rsidRPr="6AB3309C">
        <w:rPr>
          <w:rFonts w:ascii="Times New Roman" w:hAnsi="Times New Roman"/>
          <w:sz w:val="24"/>
        </w:rPr>
        <w:t>overed</w:t>
      </w:r>
      <w:r w:rsidRPr="00E15F50">
        <w:rPr>
          <w:rFonts w:ascii="Times New Roman" w:hAnsi="Times New Roman"/>
          <w:sz w:val="24"/>
        </w:rPr>
        <w:t xml:space="preserve"> financial institutions may use </w:t>
      </w:r>
      <w:r w:rsidRPr="6AB3309C" w:rsidR="57307FAC">
        <w:rPr>
          <w:rFonts w:ascii="Times New Roman" w:hAnsi="Times New Roman"/>
          <w:sz w:val="24"/>
        </w:rPr>
        <w:t xml:space="preserve">in </w:t>
      </w:r>
      <w:r w:rsidRPr="6AB3309C">
        <w:rPr>
          <w:rFonts w:ascii="Times New Roman" w:hAnsi="Times New Roman"/>
          <w:sz w:val="24"/>
        </w:rPr>
        <w:t>obtain</w:t>
      </w:r>
      <w:r w:rsidRPr="6AB3309C" w:rsidR="2EB66675">
        <w:rPr>
          <w:rFonts w:ascii="Times New Roman" w:hAnsi="Times New Roman"/>
          <w:sz w:val="24"/>
        </w:rPr>
        <w:t>ing</w:t>
      </w:r>
      <w:r w:rsidRPr="00E15F50">
        <w:rPr>
          <w:rFonts w:ascii="Times New Roman" w:hAnsi="Times New Roman"/>
          <w:sz w:val="24"/>
        </w:rPr>
        <w:t xml:space="preserve"> the certification </w:t>
      </w:r>
      <w:r w:rsidRPr="6AB3309C" w:rsidR="28976FF5">
        <w:rPr>
          <w:rFonts w:ascii="Times New Roman" w:hAnsi="Times New Roman"/>
          <w:sz w:val="24"/>
        </w:rPr>
        <w:t>or</w:t>
      </w:r>
      <w:r w:rsidRPr="00E15F50">
        <w:rPr>
          <w:rFonts w:ascii="Times New Roman" w:hAnsi="Times New Roman"/>
          <w:sz w:val="24"/>
        </w:rPr>
        <w:t xml:space="preserve"> recertification.  </w:t>
      </w:r>
    </w:p>
    <w:p w:rsidR="000C6DAD" w:rsidRPr="00E15F50" w:rsidP="00505D8C" w14:paraId="195C39DF" w14:textId="77777777">
      <w:pPr>
        <w:shd w:val="clear" w:color="auto" w:fill="FFFFFF" w:themeFill="background1"/>
        <w:ind w:firstLine="720"/>
        <w:rPr>
          <w:rStyle w:val="Hyperlink"/>
          <w:rFonts w:ascii="Times New Roman" w:hAnsi="Times New Roman"/>
          <w:color w:val="auto"/>
          <w:sz w:val="24"/>
          <w:u w:val="none"/>
        </w:rPr>
      </w:pPr>
    </w:p>
    <w:p w:rsidR="003B48BD" w:rsidRPr="00E15F50" w:rsidP="00505D8C" w14:paraId="1954B0FB" w14:textId="25E40789">
      <w:pPr>
        <w:shd w:val="clear" w:color="auto" w:fill="FFFFFF" w:themeFill="background1"/>
        <w:ind w:firstLine="720"/>
        <w:rPr>
          <w:rFonts w:ascii="Times New Roman" w:hAnsi="Times New Roman"/>
          <w:sz w:val="24"/>
        </w:rPr>
      </w:pPr>
      <w:r w:rsidRPr="00E15F50">
        <w:rPr>
          <w:rStyle w:val="Hyperlink"/>
          <w:rFonts w:ascii="Times New Roman" w:hAnsi="Times New Roman"/>
          <w:color w:val="auto"/>
          <w:sz w:val="24"/>
          <w:u w:val="none"/>
        </w:rPr>
        <w:t xml:space="preserve">31 CFR 1010.630(c) requires a </w:t>
      </w:r>
      <w:r w:rsidRPr="00E15F50">
        <w:rPr>
          <w:rFonts w:ascii="Times New Roman" w:hAnsi="Times New Roman"/>
          <w:sz w:val="24"/>
        </w:rPr>
        <w:t>covered financial institution to request that a foreign bank verify or correct the information</w:t>
      </w:r>
      <w:r w:rsidRPr="00E15F50">
        <w:rPr>
          <w:rStyle w:val="Hyperlink"/>
          <w:rFonts w:ascii="Times New Roman" w:hAnsi="Times New Roman"/>
          <w:color w:val="auto"/>
          <w:sz w:val="24"/>
          <w:u w:val="none"/>
        </w:rPr>
        <w:t xml:space="preserve"> </w:t>
      </w:r>
      <w:r w:rsidRPr="00E15F50">
        <w:rPr>
          <w:rFonts w:ascii="Times New Roman" w:hAnsi="Times New Roman"/>
          <w:sz w:val="24"/>
        </w:rPr>
        <w:t xml:space="preserve">provided in such foreign bank’s certification or recertification, if the covered financial institution knows, suspects, or has reason to suspect that such information is incorrect or no longer accurate.  </w:t>
      </w:r>
      <w:r w:rsidR="009F0AF1">
        <w:rPr>
          <w:rFonts w:ascii="Times New Roman" w:hAnsi="Times New Roman"/>
          <w:sz w:val="24"/>
        </w:rPr>
        <w:t>T</w:t>
      </w:r>
      <w:r w:rsidRPr="00E15F50">
        <w:rPr>
          <w:rFonts w:ascii="Times New Roman" w:hAnsi="Times New Roman"/>
          <w:sz w:val="24"/>
        </w:rPr>
        <w:t xml:space="preserve">he covered financial institution may take other appropriate measures to ascertain the accuracy of the information or obtain the correct information. </w:t>
      </w:r>
    </w:p>
    <w:p w:rsidR="000C6DAD" w:rsidRPr="00E15F50" w:rsidP="00505D8C" w14:paraId="5B450366" w14:textId="77777777">
      <w:pPr>
        <w:shd w:val="clear" w:color="auto" w:fill="FFFFFF" w:themeFill="background1"/>
        <w:ind w:firstLine="720"/>
        <w:rPr>
          <w:rFonts w:ascii="Times New Roman" w:hAnsi="Times New Roman"/>
          <w:sz w:val="24"/>
        </w:rPr>
      </w:pPr>
    </w:p>
    <w:p w:rsidR="003B48BD" w:rsidRPr="00FF1ABD" w:rsidP="00505D8C" w14:paraId="61163B43" w14:textId="4E382117">
      <w:pPr>
        <w:shd w:val="clear" w:color="auto" w:fill="FFFFFF" w:themeFill="background1"/>
        <w:ind w:firstLine="720"/>
        <w:rPr>
          <w:rFonts w:ascii="Times New Roman" w:hAnsi="Times New Roman"/>
          <w:sz w:val="24"/>
        </w:rPr>
      </w:pPr>
      <w:r w:rsidRPr="00E15F50">
        <w:rPr>
          <w:rFonts w:ascii="Times New Roman" w:hAnsi="Times New Roman"/>
          <w:sz w:val="24"/>
        </w:rPr>
        <w:t xml:space="preserve">If a covered financial institution has not obtained a certification </w:t>
      </w:r>
      <w:r w:rsidRPr="6AB3309C" w:rsidR="34382733">
        <w:rPr>
          <w:rFonts w:ascii="Times New Roman" w:hAnsi="Times New Roman"/>
          <w:sz w:val="24"/>
        </w:rPr>
        <w:t>or</w:t>
      </w:r>
      <w:r w:rsidRPr="6AB3309C">
        <w:rPr>
          <w:rFonts w:ascii="Times New Roman" w:hAnsi="Times New Roman"/>
          <w:sz w:val="24"/>
        </w:rPr>
        <w:t xml:space="preserve"> recertification, or</w:t>
      </w:r>
      <w:r w:rsidRPr="6AB3309C" w:rsidR="141E0EA5">
        <w:rPr>
          <w:rFonts w:ascii="Times New Roman" w:hAnsi="Times New Roman"/>
          <w:sz w:val="24"/>
        </w:rPr>
        <w:t xml:space="preserve"> otherwise obtained documentation of</w:t>
      </w:r>
      <w:r w:rsidRPr="00E15F50">
        <w:rPr>
          <w:rFonts w:ascii="Times New Roman" w:hAnsi="Times New Roman"/>
          <w:sz w:val="24"/>
        </w:rPr>
        <w:t xml:space="preserve"> information needed for a certification or recertification within 30 calendar days after the date the account is established, and at least once every three years thereafter, the covered financial institution must close all such foreign bank’s correspondent accounts within a commercially reasonable time, and </w:t>
      </w:r>
      <w:r w:rsidRPr="6BEC65BA">
        <w:rPr>
          <w:rStyle w:val="Emphasis"/>
          <w:rFonts w:ascii="Times New Roman" w:hAnsi="Times New Roman"/>
          <w:i w:val="0"/>
          <w:iCs w:val="0"/>
          <w:sz w:val="24"/>
        </w:rPr>
        <w:t>must restrict the foreign bank’s ability to</w:t>
      </w:r>
      <w:r w:rsidRPr="6BEC65BA" w:rsidR="4F484E0B">
        <w:rPr>
          <w:rStyle w:val="Emphasis"/>
          <w:rFonts w:ascii="Times New Roman" w:hAnsi="Times New Roman"/>
          <w:i w:val="0"/>
          <w:iCs w:val="0"/>
          <w:sz w:val="24"/>
        </w:rPr>
        <w:t xml:space="preserve"> establish any new position or</w:t>
      </w:r>
      <w:r w:rsidRPr="6BEC65BA">
        <w:rPr>
          <w:rStyle w:val="Emphasis"/>
          <w:rFonts w:ascii="Times New Roman" w:hAnsi="Times New Roman"/>
          <w:i w:val="0"/>
          <w:iCs w:val="0"/>
          <w:sz w:val="24"/>
        </w:rPr>
        <w:t xml:space="preserve"> execute any new transactions </w:t>
      </w:r>
      <w:r w:rsidRPr="6BEC65BA" w:rsidR="2A393417">
        <w:rPr>
          <w:rStyle w:val="Emphasis"/>
          <w:rFonts w:ascii="Times New Roman" w:hAnsi="Times New Roman"/>
          <w:i w:val="0"/>
          <w:iCs w:val="0"/>
          <w:sz w:val="24"/>
        </w:rPr>
        <w:t xml:space="preserve">through </w:t>
      </w:r>
      <w:r w:rsidRPr="6BEC65BA" w:rsidR="39E489D1">
        <w:rPr>
          <w:rStyle w:val="Emphasis"/>
          <w:rFonts w:ascii="Times New Roman" w:hAnsi="Times New Roman"/>
          <w:i w:val="0"/>
          <w:iCs w:val="0"/>
          <w:sz w:val="24"/>
        </w:rPr>
        <w:t xml:space="preserve">any such account </w:t>
      </w:r>
      <w:r w:rsidRPr="6BEC65BA">
        <w:rPr>
          <w:rStyle w:val="Emphasis"/>
          <w:rFonts w:ascii="Times New Roman" w:hAnsi="Times New Roman"/>
          <w:i w:val="0"/>
          <w:iCs w:val="0"/>
          <w:sz w:val="24"/>
        </w:rPr>
        <w:t>other than those</w:t>
      </w:r>
      <w:r w:rsidRPr="6BEC65BA" w:rsidR="17534D37">
        <w:rPr>
          <w:rStyle w:val="Emphasis"/>
          <w:rFonts w:ascii="Times New Roman" w:hAnsi="Times New Roman"/>
          <w:i w:val="0"/>
          <w:iCs w:val="0"/>
          <w:sz w:val="24"/>
        </w:rPr>
        <w:t xml:space="preserve"> transactions</w:t>
      </w:r>
      <w:r w:rsidRPr="6BEC65BA">
        <w:rPr>
          <w:rStyle w:val="Emphasis"/>
          <w:rFonts w:ascii="Times New Roman" w:hAnsi="Times New Roman"/>
          <w:i w:val="0"/>
          <w:iCs w:val="0"/>
          <w:sz w:val="24"/>
        </w:rPr>
        <w:t xml:space="preserve"> necessary to close the account</w:t>
      </w:r>
      <w:r w:rsidRPr="00E15F50">
        <w:rPr>
          <w:rFonts w:ascii="Times New Roman" w:hAnsi="Times New Roman"/>
          <w:sz w:val="24"/>
        </w:rPr>
        <w:t>.</w:t>
      </w:r>
      <w:r>
        <w:rPr>
          <w:rStyle w:val="FootnoteReference"/>
          <w:rFonts w:ascii="Times New Roman" w:hAnsi="Times New Roman"/>
          <w:sz w:val="24"/>
          <w:vertAlign w:val="superscript"/>
        </w:rPr>
        <w:footnoteReference w:id="19"/>
      </w:r>
      <w:r w:rsidRPr="00E15F50">
        <w:rPr>
          <w:rFonts w:ascii="Times New Roman" w:hAnsi="Times New Roman"/>
          <w:sz w:val="24"/>
          <w:vertAlign w:val="superscript"/>
        </w:rPr>
        <w:t xml:space="preserve"> </w:t>
      </w:r>
      <w:r w:rsidRPr="00E15F50">
        <w:rPr>
          <w:rFonts w:ascii="Times New Roman" w:hAnsi="Times New Roman"/>
          <w:sz w:val="24"/>
        </w:rPr>
        <w:t xml:space="preserve"> </w:t>
      </w:r>
      <w:r w:rsidRPr="6AB3309C" w:rsidR="7C53C365">
        <w:rPr>
          <w:rFonts w:ascii="Times New Roman" w:hAnsi="Times New Roman"/>
          <w:sz w:val="24"/>
        </w:rPr>
        <w:t>I</w:t>
      </w:r>
      <w:r w:rsidRPr="6AB3309C">
        <w:rPr>
          <w:rFonts w:ascii="Times New Roman" w:hAnsi="Times New Roman"/>
          <w:sz w:val="24"/>
        </w:rPr>
        <w:t>f</w:t>
      </w:r>
      <w:r w:rsidRPr="00E15F50">
        <w:rPr>
          <w:rFonts w:ascii="Times New Roman" w:hAnsi="Times New Roman"/>
          <w:sz w:val="24"/>
        </w:rPr>
        <w:t xml:space="preserve"> a covered financial institution conducting an interim verification pursuant to 31 CFR 1010.630(c), has not obtained </w:t>
      </w:r>
      <w:r w:rsidRPr="6BEC65BA">
        <w:rPr>
          <w:rFonts w:ascii="Times New Roman" w:hAnsi="Times New Roman"/>
          <w:sz w:val="24"/>
        </w:rPr>
        <w:t>verification of the information or corrected information within 90 calendar days after the date of undertaking the interim verification, the covered financial institution must follow the same account closure procedures set out above.</w:t>
      </w:r>
      <w:r>
        <w:rPr>
          <w:rStyle w:val="FootnoteReference"/>
          <w:rFonts w:ascii="Times New Roman" w:hAnsi="Times New Roman"/>
          <w:sz w:val="24"/>
          <w:vertAlign w:val="superscript"/>
        </w:rPr>
        <w:footnoteReference w:id="20"/>
      </w:r>
      <w:r w:rsidRPr="6BEC65BA">
        <w:rPr>
          <w:rFonts w:ascii="Times New Roman" w:hAnsi="Times New Roman"/>
          <w:sz w:val="24"/>
          <w:vertAlign w:val="superscript"/>
        </w:rPr>
        <w:t xml:space="preserve"> </w:t>
      </w:r>
    </w:p>
    <w:p w:rsidR="000C6DAD" w:rsidRPr="00FF1ABD" w:rsidP="00505D8C" w14:paraId="7B9A8633" w14:textId="77777777">
      <w:pPr>
        <w:shd w:val="clear" w:color="auto" w:fill="FFFFFF" w:themeFill="background1"/>
        <w:ind w:firstLine="720"/>
        <w:rPr>
          <w:rFonts w:ascii="Times New Roman" w:hAnsi="Times New Roman"/>
          <w:sz w:val="24"/>
        </w:rPr>
      </w:pPr>
    </w:p>
    <w:p w:rsidR="003B48BD" w:rsidRPr="00E15F50" w:rsidP="00505D8C" w14:paraId="2CEC6E61" w14:textId="1EE99B06">
      <w:pPr>
        <w:shd w:val="clear" w:color="auto" w:fill="FFFFFF" w:themeFill="background1"/>
        <w:ind w:firstLine="720"/>
        <w:rPr>
          <w:rFonts w:ascii="Times New Roman" w:hAnsi="Times New Roman"/>
          <w:sz w:val="24"/>
        </w:rPr>
      </w:pPr>
      <w:hyperlink r:id="rId10" w:anchor="p-1010.630(d)(4)">
        <w:r w:rsidRPr="00E15F50">
          <w:rPr>
            <w:rStyle w:val="Hyperlink"/>
            <w:rFonts w:ascii="Times New Roman" w:hAnsi="Times New Roman"/>
            <w:color w:val="auto"/>
            <w:sz w:val="24"/>
            <w:u w:val="none"/>
          </w:rPr>
          <w:t>31 CFR 1010.630(d)(4)</w:t>
        </w:r>
      </w:hyperlink>
      <w:r w:rsidRPr="00E15F50">
        <w:rPr>
          <w:rStyle w:val="Hyperlink"/>
          <w:rFonts w:ascii="Times New Roman" w:hAnsi="Times New Roman"/>
          <w:color w:val="auto"/>
          <w:sz w:val="24"/>
          <w:u w:val="none"/>
        </w:rPr>
        <w:t xml:space="preserve"> prohibits </w:t>
      </w:r>
      <w:r w:rsidRPr="00E15F50">
        <w:rPr>
          <w:rFonts w:ascii="Times New Roman" w:hAnsi="Times New Roman"/>
          <w:sz w:val="24"/>
        </w:rPr>
        <w:t xml:space="preserve">covered financial institutions from re-establishing any account closed pursuant to 31 CFR 1010.630(d) </w:t>
      </w:r>
      <w:r w:rsidR="00CA4F99">
        <w:rPr>
          <w:rFonts w:ascii="Times New Roman" w:hAnsi="Times New Roman"/>
          <w:sz w:val="24"/>
        </w:rPr>
        <w:t>or</w:t>
      </w:r>
      <w:r w:rsidRPr="00E15F50">
        <w:rPr>
          <w:rFonts w:ascii="Times New Roman" w:hAnsi="Times New Roman"/>
          <w:sz w:val="24"/>
        </w:rPr>
        <w:t xml:space="preserve"> establishing any other correspondent account with the foreign bank whose account was closed, unless the foreign bank provides the appropriate certification or recertification.  </w:t>
      </w:r>
    </w:p>
    <w:p w:rsidR="000C6DAD" w:rsidRPr="00FF1ABD" w:rsidP="00505D8C" w14:paraId="1AB24AB5" w14:textId="77777777">
      <w:pPr>
        <w:shd w:val="clear" w:color="auto" w:fill="FFFFFF" w:themeFill="background1"/>
        <w:ind w:firstLine="720"/>
        <w:rPr>
          <w:rFonts w:ascii="Times New Roman" w:hAnsi="Times New Roman"/>
          <w:sz w:val="24"/>
        </w:rPr>
      </w:pPr>
    </w:p>
    <w:p w:rsidR="003B48BD" w:rsidRPr="00E15F50" w:rsidP="00505D8C" w14:paraId="05534E71" w14:textId="721B41A5">
      <w:pPr>
        <w:shd w:val="clear" w:color="auto" w:fill="FFFFFF" w:themeFill="background1"/>
        <w:ind w:firstLine="720"/>
        <w:rPr>
          <w:rFonts w:ascii="Times New Roman" w:hAnsi="Times New Roman"/>
          <w:sz w:val="24"/>
        </w:rPr>
      </w:pPr>
      <w:hyperlink r:id="rId10" w:anchor="p-1010.630(d)(5)">
        <w:r w:rsidRPr="00E15F50">
          <w:rPr>
            <w:rStyle w:val="Hyperlink"/>
            <w:rFonts w:ascii="Times New Roman" w:hAnsi="Times New Roman"/>
            <w:color w:val="auto"/>
            <w:sz w:val="24"/>
            <w:u w:val="none"/>
          </w:rPr>
          <w:t>31 CFR 1010.630(d)(5)</w:t>
        </w:r>
      </w:hyperlink>
      <w:r w:rsidRPr="00E15F50">
        <w:rPr>
          <w:rFonts w:ascii="Times New Roman" w:hAnsi="Times New Roman"/>
          <w:sz w:val="24"/>
        </w:rPr>
        <w:t xml:space="preserve"> states that a covered financial institution will not be held liable to any person in any court or arbitration proceeding for terminating a correspondent account in accordance with 31 CFR 1010.630(d). </w:t>
      </w:r>
    </w:p>
    <w:p w:rsidR="000C6DAD" w:rsidRPr="00FF1ABD" w:rsidP="00505D8C" w14:paraId="32267FF2" w14:textId="77777777">
      <w:pPr>
        <w:shd w:val="clear" w:color="auto" w:fill="FFFFFF" w:themeFill="background1"/>
        <w:ind w:firstLine="720"/>
        <w:rPr>
          <w:rFonts w:ascii="Times New Roman" w:hAnsi="Times New Roman"/>
          <w:sz w:val="24"/>
        </w:rPr>
      </w:pPr>
    </w:p>
    <w:p w:rsidR="003B48BD" w:rsidRPr="00E15F50" w:rsidP="00505D8C" w14:paraId="19E2D589" w14:textId="5A9584CC">
      <w:pPr>
        <w:shd w:val="clear" w:color="auto" w:fill="FFFFFF" w:themeFill="background1"/>
        <w:ind w:firstLine="720"/>
        <w:rPr>
          <w:rFonts w:ascii="Times New Roman" w:hAnsi="Times New Roman"/>
          <w:sz w:val="24"/>
        </w:rPr>
      </w:pPr>
      <w:hyperlink r:id="rId10" w:anchor="p-1010.630(e)">
        <w:r w:rsidRPr="00E15F50">
          <w:rPr>
            <w:rStyle w:val="Hyperlink"/>
            <w:rFonts w:ascii="Times New Roman" w:hAnsi="Times New Roman"/>
            <w:color w:val="auto"/>
            <w:sz w:val="24"/>
            <w:u w:val="none"/>
          </w:rPr>
          <w:t>31 CFR 1010.630(e)</w:t>
        </w:r>
      </w:hyperlink>
      <w:r w:rsidRPr="00E15F50">
        <w:rPr>
          <w:rStyle w:val="Hyperlink"/>
          <w:rFonts w:ascii="Times New Roman" w:hAnsi="Times New Roman"/>
          <w:color w:val="auto"/>
          <w:sz w:val="24"/>
          <w:u w:val="none"/>
        </w:rPr>
        <w:t xml:space="preserve"> requires</w:t>
      </w:r>
      <w:r w:rsidRPr="00E15F50">
        <w:rPr>
          <w:rFonts w:ascii="Times New Roman" w:hAnsi="Times New Roman"/>
          <w:sz w:val="24"/>
        </w:rPr>
        <w:t xml:space="preserve"> covered financial institutions to retain any original </w:t>
      </w:r>
      <w:r w:rsidRPr="00E15F50">
        <w:rPr>
          <w:rFonts w:ascii="Times New Roman" w:hAnsi="Times New Roman"/>
          <w:sz w:val="24"/>
        </w:rPr>
        <w:t>document provided by a foreign bank</w:t>
      </w:r>
      <w:r w:rsidRPr="00E15F50">
        <w:rPr>
          <w:rStyle w:val="Emphasis"/>
          <w:rFonts w:ascii="Times New Roman" w:hAnsi="Times New Roman"/>
          <w:i w:val="0"/>
          <w:iCs w:val="0"/>
          <w:sz w:val="24"/>
        </w:rPr>
        <w:t>, and the original or a copy of any document otherwise relied upon</w:t>
      </w:r>
      <w:r w:rsidRPr="00E15F50">
        <w:rPr>
          <w:rStyle w:val="Emphasis"/>
          <w:rFonts w:ascii="Times New Roman" w:hAnsi="Times New Roman"/>
          <w:sz w:val="24"/>
        </w:rPr>
        <w:t xml:space="preserve"> </w:t>
      </w:r>
      <w:r w:rsidRPr="6BEC65BA">
        <w:rPr>
          <w:rFonts w:ascii="Times New Roman" w:hAnsi="Times New Roman"/>
          <w:sz w:val="24"/>
        </w:rPr>
        <w:t xml:space="preserve">by </w:t>
      </w:r>
      <w:r w:rsidRPr="6AB3309C" w:rsidR="0B486C8D">
        <w:rPr>
          <w:rFonts w:ascii="Times New Roman" w:hAnsi="Times New Roman"/>
          <w:sz w:val="24"/>
        </w:rPr>
        <w:t>the</w:t>
      </w:r>
      <w:r w:rsidR="002C21A4">
        <w:rPr>
          <w:rFonts w:ascii="Times New Roman" w:hAnsi="Times New Roman"/>
          <w:sz w:val="24"/>
        </w:rPr>
        <w:t xml:space="preserve"> </w:t>
      </w:r>
      <w:r w:rsidRPr="6AB3309C">
        <w:rPr>
          <w:rFonts w:ascii="Times New Roman" w:hAnsi="Times New Roman"/>
          <w:sz w:val="24"/>
        </w:rPr>
        <w:t>covered</w:t>
      </w:r>
      <w:r w:rsidRPr="6BEC65BA">
        <w:rPr>
          <w:rFonts w:ascii="Times New Roman" w:hAnsi="Times New Roman"/>
          <w:sz w:val="24"/>
        </w:rPr>
        <w:t xml:space="preserve"> financial institution</w:t>
      </w:r>
      <w:r w:rsidR="00CA4F99">
        <w:rPr>
          <w:rFonts w:ascii="Times New Roman" w:hAnsi="Times New Roman"/>
          <w:sz w:val="24"/>
        </w:rPr>
        <w:t>,</w:t>
      </w:r>
      <w:r w:rsidRPr="6BEC65BA">
        <w:rPr>
          <w:rFonts w:ascii="Times New Roman" w:hAnsi="Times New Roman"/>
          <w:sz w:val="24"/>
        </w:rPr>
        <w:t xml:space="preserve"> for purposes of complying with 31 CFR 1010.630, for at least five years after the date that a covered financial institution no longer maintains any correspondent account for such foreign bank</w:t>
      </w:r>
      <w:r w:rsidRPr="6AB3309C" w:rsidR="1467BBA3">
        <w:rPr>
          <w:rFonts w:ascii="Times New Roman" w:hAnsi="Times New Roman"/>
          <w:sz w:val="24"/>
        </w:rPr>
        <w:t>, or longer if directed by the Secretary</w:t>
      </w:r>
      <w:r w:rsidRPr="6BEC65BA">
        <w:rPr>
          <w:rFonts w:ascii="Times New Roman" w:hAnsi="Times New Roman"/>
          <w:sz w:val="24"/>
        </w:rPr>
        <w:t>.</w:t>
      </w:r>
    </w:p>
    <w:p w:rsidR="00374CD1" w:rsidP="6BEC65BA" w14:paraId="241C5557" w14:textId="77777777">
      <w:pPr>
        <w:rPr>
          <w:rFonts w:ascii="Times New Roman" w:hAnsi="Times New Roman"/>
          <w:sz w:val="24"/>
        </w:rPr>
      </w:pPr>
    </w:p>
    <w:p w:rsidR="00741D4C" w:rsidP="6BEC65BA" w14:paraId="6E02B4A2" w14:textId="77777777">
      <w:pPr>
        <w:ind w:left="360"/>
        <w:rPr>
          <w:rFonts w:ascii="Times New Roman" w:hAnsi="Times New Roman"/>
          <w:sz w:val="24"/>
        </w:rPr>
      </w:pPr>
      <w:r w:rsidRPr="6BEC65BA">
        <w:rPr>
          <w:rFonts w:ascii="Times New Roman" w:hAnsi="Times New Roman"/>
          <w:sz w:val="24"/>
        </w:rPr>
        <w:t xml:space="preserve">2.  </w:t>
      </w:r>
      <w:r w:rsidRPr="6BEC65BA" w:rsidR="006B2873">
        <w:rPr>
          <w:rFonts w:ascii="Times New Roman" w:hAnsi="Times New Roman"/>
          <w:sz w:val="24"/>
          <w:u w:val="single"/>
        </w:rPr>
        <w:t xml:space="preserve">Method </w:t>
      </w:r>
      <w:r w:rsidRPr="6BEC65BA" w:rsidR="000134E6">
        <w:rPr>
          <w:rFonts w:ascii="Times New Roman" w:hAnsi="Times New Roman"/>
          <w:sz w:val="24"/>
          <w:u w:val="single"/>
        </w:rPr>
        <w:t>of collection and use of data</w:t>
      </w:r>
      <w:r w:rsidRPr="6BEC65BA" w:rsidR="008C19A7">
        <w:rPr>
          <w:rFonts w:ascii="Times New Roman" w:hAnsi="Times New Roman"/>
          <w:sz w:val="24"/>
          <w:u w:val="single"/>
        </w:rPr>
        <w:t>.</w:t>
      </w:r>
      <w:r w:rsidRPr="6BEC65BA" w:rsidR="000134E6">
        <w:rPr>
          <w:rFonts w:ascii="Times New Roman" w:hAnsi="Times New Roman"/>
          <w:sz w:val="24"/>
        </w:rPr>
        <w:t xml:space="preserve">  </w:t>
      </w:r>
    </w:p>
    <w:p w:rsidR="00A27C93" w:rsidP="6BEC65BA" w14:paraId="78D8965F" w14:textId="77777777">
      <w:pPr>
        <w:ind w:firstLine="720"/>
        <w:rPr>
          <w:rFonts w:ascii="Times New Roman" w:hAnsi="Times New Roman"/>
          <w:sz w:val="24"/>
        </w:rPr>
      </w:pPr>
    </w:p>
    <w:p w:rsidR="00A27C93" w:rsidP="6BEC65BA" w14:paraId="2FC6E6FD" w14:textId="12BE9CE9">
      <w:pPr>
        <w:ind w:firstLine="720"/>
        <w:rPr>
          <w:rFonts w:ascii="Times New Roman" w:hAnsi="Times New Roman"/>
          <w:sz w:val="24"/>
        </w:rPr>
      </w:pPr>
      <w:r w:rsidRPr="6BEC65BA">
        <w:rPr>
          <w:rFonts w:ascii="Times New Roman" w:hAnsi="Times New Roman"/>
          <w:sz w:val="24"/>
        </w:rPr>
        <w:t>The</w:t>
      </w:r>
      <w:r w:rsidRPr="6BEC65BA">
        <w:rPr>
          <w:rFonts w:ascii="Times New Roman" w:hAnsi="Times New Roman"/>
          <w:sz w:val="24"/>
        </w:rPr>
        <w:t xml:space="preserve"> </w:t>
      </w:r>
      <w:r w:rsidRPr="6BEC65BA">
        <w:rPr>
          <w:rFonts w:ascii="Times New Roman" w:hAnsi="Times New Roman"/>
          <w:sz w:val="24"/>
        </w:rPr>
        <w:t xml:space="preserve">information </w:t>
      </w:r>
      <w:r w:rsidR="00E02E1A">
        <w:rPr>
          <w:rFonts w:ascii="Times New Roman" w:hAnsi="Times New Roman"/>
          <w:sz w:val="24"/>
        </w:rPr>
        <w:t xml:space="preserve">collection requirements </w:t>
      </w:r>
      <w:r w:rsidRPr="6BEC65BA">
        <w:rPr>
          <w:rFonts w:ascii="Times New Roman" w:hAnsi="Times New Roman"/>
          <w:sz w:val="24"/>
        </w:rPr>
        <w:t xml:space="preserve">described above </w:t>
      </w:r>
      <w:r w:rsidR="00E02E1A">
        <w:rPr>
          <w:rFonts w:ascii="Times New Roman" w:hAnsi="Times New Roman"/>
          <w:sz w:val="24"/>
        </w:rPr>
        <w:t xml:space="preserve">are </w:t>
      </w:r>
      <w:r w:rsidRPr="6BEC65BA">
        <w:rPr>
          <w:rFonts w:ascii="Times New Roman" w:hAnsi="Times New Roman"/>
          <w:sz w:val="24"/>
        </w:rPr>
        <w:t xml:space="preserve">not reported to the Federal government. </w:t>
      </w:r>
      <w:r w:rsidR="00E02E1A">
        <w:rPr>
          <w:rFonts w:ascii="Times New Roman" w:hAnsi="Times New Roman"/>
          <w:sz w:val="24"/>
        </w:rPr>
        <w:t xml:space="preserve"> </w:t>
      </w:r>
      <w:r w:rsidRPr="6BEC65BA">
        <w:rPr>
          <w:rFonts w:ascii="Times New Roman" w:hAnsi="Times New Roman"/>
          <w:sz w:val="24"/>
        </w:rPr>
        <w:t xml:space="preserve">Instead, covered financial institutions are required to </w:t>
      </w:r>
      <w:r w:rsidRPr="6BEC65BA">
        <w:rPr>
          <w:rFonts w:ascii="Times New Roman" w:hAnsi="Times New Roman"/>
          <w:sz w:val="24"/>
        </w:rPr>
        <w:t>secure and maintain</w:t>
      </w:r>
      <w:r w:rsidRPr="009969C0">
        <w:rPr>
          <w:rFonts w:ascii="Times New Roman" w:hAnsi="Times New Roman"/>
          <w:sz w:val="24"/>
        </w:rPr>
        <w:t xml:space="preserve"> </w:t>
      </w:r>
      <w:r w:rsidRPr="009969C0" w:rsidR="006B3429">
        <w:rPr>
          <w:rFonts w:ascii="Times New Roman" w:hAnsi="Times New Roman"/>
          <w:sz w:val="24"/>
        </w:rPr>
        <w:t>the recor</w:t>
      </w:r>
      <w:r w:rsidRPr="009969C0" w:rsidR="002C76F0">
        <w:rPr>
          <w:rFonts w:ascii="Times New Roman" w:hAnsi="Times New Roman"/>
          <w:sz w:val="24"/>
        </w:rPr>
        <w:t xml:space="preserve">ds described above for a period of </w:t>
      </w:r>
      <w:r w:rsidRPr="009969C0" w:rsidR="00B648D9">
        <w:rPr>
          <w:rFonts w:ascii="Times New Roman" w:hAnsi="Times New Roman"/>
          <w:sz w:val="24"/>
        </w:rPr>
        <w:t xml:space="preserve">five years. </w:t>
      </w:r>
    </w:p>
    <w:p w:rsidR="00673C17" w:rsidRPr="00673C17" w:rsidP="6BEC65BA" w14:paraId="32E3F1E1" w14:textId="77777777">
      <w:pPr>
        <w:ind w:firstLine="720"/>
        <w:rPr>
          <w:rFonts w:ascii="Times New Roman" w:hAnsi="Times New Roman"/>
          <w:sz w:val="24"/>
        </w:rPr>
      </w:pPr>
    </w:p>
    <w:p w:rsidR="00673C17" w:rsidRPr="00E02E1A" w:rsidP="004003B5" w14:paraId="6F6CE5D9" w14:textId="62A90D4B">
      <w:pPr>
        <w:pStyle w:val="BodyText"/>
        <w:spacing w:after="120"/>
        <w:ind w:firstLine="720"/>
        <w:jc w:val="left"/>
      </w:pPr>
      <w:r w:rsidRPr="00E02E1A">
        <w:rPr>
          <w:u w:val="none"/>
        </w:rPr>
        <w:t>The recordkeeping requirements</w:t>
      </w:r>
      <w:r w:rsidRPr="00E02E1A" w:rsidR="00CA4F99">
        <w:rPr>
          <w:u w:val="none"/>
        </w:rPr>
        <w:t xml:space="preserve"> </w:t>
      </w:r>
      <w:r w:rsidRPr="00E02E1A" w:rsidR="00AC1748">
        <w:rPr>
          <w:u w:val="none"/>
        </w:rPr>
        <w:t xml:space="preserve">are intended </w:t>
      </w:r>
      <w:r w:rsidRPr="004003B5" w:rsidR="00AC1748">
        <w:rPr>
          <w:rFonts w:eastAsia="MS Mincho"/>
          <w:u w:val="none"/>
        </w:rPr>
        <w:t>to assist law enforcement in anti-money laundering, tax, and other financial investigations; advance counterterrorism, counter-proliferation, and broader national security and intelligence interests; improve financial institutions’ ability to assess and mitigate risk; help prevent evasion of financial sanctions; facilitate tax compliance; enhance the financial transparency; and advance U.S. compliance with international standards and information sharing commitments</w:t>
      </w:r>
      <w:r w:rsidRPr="00E02E1A">
        <w:rPr>
          <w:u w:val="none"/>
        </w:rPr>
        <w:t xml:space="preserve">.  These records </w:t>
      </w:r>
      <w:r w:rsidRPr="00E02E1A" w:rsidR="00CA4F99">
        <w:rPr>
          <w:u w:val="none"/>
        </w:rPr>
        <w:t xml:space="preserve">may </w:t>
      </w:r>
      <w:r w:rsidRPr="00E02E1A">
        <w:rPr>
          <w:u w:val="none"/>
        </w:rPr>
        <w:t>be reviewed by regulatory agencies during BSA examinations.</w:t>
      </w:r>
    </w:p>
    <w:p w:rsidR="00A27C93" w:rsidP="6BEC65BA" w14:paraId="7AF51F60" w14:textId="77777777">
      <w:pPr>
        <w:rPr>
          <w:rFonts w:ascii="Times New Roman" w:hAnsi="Times New Roman"/>
          <w:sz w:val="24"/>
        </w:rPr>
      </w:pPr>
    </w:p>
    <w:p w:rsidR="00565F27" w:rsidP="6BEC65BA" w14:paraId="28C19E70" w14:textId="77777777">
      <w:pPr>
        <w:rPr>
          <w:rFonts w:ascii="Times New Roman" w:hAnsi="Times New Roman"/>
          <w:sz w:val="24"/>
        </w:rPr>
      </w:pPr>
      <w:r w:rsidRPr="6BEC65BA">
        <w:rPr>
          <w:rFonts w:ascii="Times New Roman" w:hAnsi="Times New Roman"/>
          <w:sz w:val="24"/>
        </w:rPr>
        <w:t>3.</w:t>
      </w:r>
      <w:r w:rsidRPr="6BEC65BA" w:rsidR="009568C8">
        <w:rPr>
          <w:rFonts w:ascii="Times New Roman" w:hAnsi="Times New Roman"/>
          <w:sz w:val="24"/>
        </w:rPr>
        <w:t xml:space="preserve"> </w:t>
      </w:r>
      <w:r w:rsidRPr="6BEC65BA" w:rsidR="006B2873">
        <w:rPr>
          <w:rFonts w:ascii="Times New Roman" w:hAnsi="Times New Roman"/>
          <w:sz w:val="24"/>
          <w:u w:val="single"/>
        </w:rPr>
        <w:t>Use of improved information technology to reduce burden</w:t>
      </w:r>
      <w:r w:rsidRPr="6BEC65BA" w:rsidR="008C19A7">
        <w:rPr>
          <w:rFonts w:ascii="Times New Roman" w:hAnsi="Times New Roman"/>
          <w:sz w:val="24"/>
          <w:u w:val="single"/>
        </w:rPr>
        <w:t>.</w:t>
      </w:r>
      <w:r w:rsidRPr="6BEC65BA" w:rsidR="006B2873">
        <w:rPr>
          <w:rFonts w:ascii="Times New Roman" w:hAnsi="Times New Roman"/>
          <w:sz w:val="24"/>
        </w:rPr>
        <w:t xml:space="preserve">  </w:t>
      </w:r>
    </w:p>
    <w:p w:rsidR="00565F27" w:rsidP="6BEC65BA" w14:paraId="26E7EC35" w14:textId="77777777">
      <w:pPr>
        <w:ind w:left="360"/>
        <w:rPr>
          <w:rFonts w:ascii="Times New Roman" w:hAnsi="Times New Roman"/>
          <w:sz w:val="24"/>
        </w:rPr>
      </w:pPr>
    </w:p>
    <w:p w:rsidR="00374CD1" w:rsidP="009969C0" w14:paraId="2A5D659A" w14:textId="6BA9C073">
      <w:pPr>
        <w:rPr>
          <w:rFonts w:ascii="Times New Roman" w:hAnsi="Times New Roman"/>
          <w:sz w:val="24"/>
        </w:rPr>
      </w:pPr>
      <w:r>
        <w:rPr>
          <w:rFonts w:ascii="Times New Roman" w:hAnsi="Times New Roman"/>
          <w:sz w:val="24"/>
        </w:rPr>
        <w:tab/>
      </w:r>
      <w:r w:rsidRPr="6BEC65BA" w:rsidR="00741D4C">
        <w:rPr>
          <w:rFonts w:ascii="Times New Roman" w:hAnsi="Times New Roman"/>
          <w:sz w:val="24"/>
        </w:rPr>
        <w:t xml:space="preserve">Covered financial institutions are permitted to automate their systems to meet their requirements. </w:t>
      </w:r>
      <w:r w:rsidRPr="6BEC65BA" w:rsidR="00DC699E">
        <w:rPr>
          <w:rFonts w:ascii="Times New Roman" w:hAnsi="Times New Roman"/>
          <w:sz w:val="24"/>
        </w:rPr>
        <w:t xml:space="preserve"> </w:t>
      </w:r>
      <w:r w:rsidRPr="6BEC65BA" w:rsidR="00741D4C">
        <w:rPr>
          <w:rFonts w:ascii="Times New Roman" w:hAnsi="Times New Roman"/>
          <w:sz w:val="24"/>
        </w:rPr>
        <w:t xml:space="preserve">There is no specific government mandate to do so. </w:t>
      </w:r>
      <w:r w:rsidR="00303563">
        <w:rPr>
          <w:rFonts w:ascii="Times New Roman" w:hAnsi="Times New Roman"/>
          <w:sz w:val="24"/>
        </w:rPr>
        <w:t xml:space="preserve"> </w:t>
      </w:r>
      <w:r w:rsidRPr="6BEC65BA" w:rsidR="003B1F04">
        <w:rPr>
          <w:rFonts w:ascii="Times New Roman" w:hAnsi="Times New Roman"/>
          <w:sz w:val="24"/>
        </w:rPr>
        <w:t xml:space="preserve">Covered financial institutions </w:t>
      </w:r>
      <w:r w:rsidRPr="6BEC65BA" w:rsidR="00D3740F">
        <w:rPr>
          <w:rFonts w:ascii="Times New Roman" w:hAnsi="Times New Roman"/>
          <w:sz w:val="24"/>
        </w:rPr>
        <w:t>and foreign banks can utilize an electronic version of the option</w:t>
      </w:r>
      <w:r w:rsidRPr="6BEC65BA" w:rsidR="00D237AB">
        <w:rPr>
          <w:rFonts w:ascii="Times New Roman" w:hAnsi="Times New Roman"/>
          <w:sz w:val="24"/>
        </w:rPr>
        <w:t>al</w:t>
      </w:r>
      <w:r w:rsidRPr="6BEC65BA" w:rsidR="00D3740F">
        <w:rPr>
          <w:rFonts w:ascii="Times New Roman" w:hAnsi="Times New Roman"/>
          <w:sz w:val="24"/>
        </w:rPr>
        <w:t xml:space="preserve"> certification form </w:t>
      </w:r>
      <w:r w:rsidRPr="6BEC65BA" w:rsidR="00A52AEE">
        <w:rPr>
          <w:rFonts w:ascii="Times New Roman" w:hAnsi="Times New Roman"/>
          <w:sz w:val="24"/>
        </w:rPr>
        <w:t>to input, transmit, and store</w:t>
      </w:r>
      <w:r w:rsidRPr="6BEC65BA" w:rsidR="00712712">
        <w:rPr>
          <w:rFonts w:ascii="Times New Roman" w:hAnsi="Times New Roman"/>
          <w:sz w:val="24"/>
        </w:rPr>
        <w:t xml:space="preserve"> the information electronically.  </w:t>
      </w:r>
    </w:p>
    <w:p w:rsidR="00374CD1" w:rsidP="6BEC65BA" w14:paraId="5C0F8F33" w14:textId="77777777">
      <w:pPr>
        <w:rPr>
          <w:rFonts w:ascii="Times New Roman" w:hAnsi="Times New Roman"/>
          <w:sz w:val="24"/>
        </w:rPr>
      </w:pPr>
    </w:p>
    <w:p w:rsidR="00565F27" w:rsidP="6BEC65BA" w14:paraId="5BF57197" w14:textId="77777777">
      <w:pPr>
        <w:rPr>
          <w:rFonts w:ascii="Times New Roman" w:hAnsi="Times New Roman"/>
          <w:sz w:val="24"/>
        </w:rPr>
      </w:pPr>
      <w:r w:rsidRPr="6BEC65BA">
        <w:rPr>
          <w:rFonts w:ascii="Times New Roman" w:hAnsi="Times New Roman"/>
          <w:sz w:val="24"/>
        </w:rPr>
        <w:t xml:space="preserve">4. </w:t>
      </w:r>
      <w:r w:rsidRPr="6BEC65BA">
        <w:rPr>
          <w:rFonts w:ascii="Times New Roman" w:hAnsi="Times New Roman"/>
          <w:sz w:val="24"/>
          <w:u w:val="single"/>
        </w:rPr>
        <w:t xml:space="preserve">Efforts </w:t>
      </w:r>
      <w:r w:rsidRPr="6BEC65BA" w:rsidR="006B2873">
        <w:rPr>
          <w:rFonts w:ascii="Times New Roman" w:hAnsi="Times New Roman"/>
          <w:sz w:val="24"/>
          <w:u w:val="single"/>
        </w:rPr>
        <w:t>to identify duplication</w:t>
      </w:r>
      <w:r w:rsidRPr="6BEC65BA" w:rsidR="008C19A7">
        <w:rPr>
          <w:rFonts w:ascii="Times New Roman" w:hAnsi="Times New Roman"/>
          <w:sz w:val="24"/>
          <w:u w:val="single"/>
        </w:rPr>
        <w:t>.</w:t>
      </w:r>
      <w:r w:rsidRPr="6BEC65BA" w:rsidR="006B2873">
        <w:rPr>
          <w:rFonts w:ascii="Times New Roman" w:hAnsi="Times New Roman"/>
          <w:sz w:val="24"/>
        </w:rPr>
        <w:t xml:space="preserve">  </w:t>
      </w:r>
    </w:p>
    <w:p w:rsidR="00565F27" w:rsidP="6BEC65BA" w14:paraId="7213946E" w14:textId="77777777">
      <w:pPr>
        <w:ind w:left="360"/>
        <w:rPr>
          <w:rFonts w:ascii="Times New Roman" w:hAnsi="Times New Roman"/>
          <w:sz w:val="24"/>
        </w:rPr>
      </w:pPr>
    </w:p>
    <w:p w:rsidR="00374CD1" w:rsidP="6BEC65BA" w14:paraId="74323359" w14:textId="35B145BC">
      <w:pPr>
        <w:ind w:firstLine="720"/>
        <w:rPr>
          <w:rFonts w:ascii="Times New Roman" w:hAnsi="Times New Roman"/>
          <w:sz w:val="24"/>
        </w:rPr>
      </w:pPr>
      <w:r w:rsidRPr="00232FAF">
        <w:rPr>
          <w:rFonts w:ascii="Times New Roman" w:hAnsi="Times New Roman"/>
          <w:sz w:val="24"/>
        </w:rPr>
        <w:t xml:space="preserve">FinCEN </w:t>
      </w:r>
      <w:r>
        <w:rPr>
          <w:rFonts w:ascii="Times New Roman" w:hAnsi="Times New Roman"/>
          <w:sz w:val="24"/>
        </w:rPr>
        <w:t xml:space="preserve">has </w:t>
      </w:r>
      <w:r w:rsidRPr="00232FAF">
        <w:rPr>
          <w:rFonts w:ascii="Times New Roman" w:hAnsi="Times New Roman"/>
          <w:sz w:val="24"/>
        </w:rPr>
        <w:t>reviewed government and commercial databases to identify</w:t>
      </w:r>
      <w:r>
        <w:rPr>
          <w:rFonts w:ascii="Times New Roman" w:hAnsi="Times New Roman"/>
          <w:sz w:val="24"/>
        </w:rPr>
        <w:t xml:space="preserve"> </w:t>
      </w:r>
      <w:r w:rsidRPr="00232FAF">
        <w:rPr>
          <w:rFonts w:ascii="Times New Roman" w:hAnsi="Times New Roman"/>
          <w:sz w:val="24"/>
        </w:rPr>
        <w:t>duplication</w:t>
      </w:r>
      <w:r>
        <w:rPr>
          <w:rFonts w:ascii="Times New Roman" w:hAnsi="Times New Roman"/>
          <w:sz w:val="24"/>
        </w:rPr>
        <w:t xml:space="preserve">.  FinCEN has </w:t>
      </w:r>
      <w:r w:rsidRPr="00232FAF">
        <w:rPr>
          <w:rFonts w:ascii="Times New Roman" w:hAnsi="Times New Roman"/>
          <w:sz w:val="24"/>
        </w:rPr>
        <w:t>determine</w:t>
      </w:r>
      <w:r>
        <w:rPr>
          <w:rFonts w:ascii="Times New Roman" w:hAnsi="Times New Roman"/>
          <w:sz w:val="24"/>
        </w:rPr>
        <w:t>d</w:t>
      </w:r>
      <w:r w:rsidRPr="00232FAF">
        <w:rPr>
          <w:rFonts w:ascii="Times New Roman" w:hAnsi="Times New Roman"/>
          <w:sz w:val="24"/>
        </w:rPr>
        <w:t xml:space="preserve"> there </w:t>
      </w:r>
      <w:r>
        <w:rPr>
          <w:rFonts w:ascii="Times New Roman" w:hAnsi="Times New Roman"/>
          <w:sz w:val="24"/>
        </w:rPr>
        <w:t xml:space="preserve">are </w:t>
      </w:r>
      <w:r w:rsidRPr="00232FAF">
        <w:rPr>
          <w:rFonts w:ascii="Times New Roman" w:hAnsi="Times New Roman"/>
          <w:sz w:val="24"/>
        </w:rPr>
        <w:t xml:space="preserve">no government </w:t>
      </w:r>
      <w:r>
        <w:rPr>
          <w:rFonts w:ascii="Times New Roman" w:hAnsi="Times New Roman"/>
          <w:sz w:val="24"/>
        </w:rPr>
        <w:t xml:space="preserve">or commercially available </w:t>
      </w:r>
      <w:r w:rsidRPr="00232FAF">
        <w:rPr>
          <w:rFonts w:ascii="Times New Roman" w:hAnsi="Times New Roman"/>
          <w:sz w:val="24"/>
        </w:rPr>
        <w:t>source</w:t>
      </w:r>
      <w:r>
        <w:rPr>
          <w:rFonts w:ascii="Times New Roman" w:hAnsi="Times New Roman"/>
          <w:sz w:val="24"/>
        </w:rPr>
        <w:t>s</w:t>
      </w:r>
      <w:r w:rsidRPr="00232FAF">
        <w:rPr>
          <w:rFonts w:ascii="Times New Roman" w:hAnsi="Times New Roman"/>
          <w:sz w:val="24"/>
        </w:rPr>
        <w:t xml:space="preserve"> of information that could be used or modified </w:t>
      </w:r>
      <w:r>
        <w:rPr>
          <w:rFonts w:ascii="Times New Roman" w:hAnsi="Times New Roman"/>
          <w:sz w:val="24"/>
        </w:rPr>
        <w:t xml:space="preserve">by FinCEN in duplicating the information maintained by covered financial institutions.  </w:t>
      </w:r>
      <w:r w:rsidRPr="00143EF9">
        <w:rPr>
          <w:rFonts w:ascii="Times New Roman" w:hAnsi="Times New Roman"/>
          <w:sz w:val="24"/>
        </w:rPr>
        <w:t xml:space="preserve">There are </w:t>
      </w:r>
      <w:r>
        <w:rPr>
          <w:rFonts w:ascii="Times New Roman" w:hAnsi="Times New Roman"/>
          <w:sz w:val="24"/>
        </w:rPr>
        <w:t xml:space="preserve">also </w:t>
      </w:r>
      <w:r w:rsidRPr="00143EF9">
        <w:rPr>
          <w:rFonts w:ascii="Times New Roman" w:hAnsi="Times New Roman"/>
          <w:sz w:val="24"/>
        </w:rPr>
        <w:t xml:space="preserve">no Federal rules that directly or fully duplicate or overlap with the </w:t>
      </w:r>
      <w:r>
        <w:rPr>
          <w:rFonts w:ascii="Times New Roman" w:hAnsi="Times New Roman"/>
          <w:sz w:val="24"/>
        </w:rPr>
        <w:t xml:space="preserve">information maintained by covered financial institutions.  </w:t>
      </w:r>
      <w:r w:rsidRPr="00143EF9">
        <w:rPr>
          <w:rFonts w:ascii="Times New Roman" w:hAnsi="Times New Roman"/>
          <w:sz w:val="24"/>
        </w:rPr>
        <w:t xml:space="preserve">Therefore, there is no information already available to the Federal government that could be used or modified </w:t>
      </w:r>
      <w:r>
        <w:rPr>
          <w:rFonts w:ascii="Times New Roman" w:hAnsi="Times New Roman"/>
          <w:sz w:val="24"/>
        </w:rPr>
        <w:t xml:space="preserve">by FinCEN </w:t>
      </w:r>
      <w:r w:rsidRPr="00143EF9">
        <w:rPr>
          <w:rFonts w:ascii="Times New Roman" w:hAnsi="Times New Roman"/>
          <w:sz w:val="24"/>
        </w:rPr>
        <w:t xml:space="preserve">to fully satisfy the statutory </w:t>
      </w:r>
      <w:r>
        <w:rPr>
          <w:rFonts w:ascii="Times New Roman" w:hAnsi="Times New Roman"/>
          <w:sz w:val="24"/>
        </w:rPr>
        <w:t xml:space="preserve">and regulatory </w:t>
      </w:r>
      <w:r w:rsidRPr="00143EF9">
        <w:rPr>
          <w:rFonts w:ascii="Times New Roman" w:hAnsi="Times New Roman"/>
          <w:sz w:val="24"/>
        </w:rPr>
        <w:t>requirements identified in Section 1 above or that fully serve the uses identified in Section 2 above.</w:t>
      </w:r>
    </w:p>
    <w:p w:rsidR="00374CD1" w:rsidP="6BEC65BA" w14:paraId="44E8D30B" w14:textId="77777777">
      <w:pPr>
        <w:rPr>
          <w:rFonts w:ascii="Times New Roman" w:hAnsi="Times New Roman"/>
          <w:sz w:val="24"/>
        </w:rPr>
      </w:pPr>
    </w:p>
    <w:p w:rsidR="00565F27" w:rsidP="6BEC65BA" w14:paraId="32F5349F" w14:textId="77777777">
      <w:pPr>
        <w:rPr>
          <w:rFonts w:ascii="Times New Roman" w:hAnsi="Times New Roman"/>
          <w:sz w:val="24"/>
        </w:rPr>
      </w:pPr>
      <w:r w:rsidRPr="6BEC65BA">
        <w:rPr>
          <w:rFonts w:ascii="Times New Roman" w:hAnsi="Times New Roman"/>
          <w:sz w:val="24"/>
        </w:rPr>
        <w:t xml:space="preserve">5. </w:t>
      </w:r>
      <w:r w:rsidRPr="6BEC65BA">
        <w:rPr>
          <w:rFonts w:ascii="Times New Roman" w:hAnsi="Times New Roman"/>
          <w:sz w:val="24"/>
          <w:u w:val="single"/>
        </w:rPr>
        <w:t xml:space="preserve">Methods </w:t>
      </w:r>
      <w:r w:rsidRPr="6BEC65BA" w:rsidR="006B2873">
        <w:rPr>
          <w:rFonts w:ascii="Times New Roman" w:hAnsi="Times New Roman"/>
          <w:sz w:val="24"/>
          <w:u w:val="single"/>
        </w:rPr>
        <w:t>to minimize burden on small businesses or other small entities</w:t>
      </w:r>
      <w:r w:rsidRPr="6BEC65BA" w:rsidR="008C19A7">
        <w:rPr>
          <w:rFonts w:ascii="Times New Roman" w:hAnsi="Times New Roman"/>
          <w:sz w:val="24"/>
          <w:u w:val="single"/>
        </w:rPr>
        <w:t>.</w:t>
      </w:r>
      <w:r w:rsidRPr="6BEC65BA" w:rsidR="006B2873">
        <w:rPr>
          <w:rFonts w:ascii="Times New Roman" w:hAnsi="Times New Roman"/>
          <w:sz w:val="24"/>
        </w:rPr>
        <w:t xml:space="preserve">  </w:t>
      </w:r>
    </w:p>
    <w:p w:rsidR="00565F27" w:rsidP="6BEC65BA" w14:paraId="03F0999F" w14:textId="77777777">
      <w:pPr>
        <w:ind w:left="360"/>
        <w:rPr>
          <w:rFonts w:ascii="Times New Roman" w:hAnsi="Times New Roman"/>
          <w:sz w:val="24"/>
        </w:rPr>
      </w:pPr>
    </w:p>
    <w:p w:rsidR="00374CD1" w:rsidP="00091A34" w14:paraId="404224C8" w14:textId="45E893D5">
      <w:pPr>
        <w:ind w:firstLine="720"/>
        <w:rPr>
          <w:rFonts w:ascii="Times New Roman" w:hAnsi="Times New Roman"/>
          <w:sz w:val="24"/>
        </w:rPr>
      </w:pPr>
      <w:r w:rsidRPr="6BEC65BA">
        <w:rPr>
          <w:rFonts w:ascii="Times New Roman" w:hAnsi="Times New Roman"/>
          <w:sz w:val="24"/>
        </w:rPr>
        <w:t xml:space="preserve">FinCEN developed an optional certification form that includes a request to the foreign </w:t>
      </w:r>
      <w:r w:rsidRPr="6BEC65BA">
        <w:rPr>
          <w:rFonts w:ascii="Times New Roman" w:hAnsi="Times New Roman"/>
          <w:sz w:val="24"/>
        </w:rPr>
        <w:t>bank for information required under 31 CFR 10</w:t>
      </w:r>
      <w:r w:rsidRPr="6BEC65BA" w:rsidR="002A6790">
        <w:rPr>
          <w:rFonts w:ascii="Times New Roman" w:hAnsi="Times New Roman"/>
          <w:sz w:val="24"/>
        </w:rPr>
        <w:t>10.630</w:t>
      </w:r>
      <w:r w:rsidRPr="6BEC65BA">
        <w:rPr>
          <w:rFonts w:ascii="Times New Roman" w:hAnsi="Times New Roman"/>
          <w:sz w:val="24"/>
        </w:rPr>
        <w:t>.</w:t>
      </w:r>
      <w:r>
        <w:rPr>
          <w:rStyle w:val="FootnoteReference"/>
          <w:rFonts w:ascii="Times New Roman" w:hAnsi="Times New Roman"/>
          <w:sz w:val="24"/>
          <w:vertAlign w:val="superscript"/>
        </w:rPr>
        <w:footnoteReference w:id="21"/>
      </w:r>
      <w:r w:rsidRPr="6BEC65BA">
        <w:rPr>
          <w:rFonts w:ascii="Times New Roman" w:hAnsi="Times New Roman"/>
          <w:sz w:val="24"/>
        </w:rPr>
        <w:t xml:space="preserve"> </w:t>
      </w:r>
      <w:r w:rsidR="00F271A2">
        <w:rPr>
          <w:rFonts w:ascii="Times New Roman" w:hAnsi="Times New Roman"/>
          <w:sz w:val="24"/>
        </w:rPr>
        <w:t xml:space="preserve"> </w:t>
      </w:r>
      <w:r w:rsidRPr="6BEC65BA" w:rsidR="002A6790">
        <w:rPr>
          <w:rFonts w:ascii="Times New Roman" w:hAnsi="Times New Roman"/>
          <w:sz w:val="24"/>
        </w:rPr>
        <w:t xml:space="preserve">Covered financial institutions </w:t>
      </w:r>
      <w:r w:rsidRPr="6BEC65BA">
        <w:rPr>
          <w:rFonts w:ascii="Times New Roman" w:hAnsi="Times New Roman"/>
          <w:sz w:val="24"/>
        </w:rPr>
        <w:t>may use the certification form to obtain the necessary information from the foreign bank.</w:t>
      </w:r>
      <w:r w:rsidR="00F271A2">
        <w:rPr>
          <w:rFonts w:ascii="Times New Roman" w:hAnsi="Times New Roman"/>
          <w:sz w:val="24"/>
        </w:rPr>
        <w:t xml:space="preserve"> </w:t>
      </w:r>
      <w:r w:rsidRPr="6BEC65BA" w:rsidR="002A6790">
        <w:rPr>
          <w:rFonts w:ascii="Times New Roman" w:hAnsi="Times New Roman"/>
          <w:sz w:val="24"/>
        </w:rPr>
        <w:t xml:space="preserve"> </w:t>
      </w:r>
      <w:r w:rsidRPr="6BEC65BA" w:rsidR="001D1779">
        <w:rPr>
          <w:rFonts w:ascii="Times New Roman" w:hAnsi="Times New Roman"/>
          <w:sz w:val="24"/>
        </w:rPr>
        <w:t xml:space="preserve">In addition, </w:t>
      </w:r>
      <w:r w:rsidRPr="6BEC65BA" w:rsidR="006A4AA3">
        <w:rPr>
          <w:rFonts w:ascii="Times New Roman" w:hAnsi="Times New Roman"/>
          <w:sz w:val="24"/>
        </w:rPr>
        <w:t xml:space="preserve">FinCEN </w:t>
      </w:r>
      <w:r w:rsidRPr="6BEC65BA" w:rsidR="0047741C">
        <w:rPr>
          <w:rFonts w:ascii="Times New Roman" w:hAnsi="Times New Roman"/>
          <w:sz w:val="24"/>
        </w:rPr>
        <w:t>anticipate</w:t>
      </w:r>
      <w:r w:rsidRPr="6BEC65BA" w:rsidR="006A4AA3">
        <w:rPr>
          <w:rFonts w:ascii="Times New Roman" w:hAnsi="Times New Roman"/>
          <w:sz w:val="24"/>
        </w:rPr>
        <w:t xml:space="preserve">s that the majority of </w:t>
      </w:r>
      <w:r w:rsidRPr="6BEC65BA" w:rsidR="001D1779">
        <w:rPr>
          <w:rFonts w:ascii="Times New Roman" w:hAnsi="Times New Roman"/>
          <w:sz w:val="24"/>
        </w:rPr>
        <w:t>covered financial institutions that maintain correspondent accounts with foreign banks are large financial institutions.</w:t>
      </w:r>
      <w:r w:rsidR="00F271A2">
        <w:rPr>
          <w:rFonts w:ascii="Times New Roman" w:hAnsi="Times New Roman"/>
          <w:sz w:val="24"/>
        </w:rPr>
        <w:t xml:space="preserve"> </w:t>
      </w:r>
      <w:r w:rsidRPr="6BEC65BA" w:rsidR="001D1779">
        <w:rPr>
          <w:rFonts w:ascii="Times New Roman" w:hAnsi="Times New Roman"/>
          <w:sz w:val="24"/>
        </w:rPr>
        <w:t xml:space="preserve"> Therefore, FinCEN </w:t>
      </w:r>
      <w:r w:rsidR="00AC1748">
        <w:rPr>
          <w:rFonts w:ascii="Times New Roman" w:hAnsi="Times New Roman"/>
          <w:sz w:val="24"/>
        </w:rPr>
        <w:t xml:space="preserve">assesses </w:t>
      </w:r>
      <w:r w:rsidRPr="6BEC65BA" w:rsidR="001D1779">
        <w:rPr>
          <w:rFonts w:ascii="Times New Roman" w:hAnsi="Times New Roman"/>
          <w:sz w:val="24"/>
        </w:rPr>
        <w:t xml:space="preserve">that any associated regulatory burdens would largely impact highly-resourced entities and would </w:t>
      </w:r>
      <w:r w:rsidRPr="6BEC65BA" w:rsidR="00C0716F">
        <w:rPr>
          <w:rFonts w:ascii="Times New Roman" w:hAnsi="Times New Roman"/>
          <w:sz w:val="24"/>
        </w:rPr>
        <w:t xml:space="preserve">be unlikely to </w:t>
      </w:r>
      <w:r w:rsidRPr="6BEC65BA" w:rsidR="001D1779">
        <w:rPr>
          <w:rFonts w:ascii="Times New Roman" w:hAnsi="Times New Roman"/>
          <w:sz w:val="24"/>
        </w:rPr>
        <w:t>impose undue burdens on small businesses or other small entities. </w:t>
      </w:r>
    </w:p>
    <w:p w:rsidR="00374CD1" w:rsidP="6BEC65BA" w14:paraId="4489D317" w14:textId="77777777">
      <w:pPr>
        <w:rPr>
          <w:rFonts w:ascii="Times New Roman" w:hAnsi="Times New Roman"/>
          <w:sz w:val="24"/>
        </w:rPr>
      </w:pPr>
    </w:p>
    <w:p w:rsidR="00565F27" w:rsidP="6BEC65BA" w14:paraId="57CA27E8" w14:textId="77777777">
      <w:pPr>
        <w:rPr>
          <w:rFonts w:ascii="Times New Roman" w:hAnsi="Times New Roman"/>
          <w:sz w:val="24"/>
        </w:rPr>
      </w:pPr>
      <w:r w:rsidRPr="6BEC65BA">
        <w:rPr>
          <w:rFonts w:ascii="Times New Roman" w:hAnsi="Times New Roman"/>
          <w:sz w:val="24"/>
        </w:rPr>
        <w:t xml:space="preserve">6.  </w:t>
      </w:r>
      <w:r w:rsidRPr="6BEC65BA" w:rsidR="00AE5D57">
        <w:rPr>
          <w:rFonts w:ascii="Times New Roman" w:hAnsi="Times New Roman"/>
          <w:sz w:val="24"/>
          <w:u w:val="single"/>
        </w:rPr>
        <w:t>Consequences to the Federal government of not collecting the information.</w:t>
      </w:r>
      <w:r w:rsidRPr="6BEC65BA" w:rsidR="006B2873">
        <w:rPr>
          <w:rFonts w:ascii="Times New Roman" w:hAnsi="Times New Roman"/>
          <w:sz w:val="24"/>
        </w:rPr>
        <w:t xml:space="preserve"> </w:t>
      </w:r>
    </w:p>
    <w:p w:rsidR="00565F27" w:rsidP="6BEC65BA" w14:paraId="0169CFB8" w14:textId="77777777">
      <w:pPr>
        <w:ind w:left="360"/>
        <w:rPr>
          <w:rFonts w:ascii="Times New Roman" w:hAnsi="Times New Roman"/>
          <w:sz w:val="24"/>
        </w:rPr>
      </w:pPr>
      <w:r>
        <w:rPr>
          <w:rFonts w:ascii="Times New Roman" w:hAnsi="Times New Roman"/>
          <w:sz w:val="24"/>
        </w:rPr>
        <w:tab/>
      </w:r>
    </w:p>
    <w:p w:rsidR="00F558B5" w:rsidP="00505D8C" w14:paraId="0916F3F7" w14:textId="0A3DF2FA">
      <w:pPr>
        <w:ind w:firstLine="720"/>
        <w:rPr>
          <w:rFonts w:ascii="Times New Roman" w:hAnsi="Times New Roman"/>
          <w:sz w:val="24"/>
        </w:rPr>
      </w:pPr>
      <w:r w:rsidRPr="00303563">
        <w:rPr>
          <w:rFonts w:ascii="Times New Roman" w:hAnsi="Times New Roman"/>
          <w:sz w:val="24"/>
        </w:rPr>
        <w:t>These recordkeeping requirements are intended to help law enforcement and regulatory authorities detect, investigate, and prosecute money laundering and other financial crimes by preserving an information trail about certain transactions involving</w:t>
      </w:r>
      <w:r w:rsidR="0073427C">
        <w:rPr>
          <w:rFonts w:ascii="Times New Roman" w:hAnsi="Times New Roman"/>
          <w:sz w:val="24"/>
        </w:rPr>
        <w:t xml:space="preserve"> accounts held by foreign banks at</w:t>
      </w:r>
      <w:r w:rsidRPr="00303563">
        <w:rPr>
          <w:rFonts w:ascii="Times New Roman" w:hAnsi="Times New Roman"/>
          <w:sz w:val="24"/>
        </w:rPr>
        <w:t xml:space="preserve"> </w:t>
      </w:r>
      <w:r>
        <w:rPr>
          <w:rFonts w:ascii="Times New Roman" w:hAnsi="Times New Roman"/>
          <w:sz w:val="24"/>
        </w:rPr>
        <w:t xml:space="preserve">covered financial institutions.  </w:t>
      </w:r>
      <w:r w:rsidRPr="00AC1748" w:rsidR="00AC1748">
        <w:rPr>
          <w:rFonts w:ascii="Times New Roman" w:hAnsi="Times New Roman"/>
          <w:sz w:val="24"/>
        </w:rPr>
        <w:t xml:space="preserve">A failure </w:t>
      </w:r>
      <w:r w:rsidR="00AC1748">
        <w:rPr>
          <w:rFonts w:ascii="Times New Roman" w:hAnsi="Times New Roman"/>
          <w:sz w:val="24"/>
        </w:rPr>
        <w:t xml:space="preserve">by covered financial institutions in maintaining </w:t>
      </w:r>
      <w:r w:rsidRPr="00AC1748" w:rsidR="00AC1748">
        <w:rPr>
          <w:rFonts w:ascii="Times New Roman" w:hAnsi="Times New Roman"/>
          <w:sz w:val="24"/>
        </w:rPr>
        <w:t xml:space="preserve">this information could hamper FinCEN and law enforcement efforts to detect and deter illegal activity while it </w:t>
      </w:r>
      <w:r w:rsidR="00AC1748">
        <w:rPr>
          <w:rFonts w:ascii="Times New Roman" w:hAnsi="Times New Roman"/>
          <w:sz w:val="24"/>
        </w:rPr>
        <w:t xml:space="preserve">may be </w:t>
      </w:r>
      <w:r w:rsidRPr="00AC1748" w:rsidR="00AC1748">
        <w:rPr>
          <w:rFonts w:ascii="Times New Roman" w:hAnsi="Times New Roman"/>
          <w:sz w:val="24"/>
        </w:rPr>
        <w:t xml:space="preserve">still ongoing and discernible. </w:t>
      </w:r>
      <w:r w:rsidR="00AC1748">
        <w:rPr>
          <w:rFonts w:ascii="Times New Roman" w:hAnsi="Times New Roman"/>
          <w:sz w:val="24"/>
        </w:rPr>
        <w:t xml:space="preserve"> T</w:t>
      </w:r>
      <w:r w:rsidRPr="00AC1748" w:rsidR="00AC1748">
        <w:rPr>
          <w:rFonts w:ascii="Times New Roman" w:hAnsi="Times New Roman"/>
          <w:sz w:val="24"/>
        </w:rPr>
        <w:t xml:space="preserve">his information </w:t>
      </w:r>
      <w:r w:rsidR="00AC1748">
        <w:rPr>
          <w:rFonts w:ascii="Times New Roman" w:hAnsi="Times New Roman"/>
          <w:sz w:val="24"/>
        </w:rPr>
        <w:t xml:space="preserve">may </w:t>
      </w:r>
      <w:r w:rsidRPr="00AC1748" w:rsidR="00AC1748">
        <w:rPr>
          <w:rFonts w:ascii="Times New Roman" w:hAnsi="Times New Roman"/>
          <w:sz w:val="24"/>
        </w:rPr>
        <w:t>provide law enforcement with important investigative leads to take appropriate action, including tracing criminal proceeds, gathering additional evidence, seizing funds, and stopping the movement of funds before criminal elements can change their schemes for disposing of the profits of illegal activity.</w:t>
      </w:r>
    </w:p>
    <w:p w:rsidR="00374CD1" w:rsidP="6BEC65BA" w14:paraId="1CB4BF98" w14:textId="77777777">
      <w:pPr>
        <w:rPr>
          <w:rFonts w:ascii="Times New Roman" w:hAnsi="Times New Roman"/>
          <w:sz w:val="24"/>
        </w:rPr>
      </w:pPr>
    </w:p>
    <w:p w:rsidR="00565F27" w:rsidP="6BEC65BA" w14:paraId="5D26FE83" w14:textId="77777777">
      <w:pPr>
        <w:rPr>
          <w:rFonts w:ascii="Times New Roman" w:hAnsi="Times New Roman"/>
          <w:sz w:val="24"/>
        </w:rPr>
      </w:pPr>
      <w:r w:rsidRPr="6BEC65BA">
        <w:rPr>
          <w:rFonts w:ascii="Times New Roman" w:hAnsi="Times New Roman"/>
          <w:sz w:val="24"/>
        </w:rPr>
        <w:t xml:space="preserve">7.  </w:t>
      </w:r>
      <w:r w:rsidRPr="6BEC65BA" w:rsidR="00AE5D57">
        <w:rPr>
          <w:rFonts w:ascii="Times New Roman" w:hAnsi="Times New Roman"/>
          <w:sz w:val="24"/>
          <w:u w:val="single"/>
        </w:rPr>
        <w:t>Special circumstances requiring data collection inconsistent with guidelines.</w:t>
      </w:r>
      <w:r w:rsidRPr="6BEC65BA">
        <w:rPr>
          <w:rFonts w:ascii="Times New Roman" w:hAnsi="Times New Roman"/>
          <w:sz w:val="24"/>
        </w:rPr>
        <w:t xml:space="preserve">  </w:t>
      </w:r>
    </w:p>
    <w:p w:rsidR="00565F27" w:rsidP="6BEC65BA" w14:paraId="3BFECEB1" w14:textId="77777777">
      <w:pPr>
        <w:ind w:left="360"/>
        <w:rPr>
          <w:rFonts w:ascii="Times New Roman" w:hAnsi="Times New Roman"/>
          <w:sz w:val="24"/>
        </w:rPr>
      </w:pPr>
    </w:p>
    <w:p w:rsidR="00374CD1" w:rsidP="6BEC65BA" w14:paraId="394C33BE" w14:textId="69EB2555">
      <w:pPr>
        <w:ind w:firstLine="720"/>
        <w:rPr>
          <w:rStyle w:val="CommentReference"/>
          <w:rFonts w:ascii="Times New Roman" w:hAnsi="Times New Roman"/>
          <w:sz w:val="24"/>
          <w:szCs w:val="24"/>
        </w:rPr>
      </w:pPr>
      <w:r>
        <w:rPr>
          <w:rFonts w:ascii="Times New Roman" w:hAnsi="Times New Roman"/>
          <w:sz w:val="24"/>
        </w:rPr>
        <w:t>As noted in Section 2, p</w:t>
      </w:r>
      <w:r w:rsidRPr="6BEC65BA" w:rsidR="00CE52B1">
        <w:rPr>
          <w:rFonts w:ascii="Times New Roman" w:hAnsi="Times New Roman"/>
          <w:sz w:val="24"/>
        </w:rPr>
        <w:t xml:space="preserve">ursuant to 31 CFR 1010.430(d), </w:t>
      </w:r>
      <w:r w:rsidRPr="6BEC65BA" w:rsidR="00CE52B1">
        <w:rPr>
          <w:rFonts w:ascii="Times New Roman" w:hAnsi="Times New Roman"/>
          <w:sz w:val="24"/>
          <w:lang w:val="en"/>
        </w:rPr>
        <w:t xml:space="preserve">all records that are required to be retained by 31 CFR </w:t>
      </w:r>
      <w:r w:rsidR="00CC6C37">
        <w:rPr>
          <w:rFonts w:ascii="Times New Roman" w:hAnsi="Times New Roman"/>
          <w:sz w:val="24"/>
          <w:lang w:val="en"/>
        </w:rPr>
        <w:t>c</w:t>
      </w:r>
      <w:r w:rsidRPr="6BEC65BA" w:rsidR="00CC6C37">
        <w:rPr>
          <w:rFonts w:ascii="Times New Roman" w:hAnsi="Times New Roman"/>
          <w:sz w:val="24"/>
          <w:lang w:val="en"/>
        </w:rPr>
        <w:t xml:space="preserve">hapter </w:t>
      </w:r>
      <w:r w:rsidRPr="6BEC65BA" w:rsidR="00CE52B1">
        <w:rPr>
          <w:rFonts w:ascii="Times New Roman" w:hAnsi="Times New Roman"/>
          <w:sz w:val="24"/>
          <w:lang w:val="en"/>
        </w:rPr>
        <w:t xml:space="preserve">X must be retained for a period of five years. </w:t>
      </w:r>
      <w:r w:rsidRPr="6BEC65BA" w:rsidR="003300C5">
        <w:rPr>
          <w:rFonts w:ascii="Times New Roman" w:hAnsi="Times New Roman"/>
          <w:sz w:val="24"/>
          <w:lang w:val="en"/>
        </w:rPr>
        <w:t xml:space="preserve"> </w:t>
      </w:r>
      <w:r w:rsidRPr="6BEC65BA" w:rsidR="009D2BA2">
        <w:rPr>
          <w:rFonts w:ascii="Times New Roman" w:hAnsi="Times New Roman"/>
          <w:sz w:val="24"/>
          <w:lang w:val="en"/>
        </w:rPr>
        <w:t>T</w:t>
      </w:r>
      <w:r w:rsidRPr="6BEC65BA" w:rsidR="009D2BA2">
        <w:rPr>
          <w:rFonts w:ascii="Times New Roman" w:hAnsi="Times New Roman"/>
          <w:sz w:val="24"/>
        </w:rPr>
        <w:t xml:space="preserve">he retention period </w:t>
      </w:r>
      <w:r w:rsidRPr="6BEC65BA" w:rsidR="009D2BA2">
        <w:rPr>
          <w:rFonts w:ascii="Times New Roman" w:hAnsi="Times New Roman"/>
          <w:sz w:val="24"/>
          <w:lang w:val="en"/>
        </w:rPr>
        <w:t>is necessary</w:t>
      </w:r>
      <w:r w:rsidRPr="6BEC65BA" w:rsidR="00CE52B1">
        <w:rPr>
          <w:rFonts w:ascii="Times New Roman" w:hAnsi="Times New Roman"/>
          <w:sz w:val="24"/>
        </w:rPr>
        <w:t xml:space="preserve"> because such records may relate to substantive violations of law that are subject to statutes of limitation longer than three years.</w:t>
      </w:r>
      <w:r w:rsidRPr="6BEC65BA" w:rsidR="00CE52B1">
        <w:rPr>
          <w:rStyle w:val="CommentReference"/>
          <w:rFonts w:ascii="Times New Roman" w:hAnsi="Times New Roman"/>
          <w:sz w:val="24"/>
          <w:szCs w:val="24"/>
        </w:rPr>
        <w:t xml:space="preserve"> </w:t>
      </w:r>
      <w:r w:rsidR="00264F4B">
        <w:rPr>
          <w:rStyle w:val="CommentReference"/>
          <w:rFonts w:ascii="Times New Roman" w:hAnsi="Times New Roman"/>
          <w:sz w:val="24"/>
          <w:szCs w:val="24"/>
        </w:rPr>
        <w:t xml:space="preserve"> </w:t>
      </w:r>
      <w:r w:rsidRPr="00C42992" w:rsidR="00264F4B">
        <w:rPr>
          <w:rFonts w:ascii="Times New Roman" w:hAnsi="Times New Roman"/>
          <w:sz w:val="24"/>
          <w:lang w:val="en"/>
        </w:rPr>
        <w:t>The five</w:t>
      </w:r>
      <w:r w:rsidR="00264F4B">
        <w:rPr>
          <w:rFonts w:ascii="Times New Roman" w:hAnsi="Times New Roman"/>
          <w:sz w:val="24"/>
          <w:lang w:val="en"/>
        </w:rPr>
        <w:t>-</w:t>
      </w:r>
      <w:r w:rsidRPr="00C42992" w:rsidR="00264F4B">
        <w:rPr>
          <w:rFonts w:ascii="Times New Roman" w:hAnsi="Times New Roman"/>
          <w:sz w:val="24"/>
          <w:lang w:val="en"/>
        </w:rPr>
        <w:t xml:space="preserve">year retention period </w:t>
      </w:r>
      <w:r w:rsidR="00264F4B">
        <w:rPr>
          <w:rFonts w:ascii="Times New Roman" w:hAnsi="Times New Roman"/>
          <w:sz w:val="24"/>
          <w:lang w:val="en"/>
        </w:rPr>
        <w:t xml:space="preserve">also </w:t>
      </w:r>
      <w:r w:rsidRPr="00C42992" w:rsidR="00264F4B">
        <w:rPr>
          <w:rFonts w:ascii="Times New Roman" w:hAnsi="Times New Roman"/>
          <w:sz w:val="24"/>
          <w:lang w:val="en"/>
        </w:rPr>
        <w:t xml:space="preserve">ensures that law enforcement </w:t>
      </w:r>
      <w:r w:rsidR="00264F4B">
        <w:rPr>
          <w:rFonts w:ascii="Times New Roman" w:hAnsi="Times New Roman"/>
          <w:sz w:val="24"/>
          <w:lang w:val="en"/>
        </w:rPr>
        <w:t xml:space="preserve">and other appropriate government agencies </w:t>
      </w:r>
      <w:r w:rsidRPr="00C42992" w:rsidR="00264F4B">
        <w:rPr>
          <w:rFonts w:ascii="Times New Roman" w:hAnsi="Times New Roman"/>
          <w:sz w:val="24"/>
          <w:lang w:val="en"/>
        </w:rPr>
        <w:t>will have access to records for a reasonable period of time</w:t>
      </w:r>
      <w:r w:rsidR="00264F4B">
        <w:rPr>
          <w:rFonts w:ascii="Times New Roman" w:hAnsi="Times New Roman"/>
          <w:sz w:val="24"/>
          <w:lang w:val="en"/>
        </w:rPr>
        <w:t>, enables law enforcement and other appropriate government agencies to “follow the money” and permit reconstruction of individual transactions that may be indicative of illicit finance,</w:t>
      </w:r>
      <w:r w:rsidRPr="00C42992" w:rsidR="00264F4B">
        <w:rPr>
          <w:rFonts w:ascii="Times New Roman" w:hAnsi="Times New Roman"/>
          <w:sz w:val="24"/>
          <w:lang w:val="en"/>
        </w:rPr>
        <w:t xml:space="preserve"> and allows for verification of </w:t>
      </w:r>
      <w:r w:rsidRPr="00C42992" w:rsidR="00264F4B">
        <w:rPr>
          <w:rFonts w:ascii="Times New Roman" w:hAnsi="Times New Roman"/>
          <w:sz w:val="24"/>
        </w:rPr>
        <w:t xml:space="preserve">compliance </w:t>
      </w:r>
      <w:r w:rsidR="00264F4B">
        <w:rPr>
          <w:rFonts w:ascii="Times New Roman" w:hAnsi="Times New Roman"/>
          <w:sz w:val="24"/>
        </w:rPr>
        <w:t xml:space="preserve">by covered financial institutions </w:t>
      </w:r>
      <w:r w:rsidRPr="00C42992" w:rsidR="00264F4B">
        <w:rPr>
          <w:rFonts w:ascii="Times New Roman" w:hAnsi="Times New Roman"/>
          <w:sz w:val="24"/>
        </w:rPr>
        <w:t xml:space="preserve">with specific </w:t>
      </w:r>
      <w:r w:rsidR="00264F4B">
        <w:rPr>
          <w:rFonts w:ascii="Times New Roman" w:hAnsi="Times New Roman"/>
          <w:sz w:val="24"/>
        </w:rPr>
        <w:t xml:space="preserve">regulatory </w:t>
      </w:r>
      <w:r w:rsidRPr="00C42992" w:rsidR="00264F4B">
        <w:rPr>
          <w:rFonts w:ascii="Times New Roman" w:hAnsi="Times New Roman"/>
          <w:sz w:val="24"/>
        </w:rPr>
        <w:t>requirements.</w:t>
      </w:r>
    </w:p>
    <w:p w:rsidR="00337122" w:rsidP="6BEC65BA" w14:paraId="3B69D8E4" w14:textId="77777777">
      <w:pPr>
        <w:rPr>
          <w:rFonts w:ascii="Times New Roman" w:hAnsi="Times New Roman"/>
          <w:sz w:val="24"/>
        </w:rPr>
      </w:pPr>
    </w:p>
    <w:p w:rsidR="00565F27" w:rsidRPr="00AB26A3" w:rsidP="6BEC65BA" w14:paraId="66B266A3" w14:textId="77777777">
      <w:pPr>
        <w:pStyle w:val="BodyText2"/>
        <w:rPr>
          <w:u w:val="single"/>
        </w:rPr>
      </w:pPr>
      <w:r w:rsidRPr="6BEC65BA">
        <w:t xml:space="preserve">8.  </w:t>
      </w:r>
      <w:r w:rsidRPr="6BEC65BA" w:rsidR="00155EB1">
        <w:rPr>
          <w:u w:val="single"/>
        </w:rPr>
        <w:t xml:space="preserve">Consultation </w:t>
      </w:r>
      <w:r w:rsidRPr="6BEC65BA" w:rsidR="000134E6">
        <w:rPr>
          <w:u w:val="single"/>
        </w:rPr>
        <w:t>with individuals outside of the agency on availability of data</w:t>
      </w:r>
      <w:r w:rsidRPr="6BEC65BA" w:rsidR="00367D22">
        <w:rPr>
          <w:u w:val="single"/>
        </w:rPr>
        <w:t>,</w:t>
      </w:r>
      <w:r w:rsidRPr="6BEC65BA" w:rsidR="000134E6">
        <w:rPr>
          <w:u w:val="single"/>
        </w:rPr>
        <w:t xml:space="preserve"> frequency of collection, clarity of instructions and forms, and data elements</w:t>
      </w:r>
      <w:r w:rsidRPr="6BEC65BA" w:rsidR="00C26A03">
        <w:rPr>
          <w:u w:val="single"/>
        </w:rPr>
        <w:t>.</w:t>
      </w:r>
    </w:p>
    <w:p w:rsidR="00565F27" w:rsidP="6BEC65BA" w14:paraId="651863D0" w14:textId="77777777">
      <w:pPr>
        <w:pStyle w:val="BodyText2"/>
        <w:ind w:left="360"/>
      </w:pPr>
    </w:p>
    <w:p w:rsidR="007F14CE" w:rsidP="004378F1" w14:paraId="19A7A6EF" w14:textId="6060BE63">
      <w:pPr>
        <w:pStyle w:val="BodyText2"/>
        <w:ind w:firstLine="720"/>
      </w:pPr>
      <w:r w:rsidRPr="6BEC65BA">
        <w:t xml:space="preserve">On May </w:t>
      </w:r>
      <w:r w:rsidR="00B6473A">
        <w:t>22</w:t>
      </w:r>
      <w:r w:rsidRPr="6BEC65BA">
        <w:t xml:space="preserve">, 2025, </w:t>
      </w:r>
      <w:r w:rsidRPr="6BEC65BA" w:rsidR="000140C0">
        <w:t xml:space="preserve">FinCEN published in the Federal Register a notice and request for comments of its intention to renew, without change, information </w:t>
      </w:r>
      <w:r w:rsidR="00856F4D">
        <w:t xml:space="preserve">collection </w:t>
      </w:r>
      <w:r w:rsidRPr="6BEC65BA" w:rsidR="000140C0">
        <w:t xml:space="preserve">requirements related to </w:t>
      </w:r>
      <w:r w:rsidRPr="6BEC65BA" w:rsidR="005829E0">
        <w:t xml:space="preserve">regulations prohibiting covered financial institutions from maintaining correspondent accounts for foreign shell banks; and requiring covered financial institutions to obtain and retain records </w:t>
      </w:r>
      <w:r w:rsidRPr="6BEC65BA" w:rsidR="005829E0">
        <w:t>concerning owners of foreign banks and agents for service of legal process</w:t>
      </w:r>
      <w:r w:rsidRPr="6BEC65BA" w:rsidR="002417E4">
        <w:t>.</w:t>
      </w:r>
      <w:r>
        <w:rPr>
          <w:vertAlign w:val="superscript"/>
        </w:rPr>
        <w:footnoteReference w:id="22"/>
      </w:r>
      <w:r w:rsidRPr="6BEC65BA" w:rsidR="005320D9">
        <w:t xml:space="preserve">  </w:t>
      </w:r>
      <w:r w:rsidRPr="6BEC65BA" w:rsidR="00AE5D57">
        <w:t>The</w:t>
      </w:r>
      <w:r w:rsidRPr="6BEC65BA" w:rsidR="00C81F8F">
        <w:t xml:space="preserve"> comment period closed on July </w:t>
      </w:r>
      <w:r w:rsidR="00B6473A">
        <w:t>21</w:t>
      </w:r>
      <w:r w:rsidRPr="6BEC65BA" w:rsidR="00C81F8F">
        <w:t xml:space="preserve">, 2025. </w:t>
      </w:r>
      <w:r>
        <w:t xml:space="preserve"> </w:t>
      </w:r>
      <w:r w:rsidRPr="6BEC65BA" w:rsidR="00C81F8F">
        <w:t>In response to the notice, FinCEN received</w:t>
      </w:r>
      <w:r w:rsidRPr="6BEC65BA" w:rsidR="006D3593">
        <w:t xml:space="preserve"> </w:t>
      </w:r>
      <w:r w:rsidR="00945669">
        <w:t>seven</w:t>
      </w:r>
      <w:r w:rsidRPr="6BEC65BA" w:rsidR="006D3593">
        <w:t xml:space="preserve"> comments.</w:t>
      </w:r>
      <w:r w:rsidRPr="6BEC65BA" w:rsidR="00AE5D57">
        <w:t xml:space="preserve"> </w:t>
      </w:r>
      <w:r w:rsidR="00CE1E20">
        <w:t xml:space="preserve"> </w:t>
      </w:r>
      <w:r w:rsidR="0098598F">
        <w:t xml:space="preserve">One commenter expressed support for the </w:t>
      </w:r>
      <w:r w:rsidR="00452D23">
        <w:t xml:space="preserve">information collection </w:t>
      </w:r>
      <w:r w:rsidR="0098598F">
        <w:t xml:space="preserve">being renewed and encouraged </w:t>
      </w:r>
      <w:r w:rsidR="003E6788">
        <w:t xml:space="preserve">harsher penalties for late or erroneous </w:t>
      </w:r>
      <w:r w:rsidR="00EE50A3">
        <w:t>information collected.  Another</w:t>
      </w:r>
      <w:r w:rsidR="00CE1E20">
        <w:t xml:space="preserve"> commenter </w:t>
      </w:r>
      <w:r w:rsidR="00E132A6">
        <w:t xml:space="preserve">noted the importance of FinCEN’s </w:t>
      </w:r>
      <w:r w:rsidR="00452D23">
        <w:t xml:space="preserve">information collection </w:t>
      </w:r>
      <w:r w:rsidR="00E132A6">
        <w:t>to enhance transparency in financial services and prevent illicit activity</w:t>
      </w:r>
      <w:r w:rsidR="00BD463F">
        <w:t xml:space="preserve">, but </w:t>
      </w:r>
      <w:r w:rsidR="00A641D3">
        <w:t>encourage</w:t>
      </w:r>
      <w:r w:rsidR="00BD463F">
        <w:t>d</w:t>
      </w:r>
      <w:r w:rsidR="00A641D3">
        <w:t xml:space="preserve"> FinCEN to balance regulatory oversight with protection for legitimate small businesses operating across borders.  </w:t>
      </w:r>
      <w:r w:rsidR="004F1CC2">
        <w:t>Three commenters</w:t>
      </w:r>
      <w:r w:rsidR="000E68C0">
        <w:t xml:space="preserve"> did not address the </w:t>
      </w:r>
      <w:r w:rsidR="00452D23">
        <w:t xml:space="preserve">information collection </w:t>
      </w:r>
      <w:r w:rsidR="000E68C0">
        <w:t xml:space="preserve">being renewed but </w:t>
      </w:r>
      <w:r w:rsidR="008B4632">
        <w:t>made other recommendations</w:t>
      </w:r>
      <w:r w:rsidR="00BD463F">
        <w:t xml:space="preserve"> and observations</w:t>
      </w:r>
      <w:r w:rsidR="008B4632">
        <w:t xml:space="preserve">, </w:t>
      </w:r>
      <w:r w:rsidR="00452D23">
        <w:t xml:space="preserve">none </w:t>
      </w:r>
      <w:r w:rsidR="00FB4E1D">
        <w:t xml:space="preserve">of which </w:t>
      </w:r>
      <w:r w:rsidR="00452D23">
        <w:t>were germane to the information collection</w:t>
      </w:r>
      <w:r w:rsidR="002D28F5">
        <w:t xml:space="preserve">. </w:t>
      </w:r>
      <w:r w:rsidR="006D187E">
        <w:t xml:space="preserve"> </w:t>
      </w:r>
      <w:r w:rsidR="002C7E89">
        <w:t xml:space="preserve">In sum, these </w:t>
      </w:r>
      <w:r w:rsidR="002D28F5">
        <w:t>comments contained</w:t>
      </w:r>
      <w:r w:rsidR="008B4632">
        <w:t xml:space="preserve">: </w:t>
      </w:r>
      <w:r w:rsidR="00447E84">
        <w:t xml:space="preserve">(i) </w:t>
      </w:r>
      <w:r>
        <w:t xml:space="preserve">an observation </w:t>
      </w:r>
      <w:r w:rsidR="000E68C0">
        <w:t>concern</w:t>
      </w:r>
      <w:r>
        <w:t>ing</w:t>
      </w:r>
      <w:r w:rsidR="000E68C0">
        <w:t xml:space="preserve"> </w:t>
      </w:r>
      <w:r w:rsidR="00897B34">
        <w:t xml:space="preserve">banks’ </w:t>
      </w:r>
      <w:r w:rsidR="001E7980">
        <w:t>discriminatory lending practices</w:t>
      </w:r>
      <w:r w:rsidR="00447E84">
        <w:t xml:space="preserve">; (ii) </w:t>
      </w:r>
      <w:r>
        <w:t xml:space="preserve">a recommendation in </w:t>
      </w:r>
      <w:r w:rsidR="00BD463F">
        <w:t>adjusting the</w:t>
      </w:r>
      <w:r w:rsidR="00897B34">
        <w:t xml:space="preserve"> dollar reporting </w:t>
      </w:r>
      <w:r w:rsidR="00D54483">
        <w:t xml:space="preserve">threshold </w:t>
      </w:r>
      <w:r w:rsidR="00897B34">
        <w:t xml:space="preserve">for </w:t>
      </w:r>
      <w:r w:rsidR="00BD463F">
        <w:t>currency transaction reports (</w:t>
      </w:r>
      <w:r w:rsidR="00D54483">
        <w:t>CTRs</w:t>
      </w:r>
      <w:r w:rsidR="00BD463F">
        <w:t>)</w:t>
      </w:r>
      <w:r w:rsidR="00D54483">
        <w:t xml:space="preserve"> </w:t>
      </w:r>
      <w:r w:rsidR="00897B34">
        <w:t xml:space="preserve">to </w:t>
      </w:r>
      <w:r w:rsidR="00D54483">
        <w:t>inflation</w:t>
      </w:r>
      <w:r w:rsidR="00447E84">
        <w:t xml:space="preserve">; and (iii) </w:t>
      </w:r>
      <w:r>
        <w:t xml:space="preserve">a </w:t>
      </w:r>
      <w:r w:rsidR="00897B34">
        <w:t xml:space="preserve">broad </w:t>
      </w:r>
      <w:r>
        <w:t xml:space="preserve">recommendation </w:t>
      </w:r>
      <w:r w:rsidR="00897B34">
        <w:t xml:space="preserve">to Treasury </w:t>
      </w:r>
      <w:r>
        <w:t xml:space="preserve">in </w:t>
      </w:r>
      <w:r w:rsidR="00FE0968">
        <w:t>develop</w:t>
      </w:r>
      <w:r w:rsidR="00BD463F">
        <w:t>ing</w:t>
      </w:r>
      <w:r w:rsidR="00FE0968">
        <w:t xml:space="preserve"> policies that support </w:t>
      </w:r>
      <w:r w:rsidR="00897B34">
        <w:t xml:space="preserve">and protect </w:t>
      </w:r>
      <w:r w:rsidR="00FE0968">
        <w:t>nonprofit organizations.</w:t>
      </w:r>
      <w:r w:rsidR="00D54483">
        <w:t xml:space="preserve"> </w:t>
      </w:r>
      <w:r w:rsidR="00831806">
        <w:t xml:space="preserve"> </w:t>
      </w:r>
      <w:r w:rsidR="00131563">
        <w:t xml:space="preserve">Two </w:t>
      </w:r>
      <w:r w:rsidR="00E552D9">
        <w:t xml:space="preserve">additional </w:t>
      </w:r>
      <w:r w:rsidR="00131563">
        <w:t xml:space="preserve">commenters did </w:t>
      </w:r>
      <w:r w:rsidR="002022AD">
        <w:t xml:space="preserve">not raise </w:t>
      </w:r>
      <w:r w:rsidR="00347A3C">
        <w:t xml:space="preserve">any relevant </w:t>
      </w:r>
      <w:r w:rsidR="002022AD">
        <w:t>points.</w:t>
      </w:r>
      <w:r w:rsidR="00A66235">
        <w:t xml:space="preserve">  </w:t>
      </w:r>
    </w:p>
    <w:p w:rsidR="007F14CE" w:rsidP="004378F1" w14:paraId="29AB312B" w14:textId="77777777">
      <w:pPr>
        <w:pStyle w:val="BodyText2"/>
        <w:ind w:firstLine="720"/>
      </w:pPr>
    </w:p>
    <w:p w:rsidR="009523E6" w:rsidP="004378F1" w14:paraId="303D6065" w14:textId="00EDC5FA">
      <w:pPr>
        <w:pStyle w:val="BodyText2"/>
        <w:ind w:firstLine="720"/>
      </w:pPr>
      <w:r>
        <w:t xml:space="preserve">Overall, </w:t>
      </w:r>
      <w:r w:rsidR="007F14CE">
        <w:t xml:space="preserve">FinCEN determined </w:t>
      </w:r>
      <w:r>
        <w:t xml:space="preserve">there were no </w:t>
      </w:r>
      <w:r w:rsidRPr="00A66235">
        <w:t xml:space="preserve">recommendations </w:t>
      </w:r>
      <w:r w:rsidR="006C1323">
        <w:t xml:space="preserve">or objections with respect to </w:t>
      </w:r>
      <w:r w:rsidRPr="00A66235">
        <w:t xml:space="preserve">the </w:t>
      </w:r>
      <w:r w:rsidR="00452D23">
        <w:t xml:space="preserve">information collection </w:t>
      </w:r>
      <w:r w:rsidR="004028F7">
        <w:t xml:space="preserve">being renewed </w:t>
      </w:r>
      <w:r w:rsidRPr="00A66235">
        <w:t xml:space="preserve">or </w:t>
      </w:r>
      <w:r w:rsidR="004028F7">
        <w:t xml:space="preserve">comments </w:t>
      </w:r>
      <w:r w:rsidR="00117669">
        <w:t>associated</w:t>
      </w:r>
      <w:r w:rsidRPr="00A66235">
        <w:t xml:space="preserve"> </w:t>
      </w:r>
      <w:r w:rsidR="00155EAB">
        <w:t xml:space="preserve">with the </w:t>
      </w:r>
      <w:r w:rsidRPr="00A66235">
        <w:t>estimated burden</w:t>
      </w:r>
      <w:r w:rsidR="00117669">
        <w:t xml:space="preserve"> or cost</w:t>
      </w:r>
      <w:r w:rsidR="00155EAB">
        <w:t xml:space="preserve"> of the </w:t>
      </w:r>
      <w:r w:rsidR="00452D23">
        <w:t>information collection being renewed</w:t>
      </w:r>
      <w:r w:rsidRPr="00A66235">
        <w:t>.</w:t>
      </w:r>
    </w:p>
    <w:p w:rsidR="009568C8" w:rsidP="6BEC65BA" w14:paraId="445C2754" w14:textId="77777777">
      <w:pPr>
        <w:pStyle w:val="BodyText2"/>
        <w:ind w:firstLine="720"/>
      </w:pPr>
    </w:p>
    <w:p w:rsidR="009568C8" w:rsidRPr="009568C8" w:rsidP="6BEC65BA" w14:paraId="1E5D8CF9" w14:textId="77777777">
      <w:pPr>
        <w:rPr>
          <w:rFonts w:ascii="Times New Roman" w:hAnsi="Times New Roman"/>
          <w:sz w:val="24"/>
          <w:u w:val="single"/>
        </w:rPr>
      </w:pPr>
      <w:r w:rsidRPr="6BEC65BA">
        <w:rPr>
          <w:rFonts w:ascii="Times New Roman" w:hAnsi="Times New Roman"/>
          <w:sz w:val="24"/>
        </w:rPr>
        <w:t xml:space="preserve">9. </w:t>
      </w:r>
      <w:r w:rsidRPr="6BEC65BA">
        <w:rPr>
          <w:rFonts w:ascii="Times New Roman" w:hAnsi="Times New Roman"/>
          <w:sz w:val="24"/>
          <w:u w:val="single"/>
        </w:rPr>
        <w:t>Explanation of decision to provide any pa</w:t>
      </w:r>
      <w:r w:rsidRPr="6BEC65BA" w:rsidR="00916F04">
        <w:rPr>
          <w:rFonts w:ascii="Times New Roman" w:hAnsi="Times New Roman"/>
          <w:sz w:val="24"/>
          <w:u w:val="single"/>
        </w:rPr>
        <w:t>yment or gift to respondents</w:t>
      </w:r>
      <w:r w:rsidRPr="6BEC65BA" w:rsidR="00C26A03">
        <w:rPr>
          <w:rFonts w:ascii="Times New Roman" w:hAnsi="Times New Roman"/>
          <w:sz w:val="24"/>
          <w:u w:val="single"/>
        </w:rPr>
        <w:t>.</w:t>
      </w:r>
    </w:p>
    <w:p w:rsidR="009568C8" w:rsidRPr="009568C8" w:rsidP="6BEC65BA" w14:paraId="05F5DC91" w14:textId="77777777">
      <w:pPr>
        <w:rPr>
          <w:rFonts w:ascii="Times New Roman" w:hAnsi="Times New Roman"/>
          <w:sz w:val="24"/>
          <w:u w:val="single"/>
        </w:rPr>
      </w:pPr>
    </w:p>
    <w:p w:rsidR="009568C8" w:rsidRPr="009568C8" w:rsidP="6BEC65BA" w14:paraId="441B4B51" w14:textId="77777777">
      <w:pPr>
        <w:ind w:firstLine="720"/>
        <w:rPr>
          <w:rFonts w:ascii="Times New Roman" w:hAnsi="Times New Roman"/>
          <w:sz w:val="24"/>
        </w:rPr>
      </w:pPr>
      <w:r w:rsidRPr="6BEC65BA">
        <w:rPr>
          <w:rFonts w:ascii="Times New Roman" w:hAnsi="Times New Roman"/>
          <w:sz w:val="24"/>
        </w:rPr>
        <w:t>No payments or gifts were made to respondents.</w:t>
      </w:r>
    </w:p>
    <w:p w:rsidR="009B67ED" w:rsidP="6BEC65BA" w14:paraId="66253572" w14:textId="77777777">
      <w:pPr>
        <w:rPr>
          <w:rFonts w:ascii="Times New Roman" w:hAnsi="Times New Roman"/>
          <w:sz w:val="24"/>
        </w:rPr>
      </w:pPr>
    </w:p>
    <w:p w:rsidR="00565F27" w:rsidP="6BEC65BA" w14:paraId="3C803A25" w14:textId="77777777">
      <w:pPr>
        <w:pStyle w:val="BodyText2"/>
      </w:pPr>
      <w:r w:rsidRPr="6BEC65BA">
        <w:t xml:space="preserve">10. </w:t>
      </w:r>
      <w:r w:rsidRPr="6BEC65BA" w:rsidR="00155EB1">
        <w:rPr>
          <w:u w:val="single"/>
        </w:rPr>
        <w:t xml:space="preserve">Assurance </w:t>
      </w:r>
      <w:r w:rsidRPr="6BEC65BA" w:rsidR="006B2873">
        <w:rPr>
          <w:u w:val="single"/>
        </w:rPr>
        <w:t>of confidentiality of responses</w:t>
      </w:r>
      <w:r w:rsidRPr="6BEC65BA" w:rsidR="00C26A03">
        <w:rPr>
          <w:u w:val="single"/>
        </w:rPr>
        <w:t>.</w:t>
      </w:r>
      <w:r w:rsidRPr="6BEC65BA" w:rsidR="006B2873">
        <w:t xml:space="preserve">  </w:t>
      </w:r>
    </w:p>
    <w:p w:rsidR="009B67ED" w:rsidP="6BEC65BA" w14:paraId="1E436E37" w14:textId="77777777">
      <w:pPr>
        <w:pStyle w:val="BodyText2"/>
      </w:pPr>
    </w:p>
    <w:p w:rsidR="00930A52" w:rsidRPr="002575CF" w:rsidP="00930A52" w14:paraId="68C51FFD" w14:textId="222DA916">
      <w:pPr>
        <w:tabs>
          <w:tab w:val="left" w:pos="0"/>
        </w:tabs>
        <w:rPr>
          <w:rFonts w:ascii="Times New Roman" w:hAnsi="Times New Roman"/>
          <w:sz w:val="24"/>
          <w:vertAlign w:val="superscript"/>
        </w:rPr>
      </w:pPr>
      <w:r>
        <w:rPr>
          <w:rFonts w:ascii="Times New Roman" w:hAnsi="Times New Roman"/>
          <w:sz w:val="24"/>
        </w:rPr>
        <w:tab/>
      </w:r>
      <w:r w:rsidRPr="000D643F">
        <w:rPr>
          <w:rFonts w:ascii="Times New Roman" w:hAnsi="Times New Roman"/>
          <w:sz w:val="24"/>
        </w:rPr>
        <w:t>The information collected will be made available to Treasury, its designee, and other authorized agencies, as are other reports required to be reported under the BSA.  All such information collections under the BSA must be used by such agencies consistent with the purposes set forth in 31 U.S.C. 5311, including but not limited to furthering a criminal, tax, or regulatory investigation, risk assessment, or proceeding, or use in intelligence or counterintelligence activities, including analysis, to protect against terrorism.</w:t>
      </w:r>
    </w:p>
    <w:p w:rsidR="00930A52" w:rsidP="00F0601B" w14:paraId="4158CEBF" w14:textId="77777777">
      <w:pPr>
        <w:shd w:val="clear" w:color="auto" w:fill="FFFFFF" w:themeFill="background1"/>
        <w:ind w:firstLine="720"/>
        <w:rPr>
          <w:rFonts w:ascii="Times New Roman" w:hAnsi="Times New Roman"/>
          <w:sz w:val="24"/>
        </w:rPr>
      </w:pPr>
    </w:p>
    <w:p w:rsidR="008516EB" w:rsidP="00F0601B" w14:paraId="4110FB5B" w14:textId="037FFB9E">
      <w:pPr>
        <w:shd w:val="clear" w:color="auto" w:fill="FFFFFF" w:themeFill="background1"/>
        <w:ind w:firstLine="720"/>
        <w:rPr>
          <w:rFonts w:ascii="Times New Roman" w:hAnsi="Times New Roman"/>
          <w:sz w:val="24"/>
        </w:rPr>
      </w:pPr>
      <w:r>
        <w:rPr>
          <w:rFonts w:ascii="Times New Roman" w:hAnsi="Times New Roman"/>
          <w:sz w:val="24"/>
        </w:rPr>
        <w:t>As noted in Section</w:t>
      </w:r>
      <w:r w:rsidR="008339FE">
        <w:rPr>
          <w:rFonts w:ascii="Times New Roman" w:hAnsi="Times New Roman"/>
          <w:sz w:val="24"/>
        </w:rPr>
        <w:t>s 2 and</w:t>
      </w:r>
      <w:r>
        <w:rPr>
          <w:rFonts w:ascii="Times New Roman" w:hAnsi="Times New Roman"/>
          <w:sz w:val="24"/>
        </w:rPr>
        <w:t xml:space="preserve"> 7, </w:t>
      </w:r>
      <w:r>
        <w:rPr>
          <w:rFonts w:ascii="Times New Roman" w:hAnsi="Times New Roman"/>
          <w:sz w:val="24"/>
        </w:rPr>
        <w:t>covered financial institution</w:t>
      </w:r>
      <w:r>
        <w:rPr>
          <w:rFonts w:ascii="Times New Roman" w:hAnsi="Times New Roman"/>
          <w:sz w:val="24"/>
        </w:rPr>
        <w:t>s</w:t>
      </w:r>
      <w:r>
        <w:rPr>
          <w:rFonts w:ascii="Times New Roman" w:hAnsi="Times New Roman"/>
          <w:sz w:val="24"/>
        </w:rPr>
        <w:t xml:space="preserve"> must retain records </w:t>
      </w:r>
      <w:r w:rsidRPr="6BEC65BA">
        <w:rPr>
          <w:rFonts w:ascii="Times New Roman" w:hAnsi="Times New Roman"/>
          <w:sz w:val="24"/>
        </w:rPr>
        <w:t>for at least five years after the date that covered financial institution</w:t>
      </w:r>
      <w:r>
        <w:rPr>
          <w:rFonts w:ascii="Times New Roman" w:hAnsi="Times New Roman"/>
          <w:sz w:val="24"/>
        </w:rPr>
        <w:t>s</w:t>
      </w:r>
      <w:r w:rsidRPr="6BEC65BA">
        <w:rPr>
          <w:rFonts w:ascii="Times New Roman" w:hAnsi="Times New Roman"/>
          <w:sz w:val="24"/>
        </w:rPr>
        <w:t xml:space="preserve"> no longer maintain any correspondent account for </w:t>
      </w:r>
      <w:r>
        <w:rPr>
          <w:rFonts w:ascii="Times New Roman" w:hAnsi="Times New Roman"/>
          <w:sz w:val="24"/>
        </w:rPr>
        <w:t>the</w:t>
      </w:r>
      <w:r w:rsidRPr="6BEC65BA">
        <w:rPr>
          <w:rFonts w:ascii="Times New Roman" w:hAnsi="Times New Roman"/>
          <w:sz w:val="24"/>
        </w:rPr>
        <w:t xml:space="preserve"> foreign bank</w:t>
      </w:r>
      <w:r w:rsidRPr="6AB3309C">
        <w:rPr>
          <w:rFonts w:ascii="Times New Roman" w:hAnsi="Times New Roman"/>
          <w:sz w:val="24"/>
        </w:rPr>
        <w:t>, or longer if directed by the Secretary</w:t>
      </w:r>
      <w:r w:rsidRPr="6BEC65BA">
        <w:rPr>
          <w:rFonts w:ascii="Times New Roman" w:hAnsi="Times New Roman"/>
          <w:sz w:val="24"/>
        </w:rPr>
        <w:t>.</w:t>
      </w:r>
      <w:r>
        <w:rPr>
          <w:rFonts w:ascii="Times New Roman" w:hAnsi="Times New Roman"/>
          <w:sz w:val="24"/>
        </w:rPr>
        <w:t xml:space="preserve">  </w:t>
      </w:r>
      <w:r>
        <w:rPr>
          <w:rFonts w:ascii="Times New Roman" w:hAnsi="Times New Roman"/>
          <w:sz w:val="24"/>
        </w:rPr>
        <w:t>C</w:t>
      </w:r>
      <w:r w:rsidR="00EE74B9">
        <w:rPr>
          <w:rFonts w:ascii="Times New Roman" w:hAnsi="Times New Roman"/>
          <w:sz w:val="24"/>
        </w:rPr>
        <w:t>overed financial institution</w:t>
      </w:r>
      <w:r>
        <w:rPr>
          <w:rFonts w:ascii="Times New Roman" w:hAnsi="Times New Roman"/>
          <w:sz w:val="24"/>
        </w:rPr>
        <w:t>s</w:t>
      </w:r>
      <w:r w:rsidR="00EE74B9">
        <w:rPr>
          <w:rFonts w:ascii="Times New Roman" w:hAnsi="Times New Roman"/>
          <w:sz w:val="24"/>
        </w:rPr>
        <w:t xml:space="preserve"> m</w:t>
      </w:r>
      <w:r>
        <w:rPr>
          <w:rFonts w:ascii="Times New Roman" w:hAnsi="Times New Roman"/>
          <w:sz w:val="24"/>
        </w:rPr>
        <w:t xml:space="preserve">ust </w:t>
      </w:r>
      <w:r w:rsidRPr="00B90D55">
        <w:rPr>
          <w:rFonts w:ascii="Times New Roman" w:hAnsi="Times New Roman"/>
          <w:sz w:val="24"/>
        </w:rPr>
        <w:t>provide the information to</w:t>
      </w:r>
      <w:r>
        <w:rPr>
          <w:rFonts w:ascii="Times New Roman" w:hAnsi="Times New Roman"/>
          <w:sz w:val="24"/>
        </w:rPr>
        <w:t xml:space="preserve"> any Federal law enforcement officer who has submitted a written request for such information.  Records may</w:t>
      </w:r>
      <w:r w:rsidRPr="00460F75">
        <w:rPr>
          <w:rFonts w:ascii="Times New Roman" w:hAnsi="Times New Roman"/>
          <w:sz w:val="24"/>
        </w:rPr>
        <w:t xml:space="preserve"> be reviewed by regulatory agencies during BSA examinations</w:t>
      </w:r>
      <w:r>
        <w:rPr>
          <w:rFonts w:ascii="Times New Roman" w:hAnsi="Times New Roman"/>
          <w:sz w:val="24"/>
        </w:rPr>
        <w:t>.</w:t>
      </w:r>
    </w:p>
    <w:p w:rsidR="00F0601B" w:rsidP="00F0601B" w14:paraId="243D01CC" w14:textId="77777777">
      <w:pPr>
        <w:shd w:val="clear" w:color="auto" w:fill="FFFFFF" w:themeFill="background1"/>
        <w:ind w:firstLine="720"/>
        <w:rPr>
          <w:rFonts w:ascii="Times New Roman" w:hAnsi="Times New Roman"/>
          <w:sz w:val="24"/>
        </w:rPr>
      </w:pPr>
    </w:p>
    <w:p w:rsidR="00565F27" w:rsidP="6BEC65BA" w14:paraId="43F4E779" w14:textId="26002519">
      <w:pPr>
        <w:rPr>
          <w:rFonts w:ascii="Times New Roman" w:hAnsi="Times New Roman"/>
          <w:sz w:val="24"/>
        </w:rPr>
      </w:pPr>
      <w:r w:rsidRPr="6BEC65BA">
        <w:rPr>
          <w:rFonts w:ascii="Times New Roman" w:hAnsi="Times New Roman"/>
          <w:sz w:val="24"/>
        </w:rPr>
        <w:t xml:space="preserve">11.  </w:t>
      </w:r>
      <w:r w:rsidRPr="6BEC65BA">
        <w:rPr>
          <w:rFonts w:ascii="Times New Roman" w:hAnsi="Times New Roman"/>
          <w:sz w:val="24"/>
          <w:u w:val="single"/>
        </w:rPr>
        <w:t xml:space="preserve">Justification </w:t>
      </w:r>
      <w:r w:rsidRPr="6BEC65BA" w:rsidR="006B2873">
        <w:rPr>
          <w:rFonts w:ascii="Times New Roman" w:hAnsi="Times New Roman"/>
          <w:sz w:val="24"/>
          <w:u w:val="single"/>
        </w:rPr>
        <w:t>of sensitive questions</w:t>
      </w:r>
      <w:r w:rsidRPr="6BEC65BA" w:rsidR="00C26A03">
        <w:rPr>
          <w:rFonts w:ascii="Times New Roman" w:hAnsi="Times New Roman"/>
          <w:sz w:val="24"/>
          <w:u w:val="single"/>
        </w:rPr>
        <w:t>.</w:t>
      </w:r>
      <w:r w:rsidRPr="6BEC65BA" w:rsidR="006B2873">
        <w:rPr>
          <w:rFonts w:ascii="Times New Roman" w:hAnsi="Times New Roman"/>
          <w:sz w:val="24"/>
        </w:rPr>
        <w:t xml:space="preserve">  </w:t>
      </w:r>
    </w:p>
    <w:p w:rsidR="00565F27" w:rsidRPr="009B0659" w:rsidP="6BEC65BA" w14:paraId="2560DCD5" w14:textId="77777777">
      <w:pPr>
        <w:ind w:left="360"/>
        <w:rPr>
          <w:rFonts w:ascii="Times New Roman" w:hAnsi="Times New Roman"/>
          <w:sz w:val="24"/>
        </w:rPr>
      </w:pPr>
    </w:p>
    <w:p w:rsidR="006B186B" w:rsidRPr="006B186B" w:rsidP="0085585E" w14:paraId="6FC845A3" w14:textId="2FD7477D">
      <w:pPr>
        <w:spacing w:after="240"/>
        <w:ind w:firstLine="720"/>
        <w:rPr>
          <w:rFonts w:ascii="Times New Roman" w:hAnsi="Times New Roman"/>
          <w:sz w:val="24"/>
        </w:rPr>
      </w:pPr>
      <w:r w:rsidRPr="009B0659">
        <w:rPr>
          <w:rFonts w:ascii="Times New Roman" w:hAnsi="Times New Roman"/>
          <w:sz w:val="24"/>
        </w:rPr>
        <w:t>There are no questions of a sensitive nature in the collection of information, such as sexual behavior and attitudes, religious beliefs, and other matters that are commonly considered private.  Any personally identifiable information collected under the BSA is strictly controlled as outlined in FinCEN’s Privacy Act Systems of Records Notice for BSA reports</w:t>
      </w:r>
      <w:r w:rsidRPr="009B0659">
        <w:rPr>
          <w:rFonts w:ascii="Times New Roman" w:hAnsi="Times New Roman"/>
          <w:color w:val="1F497D"/>
          <w:sz w:val="24"/>
        </w:rPr>
        <w:t>.</w:t>
      </w:r>
      <w:r>
        <w:rPr>
          <w:rStyle w:val="FootnoteReference"/>
          <w:rFonts w:ascii="Times New Roman" w:hAnsi="Times New Roman" w:eastAsiaTheme="majorEastAsia"/>
          <w:sz w:val="24"/>
          <w:vertAlign w:val="superscript"/>
        </w:rPr>
        <w:footnoteReference w:id="23"/>
      </w:r>
    </w:p>
    <w:p w:rsidR="00174A54" w:rsidP="6BEC65BA" w14:paraId="0F3CEB2C" w14:textId="77777777">
      <w:pPr>
        <w:rPr>
          <w:rFonts w:ascii="Times New Roman" w:hAnsi="Times New Roman"/>
          <w:sz w:val="24"/>
          <w:u w:val="single"/>
        </w:rPr>
      </w:pPr>
      <w:r w:rsidRPr="6BEC65BA">
        <w:rPr>
          <w:rFonts w:ascii="Times New Roman" w:hAnsi="Times New Roman"/>
          <w:sz w:val="24"/>
        </w:rPr>
        <w:t>12</w:t>
      </w:r>
      <w:r w:rsidRPr="6BEC65BA" w:rsidR="003302C2">
        <w:rPr>
          <w:rFonts w:ascii="Times New Roman" w:hAnsi="Times New Roman"/>
          <w:sz w:val="24"/>
        </w:rPr>
        <w:t>.</w:t>
      </w:r>
      <w:r w:rsidRPr="6BEC65BA">
        <w:rPr>
          <w:rFonts w:ascii="Times New Roman" w:hAnsi="Times New Roman"/>
          <w:sz w:val="24"/>
        </w:rPr>
        <w:t xml:space="preserve">  </w:t>
      </w:r>
      <w:r w:rsidRPr="6BEC65BA">
        <w:rPr>
          <w:rFonts w:ascii="Times New Roman" w:hAnsi="Times New Roman"/>
          <w:sz w:val="24"/>
          <w:u w:val="single"/>
        </w:rPr>
        <w:t xml:space="preserve">Estimated </w:t>
      </w:r>
      <w:r w:rsidRPr="6BEC65BA" w:rsidR="003302C2">
        <w:rPr>
          <w:rFonts w:ascii="Times New Roman" w:hAnsi="Times New Roman"/>
          <w:sz w:val="24"/>
          <w:u w:val="single"/>
        </w:rPr>
        <w:t>annual hourly burden.</w:t>
      </w:r>
    </w:p>
    <w:p w:rsidR="007B71B9" w:rsidP="6BEC65BA" w14:paraId="2F16AD4F" w14:textId="77777777">
      <w:pPr>
        <w:rPr>
          <w:rFonts w:ascii="Times New Roman" w:hAnsi="Times New Roman"/>
          <w:sz w:val="24"/>
          <w:u w:val="single"/>
        </w:rPr>
      </w:pPr>
    </w:p>
    <w:p w:rsidR="005325B3" w:rsidP="6BEC65BA" w14:paraId="14037DA1" w14:textId="77777777">
      <w:pPr>
        <w:rPr>
          <w:rFonts w:ascii="Times New Roman" w:hAnsi="Times New Roman"/>
          <w:sz w:val="24"/>
        </w:rPr>
      </w:pPr>
      <w:r w:rsidRPr="6BEC65BA">
        <w:rPr>
          <w:rFonts w:ascii="Times New Roman" w:hAnsi="Times New Roman"/>
          <w:sz w:val="24"/>
          <w:u w:val="single"/>
        </w:rPr>
        <w:t>Frequency</w:t>
      </w:r>
      <w:r w:rsidRPr="6BEC65BA">
        <w:rPr>
          <w:rFonts w:ascii="Times New Roman" w:hAnsi="Times New Roman"/>
          <w:sz w:val="24"/>
        </w:rPr>
        <w:t xml:space="preserve">: </w:t>
      </w:r>
      <w:r w:rsidRPr="6BEC65BA" w:rsidR="003302C2">
        <w:rPr>
          <w:rFonts w:ascii="Times New Roman" w:hAnsi="Times New Roman"/>
          <w:sz w:val="24"/>
        </w:rPr>
        <w:t xml:space="preserve"> </w:t>
      </w:r>
      <w:r w:rsidRPr="6BEC65BA">
        <w:rPr>
          <w:rFonts w:ascii="Times New Roman" w:hAnsi="Times New Roman"/>
          <w:sz w:val="24"/>
        </w:rPr>
        <w:t>As required.</w:t>
      </w:r>
    </w:p>
    <w:p w:rsidR="005325B3" w:rsidP="6BEC65BA" w14:paraId="64F7395E" w14:textId="77777777">
      <w:pPr>
        <w:rPr>
          <w:rFonts w:ascii="Times New Roman" w:hAnsi="Times New Roman"/>
          <w:sz w:val="24"/>
        </w:rPr>
      </w:pPr>
    </w:p>
    <w:p w:rsidR="005325B3" w:rsidP="6BEC65BA" w14:paraId="7B60A79B" w14:textId="0A4FE323">
      <w:pPr>
        <w:rPr>
          <w:rFonts w:ascii="Times New Roman" w:hAnsi="Times New Roman"/>
          <w:sz w:val="24"/>
        </w:rPr>
      </w:pPr>
      <w:r w:rsidRPr="6BEC65BA">
        <w:rPr>
          <w:rFonts w:ascii="Times New Roman" w:hAnsi="Times New Roman"/>
          <w:sz w:val="24"/>
          <w:u w:val="single"/>
        </w:rPr>
        <w:t>Estimated Number of</w:t>
      </w:r>
      <w:r w:rsidRPr="6BEC65BA" w:rsidR="6A81E70D">
        <w:rPr>
          <w:rFonts w:ascii="Times New Roman" w:hAnsi="Times New Roman"/>
          <w:sz w:val="24"/>
          <w:u w:val="single"/>
        </w:rPr>
        <w:t xml:space="preserve"> Potential</w:t>
      </w:r>
      <w:r w:rsidRPr="6BEC65BA">
        <w:rPr>
          <w:rFonts w:ascii="Times New Roman" w:hAnsi="Times New Roman"/>
          <w:sz w:val="24"/>
          <w:u w:val="single"/>
        </w:rPr>
        <w:t xml:space="preserve"> Respondents:</w:t>
      </w:r>
      <w:r w:rsidRPr="6BEC65BA">
        <w:rPr>
          <w:rFonts w:ascii="Times New Roman" w:hAnsi="Times New Roman"/>
          <w:sz w:val="24"/>
        </w:rPr>
        <w:t xml:space="preserve">  </w:t>
      </w:r>
      <w:r w:rsidRPr="6BEC65BA" w:rsidR="0F17410C">
        <w:rPr>
          <w:rFonts w:ascii="Times New Roman" w:hAnsi="Times New Roman"/>
          <w:sz w:val="24"/>
        </w:rPr>
        <w:t>12,</w:t>
      </w:r>
      <w:r w:rsidRPr="6BEC65BA" w:rsidR="6DDAEDB5">
        <w:rPr>
          <w:rFonts w:ascii="Times New Roman" w:hAnsi="Times New Roman"/>
          <w:sz w:val="24"/>
        </w:rPr>
        <w:t xml:space="preserve">637 </w:t>
      </w:r>
      <w:r w:rsidRPr="6BEC65BA" w:rsidR="0F17410C">
        <w:rPr>
          <w:rFonts w:ascii="Times New Roman" w:hAnsi="Times New Roman"/>
          <w:sz w:val="24"/>
        </w:rPr>
        <w:t>covered financial institutions.</w:t>
      </w:r>
      <w:r>
        <w:rPr>
          <w:rStyle w:val="FootnoteReference"/>
          <w:rFonts w:ascii="Times New Roman" w:hAnsi="Times New Roman"/>
          <w:sz w:val="24"/>
          <w:vertAlign w:val="superscript"/>
        </w:rPr>
        <w:footnoteReference w:id="24"/>
      </w:r>
    </w:p>
    <w:p w:rsidR="00452A81" w:rsidP="6BEC65BA" w14:paraId="79CDBD23" w14:textId="77777777">
      <w:pPr>
        <w:rPr>
          <w:rFonts w:ascii="Times New Roman" w:hAnsi="Times New Roman"/>
          <w:sz w:val="24"/>
        </w:rPr>
      </w:pPr>
    </w:p>
    <w:p w:rsidR="004237CD" w:rsidP="00675D56" w14:paraId="5FEF600F" w14:textId="0AA0B7D2">
      <w:pPr>
        <w:pStyle w:val="PlainText"/>
        <w:rPr>
          <w:rFonts w:ascii="Times New Roman" w:hAnsi="Times New Roman" w:cs="Times New Roman"/>
          <w:sz w:val="24"/>
          <w:szCs w:val="24"/>
        </w:rPr>
      </w:pPr>
      <w:r w:rsidRPr="6BEC65BA">
        <w:rPr>
          <w:rFonts w:ascii="Times New Roman" w:hAnsi="Times New Roman" w:cs="Times New Roman"/>
          <w:sz w:val="24"/>
          <w:szCs w:val="24"/>
          <w:u w:val="single"/>
        </w:rPr>
        <w:t>Estimated Number of Expected Respondents</w:t>
      </w:r>
      <w:r w:rsidRPr="6BEC65BA">
        <w:rPr>
          <w:rFonts w:ascii="Times New Roman" w:hAnsi="Times New Roman" w:cs="Times New Roman"/>
          <w:sz w:val="24"/>
          <w:szCs w:val="24"/>
        </w:rPr>
        <w:t xml:space="preserve">:  </w:t>
      </w:r>
      <w:r w:rsidRPr="6BEC65BA" w:rsidR="6BA67391">
        <w:rPr>
          <w:rFonts w:ascii="Times New Roman" w:hAnsi="Times New Roman" w:cs="Times New Roman"/>
          <w:sz w:val="24"/>
          <w:szCs w:val="24"/>
        </w:rPr>
        <w:t xml:space="preserve">104 </w:t>
      </w:r>
      <w:r w:rsidRPr="6BEC65BA">
        <w:rPr>
          <w:rFonts w:ascii="Times New Roman" w:hAnsi="Times New Roman" w:cs="Times New Roman"/>
          <w:sz w:val="24"/>
          <w:szCs w:val="24"/>
        </w:rPr>
        <w:t>covered financial institutions that maintain correspondent accounts with foreign banks.</w:t>
      </w:r>
      <w:r>
        <w:rPr>
          <w:rStyle w:val="FootnoteReference"/>
          <w:rFonts w:ascii="Times New Roman" w:hAnsi="Times New Roman" w:cs="Times New Roman"/>
          <w:sz w:val="24"/>
          <w:szCs w:val="24"/>
          <w:vertAlign w:val="superscript"/>
        </w:rPr>
        <w:footnoteReference w:id="25"/>
      </w:r>
    </w:p>
    <w:p w:rsidR="00675D56" w:rsidRPr="001E6736" w:rsidP="00675D56" w14:paraId="0008C30C" w14:textId="62838CB8">
      <w:pPr>
        <w:pStyle w:val="PlainText"/>
        <w:rPr>
          <w:lang w:val="en-GB"/>
        </w:rPr>
      </w:pPr>
      <w:r>
        <w:rPr>
          <w:lang w:val="en-GB"/>
        </w:rPr>
        <w:pict>
          <v:rect id="_x0000_i1025" style="width:0;height:1.5pt" o:hralign="center" o:hrstd="t" o:hr="t" fillcolor="#a0a0a0" stroked="f"/>
        </w:pict>
      </w:r>
    </w:p>
    <w:p w:rsidR="00420870" w:rsidRPr="008339FE" w:rsidP="6BEC65BA" w14:paraId="3E1CD0F0" w14:textId="77777777">
      <w:pPr>
        <w:ind w:left="180"/>
        <w:rPr>
          <w:rFonts w:ascii="Times New Roman" w:hAnsi="Times New Roman"/>
          <w:b/>
          <w:bCs/>
          <w:sz w:val="24"/>
        </w:rPr>
      </w:pPr>
      <w:r w:rsidRPr="008339FE">
        <w:rPr>
          <w:rFonts w:ascii="Times New Roman" w:hAnsi="Times New Roman"/>
          <w:b/>
          <w:bCs/>
          <w:sz w:val="24"/>
          <w:lang w:val="en-GB"/>
        </w:rPr>
        <w:t>Table 1. Distribution of financial institutions covered by this notice</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976"/>
        <w:gridCol w:w="4374"/>
      </w:tblGrid>
      <w:tr w14:paraId="33E34CDD" w14:textId="77777777" w:rsidTr="004003B5">
        <w:tblPrEx>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0"/>
          <w:tblHeader/>
          <w:jc w:val="center"/>
        </w:trPr>
        <w:tc>
          <w:tcPr>
            <w:tcW w:w="2661" w:type="pct"/>
            <w:tcBorders>
              <w:top w:val="single" w:sz="4" w:space="0" w:color="auto"/>
            </w:tcBorders>
            <w:vAlign w:val="center"/>
          </w:tcPr>
          <w:p w:rsidR="004237CD" w:rsidRPr="004003B5" w:rsidP="00223918" w14:paraId="7D4516E2" w14:textId="62D7188E">
            <w:pPr>
              <w:ind w:left="180"/>
              <w:jc w:val="center"/>
              <w:rPr>
                <w:rFonts w:ascii="Times New Roman" w:eastAsia="Calibri" w:hAnsi="Times New Roman"/>
                <w:b/>
                <w:sz w:val="24"/>
              </w:rPr>
            </w:pPr>
            <w:r w:rsidRPr="004003B5">
              <w:rPr>
                <w:rFonts w:ascii="Times New Roman" w:eastAsia="Calibri" w:hAnsi="Times New Roman"/>
                <w:b/>
                <w:sz w:val="24"/>
              </w:rPr>
              <w:t>Type of</w:t>
            </w:r>
            <w:r w:rsidRPr="004003B5" w:rsidR="762DBFD3">
              <w:rPr>
                <w:rFonts w:ascii="Times New Roman" w:eastAsia="Calibri" w:hAnsi="Times New Roman"/>
                <w:b/>
                <w:sz w:val="24"/>
              </w:rPr>
              <w:t xml:space="preserve"> Financial</w:t>
            </w:r>
            <w:r w:rsidRPr="004003B5">
              <w:rPr>
                <w:rFonts w:ascii="Times New Roman" w:eastAsia="Calibri" w:hAnsi="Times New Roman"/>
                <w:b/>
                <w:sz w:val="24"/>
              </w:rPr>
              <w:t xml:space="preserve"> Institution</w:t>
            </w:r>
          </w:p>
        </w:tc>
        <w:tc>
          <w:tcPr>
            <w:tcW w:w="2339" w:type="pct"/>
            <w:tcBorders>
              <w:top w:val="single" w:sz="4" w:space="0" w:color="auto"/>
            </w:tcBorders>
            <w:vAlign w:val="center"/>
          </w:tcPr>
          <w:p w:rsidR="004237CD" w:rsidRPr="004003B5" w:rsidP="00223918" w14:paraId="5E8BCA78" w14:textId="77777777">
            <w:pPr>
              <w:ind w:left="180"/>
              <w:jc w:val="center"/>
              <w:rPr>
                <w:rFonts w:ascii="Times New Roman" w:eastAsia="Calibri" w:hAnsi="Times New Roman"/>
                <w:b/>
                <w:sz w:val="24"/>
              </w:rPr>
            </w:pPr>
            <w:r w:rsidRPr="004003B5">
              <w:rPr>
                <w:rFonts w:ascii="Times New Roman" w:eastAsia="Calibri" w:hAnsi="Times New Roman"/>
                <w:b/>
                <w:sz w:val="24"/>
              </w:rPr>
              <w:t>Count</w:t>
            </w:r>
          </w:p>
        </w:tc>
      </w:tr>
      <w:tr w14:paraId="70AAA2C2" w14:textId="77777777" w:rsidTr="004003B5">
        <w:tblPrEx>
          <w:tblW w:w="5000" w:type="pct"/>
          <w:jc w:val="center"/>
          <w:tblLayout w:type="fixed"/>
          <w:tblCellMar>
            <w:left w:w="0" w:type="dxa"/>
            <w:right w:w="0" w:type="dxa"/>
          </w:tblCellMar>
          <w:tblLook w:val="01E0"/>
        </w:tblPrEx>
        <w:trPr>
          <w:trHeight w:val="20"/>
          <w:jc w:val="center"/>
        </w:trPr>
        <w:tc>
          <w:tcPr>
            <w:tcW w:w="2661" w:type="pct"/>
            <w:vAlign w:val="center"/>
          </w:tcPr>
          <w:p w:rsidR="004237CD" w:rsidRPr="004003B5" w:rsidP="00223918" w14:paraId="32088A03" w14:textId="77777777">
            <w:pPr>
              <w:ind w:left="180"/>
              <w:rPr>
                <w:rFonts w:ascii="Times New Roman" w:eastAsia="MS Mincho" w:hAnsi="Times New Roman"/>
                <w:sz w:val="24"/>
              </w:rPr>
            </w:pPr>
            <w:r w:rsidRPr="004003B5">
              <w:rPr>
                <w:rFonts w:ascii="Times New Roman" w:eastAsia="MS Mincho" w:hAnsi="Times New Roman"/>
                <w:sz w:val="24"/>
              </w:rPr>
              <w:t>Banks with a Federal functional regulator (FFR)</w:t>
            </w:r>
          </w:p>
        </w:tc>
        <w:tc>
          <w:tcPr>
            <w:tcW w:w="2339" w:type="pct"/>
            <w:vAlign w:val="center"/>
          </w:tcPr>
          <w:p w:rsidR="004237CD" w:rsidRPr="004003B5" w:rsidP="00223918" w14:paraId="0CA352C2" w14:textId="6BD0BACB">
            <w:pPr>
              <w:ind w:left="180"/>
              <w:jc w:val="center"/>
              <w:rPr>
                <w:rFonts w:ascii="Times New Roman" w:hAnsi="Times New Roman"/>
                <w:sz w:val="24"/>
              </w:rPr>
            </w:pPr>
            <w:r w:rsidRPr="004003B5">
              <w:rPr>
                <w:rFonts w:ascii="Times New Roman" w:hAnsi="Times New Roman"/>
                <w:sz w:val="24"/>
              </w:rPr>
              <w:t>8,</w:t>
            </w:r>
            <w:r w:rsidRPr="004003B5" w:rsidR="006B1284">
              <w:rPr>
                <w:rFonts w:ascii="Times New Roman" w:hAnsi="Times New Roman"/>
                <w:sz w:val="24"/>
              </w:rPr>
              <w:t>922</w:t>
            </w:r>
            <w:r w:rsidRPr="004003B5" w:rsidR="006B1284">
              <w:rPr>
                <w:rFonts w:ascii="Times New Roman" w:hAnsi="Times New Roman"/>
                <w:sz w:val="24"/>
                <w:vertAlign w:val="superscript"/>
              </w:rPr>
              <w:t>a</w:t>
            </w:r>
          </w:p>
        </w:tc>
      </w:tr>
      <w:tr w14:paraId="1BEA2E22" w14:textId="77777777" w:rsidTr="004003B5">
        <w:tblPrEx>
          <w:tblW w:w="5000" w:type="pct"/>
          <w:jc w:val="center"/>
          <w:tblLayout w:type="fixed"/>
          <w:tblCellMar>
            <w:left w:w="0" w:type="dxa"/>
            <w:right w:w="0" w:type="dxa"/>
          </w:tblCellMar>
          <w:tblLook w:val="01E0"/>
        </w:tblPrEx>
        <w:trPr>
          <w:trHeight w:val="20"/>
          <w:jc w:val="center"/>
        </w:trPr>
        <w:tc>
          <w:tcPr>
            <w:tcW w:w="2661" w:type="pct"/>
            <w:vAlign w:val="center"/>
          </w:tcPr>
          <w:p w:rsidR="004237CD" w:rsidRPr="004003B5" w:rsidP="00223918" w14:paraId="5D32D4DA" w14:textId="77777777">
            <w:pPr>
              <w:ind w:left="180"/>
              <w:rPr>
                <w:rFonts w:ascii="Times New Roman" w:eastAsia="MS Mincho" w:hAnsi="Times New Roman"/>
                <w:sz w:val="24"/>
              </w:rPr>
            </w:pPr>
            <w:r w:rsidRPr="004003B5">
              <w:rPr>
                <w:rFonts w:ascii="Times New Roman" w:eastAsia="MS Mincho" w:hAnsi="Times New Roman"/>
                <w:sz w:val="24"/>
              </w:rPr>
              <w:t>Banks lacking an FFR</w:t>
            </w:r>
          </w:p>
        </w:tc>
        <w:tc>
          <w:tcPr>
            <w:tcW w:w="2339" w:type="pct"/>
            <w:vAlign w:val="center"/>
          </w:tcPr>
          <w:p w:rsidR="004237CD" w:rsidRPr="004003B5" w:rsidP="00223918" w14:paraId="021C8A16" w14:textId="3E55BD26">
            <w:pPr>
              <w:ind w:left="180"/>
              <w:jc w:val="center"/>
              <w:rPr>
                <w:rFonts w:ascii="Times New Roman" w:eastAsia="Calibri" w:hAnsi="Times New Roman"/>
                <w:sz w:val="24"/>
              </w:rPr>
            </w:pPr>
            <w:r w:rsidRPr="004003B5">
              <w:rPr>
                <w:rFonts w:ascii="Times New Roman" w:eastAsia="Calibri" w:hAnsi="Times New Roman"/>
                <w:sz w:val="24"/>
              </w:rPr>
              <w:t>39</w:t>
            </w:r>
            <w:r w:rsidRPr="004003B5" w:rsidR="006B1284">
              <w:rPr>
                <w:rFonts w:ascii="Times New Roman" w:eastAsia="Calibri" w:hAnsi="Times New Roman"/>
                <w:sz w:val="24"/>
              </w:rPr>
              <w:t>9</w:t>
            </w:r>
            <w:r w:rsidRPr="004003B5">
              <w:rPr>
                <w:rFonts w:ascii="Times New Roman" w:eastAsia="Calibri" w:hAnsi="Times New Roman"/>
                <w:sz w:val="24"/>
                <w:vertAlign w:val="superscript"/>
              </w:rPr>
              <w:t>b</w:t>
            </w:r>
          </w:p>
        </w:tc>
      </w:tr>
      <w:tr w14:paraId="32A10D83" w14:textId="77777777" w:rsidTr="004003B5">
        <w:tblPrEx>
          <w:tblW w:w="5000" w:type="pct"/>
          <w:jc w:val="center"/>
          <w:tblLayout w:type="fixed"/>
          <w:tblCellMar>
            <w:left w:w="0" w:type="dxa"/>
            <w:right w:w="0" w:type="dxa"/>
          </w:tblCellMar>
          <w:tblLook w:val="01E0"/>
        </w:tblPrEx>
        <w:trPr>
          <w:trHeight w:val="20"/>
          <w:jc w:val="center"/>
        </w:trPr>
        <w:tc>
          <w:tcPr>
            <w:tcW w:w="2661" w:type="pct"/>
            <w:vAlign w:val="center"/>
          </w:tcPr>
          <w:p w:rsidR="004237CD" w:rsidRPr="004003B5" w:rsidP="00223918" w14:paraId="01F8946A" w14:textId="068D9217">
            <w:pPr>
              <w:ind w:left="180"/>
              <w:rPr>
                <w:rFonts w:ascii="Times New Roman" w:eastAsia="Calibri" w:hAnsi="Times New Roman"/>
                <w:sz w:val="24"/>
              </w:rPr>
            </w:pPr>
            <w:r w:rsidRPr="004003B5">
              <w:rPr>
                <w:rFonts w:ascii="Times New Roman" w:eastAsia="Calibri" w:hAnsi="Times New Roman"/>
                <w:sz w:val="24"/>
              </w:rPr>
              <w:t>Brokers or dealers in securities</w:t>
            </w:r>
            <w:r w:rsidR="00F71136">
              <w:rPr>
                <w:rFonts w:ascii="Times New Roman" w:eastAsia="Calibri" w:hAnsi="Times New Roman"/>
                <w:sz w:val="24"/>
              </w:rPr>
              <w:t xml:space="preserve"> (broker-dealers)</w:t>
            </w:r>
          </w:p>
        </w:tc>
        <w:tc>
          <w:tcPr>
            <w:tcW w:w="2339" w:type="pct"/>
            <w:vAlign w:val="center"/>
          </w:tcPr>
          <w:p w:rsidR="004237CD" w:rsidRPr="004003B5" w:rsidP="00223918" w14:paraId="38626A9E" w14:textId="50DA161B">
            <w:pPr>
              <w:jc w:val="center"/>
              <w:rPr>
                <w:rFonts w:ascii="Times New Roman" w:hAnsi="Times New Roman"/>
                <w:sz w:val="24"/>
              </w:rPr>
            </w:pPr>
            <w:r w:rsidRPr="004003B5">
              <w:rPr>
                <w:rFonts w:ascii="Times New Roman" w:hAnsi="Times New Roman"/>
                <w:sz w:val="24"/>
              </w:rPr>
              <w:t>3,</w:t>
            </w:r>
            <w:r w:rsidRPr="004003B5" w:rsidR="006B1284">
              <w:rPr>
                <w:rFonts w:ascii="Times New Roman" w:hAnsi="Times New Roman"/>
                <w:sz w:val="24"/>
              </w:rPr>
              <w:t>316</w:t>
            </w:r>
            <w:r w:rsidRPr="004003B5" w:rsidR="006B1284">
              <w:rPr>
                <w:rFonts w:ascii="Times New Roman" w:hAnsi="Times New Roman"/>
                <w:sz w:val="24"/>
                <w:vertAlign w:val="superscript"/>
              </w:rPr>
              <w:t>c</w:t>
            </w:r>
          </w:p>
        </w:tc>
      </w:tr>
      <w:tr w14:paraId="163FE9C9" w14:textId="77777777" w:rsidTr="004003B5">
        <w:tblPrEx>
          <w:tblW w:w="5000" w:type="pct"/>
          <w:jc w:val="center"/>
          <w:tblLayout w:type="fixed"/>
          <w:tblCellMar>
            <w:left w:w="0" w:type="dxa"/>
            <w:right w:w="0" w:type="dxa"/>
          </w:tblCellMar>
          <w:tblLook w:val="01E0"/>
        </w:tblPrEx>
        <w:trPr>
          <w:trHeight w:val="20"/>
          <w:jc w:val="center"/>
        </w:trPr>
        <w:tc>
          <w:tcPr>
            <w:tcW w:w="2661" w:type="pct"/>
            <w:tcBorders>
              <w:bottom w:val="single" w:sz="4" w:space="0" w:color="auto"/>
            </w:tcBorders>
          </w:tcPr>
          <w:p w:rsidR="004237CD" w:rsidRPr="004003B5" w:rsidP="00223918" w14:paraId="67902A76" w14:textId="77777777">
            <w:pPr>
              <w:ind w:left="180"/>
              <w:jc w:val="center"/>
              <w:rPr>
                <w:rFonts w:ascii="Times New Roman" w:eastAsia="Calibri" w:hAnsi="Times New Roman"/>
                <w:b/>
                <w:sz w:val="24"/>
              </w:rPr>
            </w:pPr>
            <w:r w:rsidRPr="004003B5">
              <w:rPr>
                <w:rFonts w:ascii="Times New Roman" w:eastAsia="Calibri" w:hAnsi="Times New Roman"/>
                <w:b/>
                <w:sz w:val="24"/>
              </w:rPr>
              <w:t>Total</w:t>
            </w:r>
          </w:p>
        </w:tc>
        <w:tc>
          <w:tcPr>
            <w:tcW w:w="2339" w:type="pct"/>
            <w:tcBorders>
              <w:bottom w:val="single" w:sz="4" w:space="0" w:color="auto"/>
            </w:tcBorders>
            <w:vAlign w:val="center"/>
          </w:tcPr>
          <w:p w:rsidR="004237CD" w:rsidRPr="004003B5" w:rsidP="00223918" w14:paraId="20B9E2D6" w14:textId="11D09BBC">
            <w:pPr>
              <w:ind w:left="180"/>
              <w:jc w:val="center"/>
              <w:rPr>
                <w:rFonts w:ascii="Times New Roman" w:hAnsi="Times New Roman"/>
                <w:b/>
                <w:sz w:val="24"/>
              </w:rPr>
            </w:pPr>
            <w:r w:rsidRPr="004003B5">
              <w:rPr>
                <w:rFonts w:ascii="Times New Roman" w:hAnsi="Times New Roman"/>
                <w:b/>
                <w:sz w:val="24"/>
              </w:rPr>
              <w:t>12,</w:t>
            </w:r>
            <w:r w:rsidRPr="004003B5" w:rsidR="006B1284">
              <w:rPr>
                <w:rFonts w:ascii="Times New Roman" w:hAnsi="Times New Roman"/>
                <w:b/>
                <w:sz w:val="24"/>
              </w:rPr>
              <w:t>637</w:t>
            </w:r>
          </w:p>
        </w:tc>
      </w:tr>
    </w:tbl>
    <w:p w:rsidR="00420870" w:rsidRPr="004003B5" w14:paraId="136D3EB3" w14:textId="77777777">
      <w:pPr>
        <w:rPr>
          <w:rFonts w:ascii="Times New Roman" w:hAnsi="Times New Roman"/>
          <w:sz w:val="24"/>
          <w:szCs w:val="32"/>
        </w:rPr>
      </w:pPr>
    </w:p>
    <w:p w:rsidR="00420870" w:rsidRPr="00F371C6" w:rsidP="004003B5" w14:paraId="0790085F" w14:textId="77777777">
      <w:pPr>
        <w:spacing w:after="120"/>
        <w:rPr>
          <w:rFonts w:ascii="Times New Roman" w:hAnsi="Times New Roman"/>
          <w:sz w:val="24"/>
        </w:rPr>
      </w:pPr>
      <w:r w:rsidRPr="00F371C6">
        <w:rPr>
          <w:rFonts w:ascii="Times New Roman" w:hAnsi="Times New Roman"/>
          <w:sz w:val="24"/>
          <w:vertAlign w:val="superscript"/>
        </w:rPr>
        <w:t>a</w:t>
      </w:r>
      <w:r w:rsidRPr="00F371C6">
        <w:rPr>
          <w:rFonts w:ascii="Times New Roman" w:hAnsi="Times New Roman"/>
          <w:sz w:val="24"/>
        </w:rPr>
        <w:t xml:space="preserve"> This includes 4,467 Federal Deposit Insurance Corporation (FDIC) insured depository institutions (including national banks, state banks that are members of the Federal Reserve System, state-chartered non-member banks, and insured U.S. branches of foreign banks, i.e., all federally regulated banks) according to the FDIC’s quarterly data summary for Q1 2025, and 4,455 National Credit Union Administration (NCUA) insured credit unions (including federal credit unions and state-chartered credit unions with NCUA insurance, i.e., all federally regulated credit unions) according to NCUA’s quarterly credit union data summary for Q1 2025.</w:t>
      </w:r>
    </w:p>
    <w:p w:rsidR="00420870" w:rsidRPr="00F371C6" w:rsidP="004003B5" w14:paraId="3B9DE147" w14:textId="40649F12">
      <w:pPr>
        <w:spacing w:after="120"/>
        <w:rPr>
          <w:rFonts w:ascii="Times New Roman" w:hAnsi="Times New Roman"/>
          <w:sz w:val="24"/>
        </w:rPr>
      </w:pPr>
      <w:r w:rsidRPr="00F371C6">
        <w:rPr>
          <w:rFonts w:ascii="Times New Roman" w:hAnsi="Times New Roman"/>
          <w:sz w:val="24"/>
          <w:vertAlign w:val="superscript"/>
        </w:rPr>
        <w:t>b</w:t>
      </w:r>
      <w:r w:rsidRPr="00F371C6">
        <w:rPr>
          <w:rFonts w:ascii="Times New Roman" w:hAnsi="Times New Roman"/>
          <w:sz w:val="24"/>
        </w:rPr>
        <w:t xml:space="preserve"> The Board of Governors of the Federal Reserve System Master Account and Services Database contains data on financial institutions that utilize Reserve Bank financial services, including those </w:t>
      </w:r>
      <w:r w:rsidR="00F71136">
        <w:rPr>
          <w:rFonts w:ascii="Times New Roman" w:hAnsi="Times New Roman"/>
          <w:sz w:val="24"/>
        </w:rPr>
        <w:t xml:space="preserve">lacking a </w:t>
      </w:r>
      <w:r w:rsidRPr="00F371C6">
        <w:rPr>
          <w:rFonts w:ascii="Times New Roman" w:hAnsi="Times New Roman"/>
          <w:sz w:val="24"/>
        </w:rPr>
        <w:t xml:space="preserve">federal </w:t>
      </w:r>
      <w:r w:rsidR="00F71136">
        <w:rPr>
          <w:rFonts w:ascii="Times New Roman" w:hAnsi="Times New Roman"/>
          <w:sz w:val="24"/>
        </w:rPr>
        <w:t xml:space="preserve">functional </w:t>
      </w:r>
      <w:r w:rsidRPr="00F371C6">
        <w:rPr>
          <w:rFonts w:ascii="Times New Roman" w:hAnsi="Times New Roman"/>
          <w:sz w:val="24"/>
        </w:rPr>
        <w:t xml:space="preserve">regulator.  FinCEN used this data to identify 399 banks and credit unions utilizing Reserve Bank financial services </w:t>
      </w:r>
      <w:r w:rsidR="00F71136">
        <w:rPr>
          <w:rFonts w:ascii="Times New Roman" w:hAnsi="Times New Roman"/>
          <w:sz w:val="24"/>
        </w:rPr>
        <w:t xml:space="preserve">lacking a </w:t>
      </w:r>
      <w:r w:rsidRPr="00F371C6">
        <w:rPr>
          <w:rFonts w:ascii="Times New Roman" w:hAnsi="Times New Roman"/>
          <w:sz w:val="24"/>
        </w:rPr>
        <w:t xml:space="preserve">federal </w:t>
      </w:r>
      <w:r w:rsidR="00F71136">
        <w:rPr>
          <w:rFonts w:ascii="Times New Roman" w:hAnsi="Times New Roman"/>
          <w:sz w:val="24"/>
        </w:rPr>
        <w:t xml:space="preserve">functional </w:t>
      </w:r>
      <w:r w:rsidRPr="00F371C6">
        <w:rPr>
          <w:rFonts w:ascii="Times New Roman" w:hAnsi="Times New Roman"/>
          <w:sz w:val="24"/>
        </w:rPr>
        <w:t>regulator.</w:t>
      </w:r>
    </w:p>
    <w:p w:rsidR="00420870" w:rsidRPr="00F371C6" w:rsidP="004003B5" w14:paraId="32D8468C" w14:textId="77777777">
      <w:pPr>
        <w:rPr>
          <w:rFonts w:ascii="Times New Roman" w:hAnsi="Times New Roman"/>
          <w:sz w:val="24"/>
        </w:rPr>
      </w:pPr>
      <w:r w:rsidRPr="00F371C6">
        <w:rPr>
          <w:rFonts w:ascii="Times New Roman" w:hAnsi="Times New Roman"/>
          <w:sz w:val="24"/>
          <w:vertAlign w:val="superscript"/>
        </w:rPr>
        <w:t>c</w:t>
      </w:r>
      <w:r w:rsidRPr="00F371C6">
        <w:rPr>
          <w:rFonts w:ascii="Times New Roman" w:hAnsi="Times New Roman"/>
          <w:sz w:val="24"/>
        </w:rPr>
        <w:t xml:space="preserve"> The Securities and Exchange Commission (SEC) data on active broker-dealers (Company </w:t>
      </w:r>
      <w:r w:rsidRPr="00F371C6">
        <w:rPr>
          <w:rFonts w:ascii="Times New Roman" w:hAnsi="Times New Roman"/>
          <w:sz w:val="24"/>
        </w:rPr>
        <w:t>Information About Active Broker-Dealers) contains 3,316 active broker-dealers who are registered with the SEC.</w:t>
      </w:r>
    </w:p>
    <w:p w:rsidR="00420870" w14:paraId="6198F2B5" w14:textId="67573FC9">
      <w:r>
        <w:rPr>
          <w:lang w:val="en-GB"/>
        </w:rPr>
        <w:pict>
          <v:rect id="_x0000_i1026" style="width:0;height:1.5pt" o:hralign="center" o:hrstd="t" o:hr="t" fillcolor="#a0a0a0" stroked="f"/>
        </w:pict>
      </w:r>
    </w:p>
    <w:p w:rsidR="00420870" w:rsidRPr="00285760" w:rsidP="20ED4DC9" w14:paraId="238FFE1E" w14:textId="77777777">
      <w:pPr>
        <w:rPr>
          <w:rFonts w:ascii="Times New Roman" w:hAnsi="Times New Roman"/>
          <w:b/>
          <w:bCs/>
          <w:sz w:val="24"/>
        </w:rPr>
      </w:pPr>
      <w:r w:rsidRPr="00285760">
        <w:rPr>
          <w:rFonts w:ascii="Times New Roman" w:hAnsi="Times New Roman"/>
          <w:b/>
          <w:bCs/>
          <w:sz w:val="24"/>
          <w:lang w:val="en-GB"/>
        </w:rPr>
        <w:t xml:space="preserve">Table 2. Distribution of </w:t>
      </w:r>
      <w:r>
        <w:rPr>
          <w:rFonts w:ascii="Times New Roman" w:hAnsi="Times New Roman"/>
          <w:b/>
          <w:bCs/>
          <w:sz w:val="24"/>
          <w:lang w:val="en-GB"/>
        </w:rPr>
        <w:t xml:space="preserve">covered </w:t>
      </w:r>
      <w:r w:rsidRPr="00285760">
        <w:rPr>
          <w:rFonts w:ascii="Times New Roman" w:hAnsi="Times New Roman"/>
          <w:b/>
          <w:bCs/>
          <w:sz w:val="24"/>
          <w:lang w:val="en-GB"/>
        </w:rPr>
        <w:t>financial institutions, by type, estimated to maintain correspondent accounts for foreign banks</w:t>
      </w:r>
    </w:p>
    <w:tbl>
      <w:tblPr>
        <w:tblStyle w:val="TableGrid"/>
        <w:tblW w:w="5000" w:type="pct"/>
        <w:jc w:val="center"/>
        <w:tblLayout w:type="fixed"/>
        <w:tblLook w:val="04A0"/>
      </w:tblPr>
      <w:tblGrid>
        <w:gridCol w:w="6964"/>
        <w:gridCol w:w="2386"/>
      </w:tblGrid>
      <w:tr w14:paraId="4B740B14" w14:textId="77777777" w:rsidTr="004003B5">
        <w:tblPrEx>
          <w:tblW w:w="5000" w:type="pct"/>
          <w:jc w:val="center"/>
          <w:tblLayout w:type="fixed"/>
          <w:tblLook w:val="04A0"/>
        </w:tblPrEx>
        <w:trPr>
          <w:trHeight w:val="288"/>
          <w:tblHeader/>
          <w:jc w:val="center"/>
        </w:trPr>
        <w:tc>
          <w:tcPr>
            <w:tcW w:w="3724" w:type="pct"/>
            <w:tcBorders>
              <w:top w:val="single" w:sz="4" w:space="0" w:color="auto"/>
            </w:tcBorders>
            <w:vAlign w:val="center"/>
          </w:tcPr>
          <w:p w:rsidR="00AB4422" w:rsidRPr="004003B5" w:rsidP="000823D5" w14:paraId="6590438F" w14:textId="515D68BA">
            <w:pPr>
              <w:jc w:val="center"/>
              <w:rPr>
                <w:rFonts w:ascii="Times New Roman" w:hAnsi="Times New Roman"/>
                <w:b/>
                <w:sz w:val="24"/>
              </w:rPr>
            </w:pPr>
            <w:r w:rsidRPr="004003B5">
              <w:rPr>
                <w:rFonts w:ascii="Times New Roman" w:hAnsi="Times New Roman"/>
                <w:b/>
                <w:sz w:val="24"/>
              </w:rPr>
              <w:t xml:space="preserve">Type of </w:t>
            </w:r>
            <w:r w:rsidR="00420870">
              <w:rPr>
                <w:rFonts w:ascii="Times New Roman" w:hAnsi="Times New Roman"/>
                <w:b/>
                <w:sz w:val="24"/>
              </w:rPr>
              <w:t xml:space="preserve">covered </w:t>
            </w:r>
            <w:r w:rsidRPr="004003B5">
              <w:rPr>
                <w:rFonts w:ascii="Times New Roman" w:hAnsi="Times New Roman"/>
                <w:b/>
                <w:sz w:val="24"/>
              </w:rPr>
              <w:t>financial institution</w:t>
            </w:r>
          </w:p>
        </w:tc>
        <w:tc>
          <w:tcPr>
            <w:tcW w:w="1276" w:type="pct"/>
            <w:tcBorders>
              <w:top w:val="single" w:sz="4" w:space="0" w:color="auto"/>
            </w:tcBorders>
            <w:vAlign w:val="center"/>
          </w:tcPr>
          <w:p w:rsidR="00AB4422" w:rsidRPr="004003B5" w:rsidP="0038075C" w14:paraId="6A7CA933" w14:textId="2186B896">
            <w:pPr>
              <w:jc w:val="center"/>
              <w:rPr>
                <w:rFonts w:ascii="Times New Roman" w:hAnsi="Times New Roman"/>
                <w:b/>
                <w:sz w:val="24"/>
              </w:rPr>
            </w:pPr>
            <w:r w:rsidRPr="004003B5">
              <w:rPr>
                <w:rFonts w:ascii="Times New Roman" w:hAnsi="Times New Roman"/>
                <w:b/>
                <w:sz w:val="24"/>
              </w:rPr>
              <w:t xml:space="preserve">Number of </w:t>
            </w:r>
            <w:r w:rsidR="00420870">
              <w:rPr>
                <w:rFonts w:ascii="Times New Roman" w:hAnsi="Times New Roman"/>
                <w:b/>
                <w:sz w:val="24"/>
              </w:rPr>
              <w:t xml:space="preserve">covered </w:t>
            </w:r>
            <w:r w:rsidRPr="004003B5">
              <w:rPr>
                <w:rFonts w:ascii="Times New Roman" w:hAnsi="Times New Roman"/>
                <w:b/>
                <w:sz w:val="24"/>
              </w:rPr>
              <w:t>financial institutions</w:t>
            </w:r>
          </w:p>
        </w:tc>
      </w:tr>
      <w:tr w14:paraId="7B8A27E6" w14:textId="77777777" w:rsidTr="004003B5">
        <w:tblPrEx>
          <w:tblW w:w="5000" w:type="pct"/>
          <w:jc w:val="center"/>
          <w:tblLayout w:type="fixed"/>
          <w:tblLook w:val="04A0"/>
        </w:tblPrEx>
        <w:trPr>
          <w:trHeight w:val="288"/>
          <w:tblHeader/>
          <w:jc w:val="center"/>
        </w:trPr>
        <w:tc>
          <w:tcPr>
            <w:tcW w:w="3724" w:type="pct"/>
            <w:vAlign w:val="center"/>
          </w:tcPr>
          <w:p w:rsidR="00AB4422" w:rsidRPr="004003B5" w:rsidP="00F558B5" w14:paraId="3DD9DA47" w14:textId="77777777">
            <w:pPr>
              <w:rPr>
                <w:rFonts w:ascii="Times New Roman" w:hAnsi="Times New Roman"/>
                <w:sz w:val="24"/>
              </w:rPr>
            </w:pPr>
            <w:r w:rsidRPr="004003B5">
              <w:rPr>
                <w:rFonts w:ascii="Times New Roman" w:hAnsi="Times New Roman"/>
                <w:sz w:val="24"/>
              </w:rPr>
              <w:t>Banks with an FFR.</w:t>
            </w:r>
          </w:p>
        </w:tc>
        <w:tc>
          <w:tcPr>
            <w:tcW w:w="1276" w:type="pct"/>
            <w:vAlign w:val="center"/>
          </w:tcPr>
          <w:p w:rsidR="00AB4422" w:rsidRPr="004003B5" w:rsidP="0038075C" w14:paraId="6997B1BA" w14:textId="0595F327">
            <w:pPr>
              <w:jc w:val="center"/>
              <w:rPr>
                <w:rFonts w:ascii="Times New Roman" w:hAnsi="Times New Roman"/>
                <w:sz w:val="24"/>
                <w:vertAlign w:val="superscript"/>
              </w:rPr>
            </w:pPr>
            <w:r w:rsidRPr="004003B5">
              <w:rPr>
                <w:rFonts w:ascii="Times New Roman" w:hAnsi="Times New Roman"/>
                <w:sz w:val="24"/>
              </w:rPr>
              <w:t>6</w:t>
            </w:r>
            <w:r w:rsidRPr="004003B5" w:rsidR="00290ACB">
              <w:rPr>
                <w:rFonts w:ascii="Times New Roman" w:hAnsi="Times New Roman"/>
                <w:sz w:val="24"/>
              </w:rPr>
              <w:t>1</w:t>
            </w:r>
            <w:r w:rsidRPr="004003B5">
              <w:rPr>
                <w:rFonts w:ascii="Times New Roman" w:hAnsi="Times New Roman"/>
                <w:sz w:val="24"/>
                <w:vertAlign w:val="superscript"/>
              </w:rPr>
              <w:t>a</w:t>
            </w:r>
          </w:p>
        </w:tc>
      </w:tr>
      <w:tr w14:paraId="0BAF4E3D" w14:textId="77777777" w:rsidTr="004003B5">
        <w:tblPrEx>
          <w:tblW w:w="5000" w:type="pct"/>
          <w:jc w:val="center"/>
          <w:tblLayout w:type="fixed"/>
          <w:tblLook w:val="04A0"/>
        </w:tblPrEx>
        <w:trPr>
          <w:trHeight w:val="288"/>
          <w:tblHeader/>
          <w:jc w:val="center"/>
        </w:trPr>
        <w:tc>
          <w:tcPr>
            <w:tcW w:w="3724" w:type="pct"/>
            <w:vAlign w:val="center"/>
          </w:tcPr>
          <w:p w:rsidR="00AB4422" w:rsidRPr="004003B5" w:rsidP="00F558B5" w14:paraId="7E29A201" w14:textId="77777777">
            <w:pPr>
              <w:rPr>
                <w:rFonts w:ascii="Times New Roman" w:hAnsi="Times New Roman"/>
                <w:sz w:val="24"/>
              </w:rPr>
            </w:pPr>
            <w:r w:rsidRPr="004003B5">
              <w:rPr>
                <w:rFonts w:ascii="Times New Roman" w:hAnsi="Times New Roman"/>
                <w:sz w:val="24"/>
              </w:rPr>
              <w:t>Banks lacking an FFR.</w:t>
            </w:r>
          </w:p>
        </w:tc>
        <w:tc>
          <w:tcPr>
            <w:tcW w:w="1276" w:type="pct"/>
            <w:vAlign w:val="center"/>
          </w:tcPr>
          <w:p w:rsidR="00AB4422" w:rsidRPr="004003B5" w:rsidP="0038075C" w14:paraId="1E38FF85" w14:textId="73F899FE">
            <w:pPr>
              <w:jc w:val="center"/>
              <w:rPr>
                <w:rFonts w:ascii="Times New Roman" w:hAnsi="Times New Roman"/>
                <w:sz w:val="24"/>
                <w:vertAlign w:val="superscript"/>
              </w:rPr>
            </w:pPr>
            <w:r w:rsidRPr="004003B5">
              <w:rPr>
                <w:rFonts w:ascii="Times New Roman" w:hAnsi="Times New Roman"/>
                <w:sz w:val="24"/>
              </w:rPr>
              <w:t>1</w:t>
            </w:r>
            <w:r w:rsidRPr="004003B5" w:rsidR="00290ACB">
              <w:rPr>
                <w:rFonts w:ascii="Times New Roman" w:hAnsi="Times New Roman"/>
                <w:sz w:val="24"/>
              </w:rPr>
              <w:t>7</w:t>
            </w:r>
            <w:r w:rsidRPr="004003B5">
              <w:rPr>
                <w:rFonts w:ascii="Times New Roman" w:hAnsi="Times New Roman"/>
                <w:sz w:val="24"/>
                <w:vertAlign w:val="superscript"/>
              </w:rPr>
              <w:t>b</w:t>
            </w:r>
          </w:p>
        </w:tc>
      </w:tr>
      <w:tr w14:paraId="5538A51D" w14:textId="77777777" w:rsidTr="004003B5">
        <w:tblPrEx>
          <w:tblW w:w="5000" w:type="pct"/>
          <w:jc w:val="center"/>
          <w:tblLayout w:type="fixed"/>
          <w:tblLook w:val="04A0"/>
        </w:tblPrEx>
        <w:trPr>
          <w:trHeight w:val="288"/>
          <w:tblHeader/>
          <w:jc w:val="center"/>
        </w:trPr>
        <w:tc>
          <w:tcPr>
            <w:tcW w:w="3724" w:type="pct"/>
            <w:vAlign w:val="center"/>
          </w:tcPr>
          <w:p w:rsidR="00AB4422" w:rsidRPr="004003B5" w:rsidP="00F558B5" w14:paraId="5F59211F" w14:textId="64F79C76">
            <w:pPr>
              <w:rPr>
                <w:rFonts w:ascii="Times New Roman" w:hAnsi="Times New Roman"/>
                <w:sz w:val="24"/>
              </w:rPr>
            </w:pPr>
            <w:r w:rsidRPr="004003B5">
              <w:rPr>
                <w:rFonts w:ascii="Times New Roman" w:hAnsi="Times New Roman"/>
                <w:sz w:val="24"/>
              </w:rPr>
              <w:t>Broker</w:t>
            </w:r>
            <w:r w:rsidRPr="004003B5" w:rsidR="2544CAE8">
              <w:rPr>
                <w:rFonts w:ascii="Times New Roman" w:hAnsi="Times New Roman"/>
                <w:sz w:val="24"/>
              </w:rPr>
              <w:t>s or</w:t>
            </w:r>
            <w:r w:rsidRPr="004003B5" w:rsidR="678C7E8E">
              <w:rPr>
                <w:rFonts w:ascii="Times New Roman" w:hAnsi="Times New Roman"/>
                <w:sz w:val="24"/>
              </w:rPr>
              <w:t xml:space="preserve"> </w:t>
            </w:r>
            <w:r w:rsidRPr="004003B5">
              <w:rPr>
                <w:rFonts w:ascii="Times New Roman" w:hAnsi="Times New Roman"/>
                <w:sz w:val="24"/>
              </w:rPr>
              <w:t>dealers</w:t>
            </w:r>
            <w:r w:rsidRPr="004003B5" w:rsidR="7171AD04">
              <w:rPr>
                <w:rFonts w:ascii="Times New Roman" w:hAnsi="Times New Roman"/>
                <w:sz w:val="24"/>
              </w:rPr>
              <w:t xml:space="preserve"> in securities</w:t>
            </w:r>
            <w:r w:rsidR="00F71136">
              <w:rPr>
                <w:rFonts w:ascii="Times New Roman" w:hAnsi="Times New Roman"/>
                <w:sz w:val="24"/>
              </w:rPr>
              <w:t xml:space="preserve"> (broker-dealers)</w:t>
            </w:r>
          </w:p>
        </w:tc>
        <w:tc>
          <w:tcPr>
            <w:tcW w:w="1276" w:type="pct"/>
            <w:vAlign w:val="center"/>
          </w:tcPr>
          <w:p w:rsidR="00AB4422" w:rsidRPr="004003B5" w:rsidP="0038075C" w14:paraId="79588D7B" w14:textId="77777777">
            <w:pPr>
              <w:jc w:val="center"/>
              <w:rPr>
                <w:rFonts w:ascii="Times New Roman" w:hAnsi="Times New Roman"/>
                <w:sz w:val="24"/>
                <w:vertAlign w:val="superscript"/>
              </w:rPr>
            </w:pPr>
            <w:r w:rsidRPr="004003B5">
              <w:rPr>
                <w:rFonts w:ascii="Times New Roman" w:hAnsi="Times New Roman"/>
                <w:sz w:val="24"/>
              </w:rPr>
              <w:t>26</w:t>
            </w:r>
            <w:r w:rsidRPr="004003B5">
              <w:rPr>
                <w:rFonts w:ascii="Times New Roman" w:hAnsi="Times New Roman"/>
                <w:sz w:val="24"/>
                <w:vertAlign w:val="superscript"/>
              </w:rPr>
              <w:t>c</w:t>
            </w:r>
          </w:p>
        </w:tc>
      </w:tr>
      <w:tr w14:paraId="2A101777" w14:textId="77777777" w:rsidTr="004003B5">
        <w:tblPrEx>
          <w:tblW w:w="5000" w:type="pct"/>
          <w:jc w:val="center"/>
          <w:tblLayout w:type="fixed"/>
          <w:tblLook w:val="04A0"/>
        </w:tblPrEx>
        <w:trPr>
          <w:trHeight w:val="288"/>
          <w:tblHeader/>
          <w:jc w:val="center"/>
        </w:trPr>
        <w:tc>
          <w:tcPr>
            <w:tcW w:w="3724" w:type="pct"/>
            <w:tcBorders>
              <w:bottom w:val="single" w:sz="4" w:space="0" w:color="auto"/>
            </w:tcBorders>
            <w:vAlign w:val="center"/>
          </w:tcPr>
          <w:p w:rsidR="00AB4422" w:rsidRPr="004003B5" w:rsidP="00F558B5" w14:paraId="79232612" w14:textId="77777777">
            <w:pPr>
              <w:rPr>
                <w:rFonts w:ascii="Times New Roman" w:hAnsi="Times New Roman"/>
                <w:b/>
                <w:sz w:val="24"/>
              </w:rPr>
            </w:pPr>
            <w:r w:rsidRPr="004003B5">
              <w:rPr>
                <w:rFonts w:ascii="Times New Roman" w:hAnsi="Times New Roman"/>
                <w:b/>
                <w:sz w:val="24"/>
              </w:rPr>
              <w:t>Total</w:t>
            </w:r>
          </w:p>
        </w:tc>
        <w:tc>
          <w:tcPr>
            <w:tcW w:w="1276" w:type="pct"/>
            <w:tcBorders>
              <w:bottom w:val="single" w:sz="4" w:space="0" w:color="auto"/>
            </w:tcBorders>
            <w:vAlign w:val="center"/>
          </w:tcPr>
          <w:p w:rsidR="00AB4422" w:rsidRPr="004003B5" w:rsidP="0038075C" w14:paraId="547866E4" w14:textId="2E1AB728">
            <w:pPr>
              <w:jc w:val="center"/>
              <w:rPr>
                <w:rFonts w:ascii="Times New Roman" w:hAnsi="Times New Roman"/>
                <w:b/>
                <w:sz w:val="24"/>
              </w:rPr>
            </w:pPr>
            <w:r w:rsidRPr="004003B5">
              <w:rPr>
                <w:rFonts w:ascii="Times New Roman" w:hAnsi="Times New Roman"/>
                <w:b/>
                <w:sz w:val="24"/>
              </w:rPr>
              <w:t>104</w:t>
            </w:r>
          </w:p>
        </w:tc>
      </w:tr>
    </w:tbl>
    <w:p w:rsidR="00420870" w:rsidRPr="004003B5" w14:paraId="15F816CA" w14:textId="77777777">
      <w:pPr>
        <w:rPr>
          <w:rFonts w:ascii="Times New Roman" w:hAnsi="Times New Roman"/>
          <w:sz w:val="24"/>
        </w:rPr>
      </w:pPr>
    </w:p>
    <w:p w:rsidR="00420870" w:rsidRPr="00EE0F9B" w:rsidP="00897B34" w14:paraId="315C2E1D" w14:textId="64F55409">
      <w:pPr>
        <w:spacing w:after="120"/>
        <w:rPr>
          <w:rFonts w:ascii="Times New Roman" w:hAnsi="Times New Roman"/>
          <w:sz w:val="24"/>
        </w:rPr>
      </w:pPr>
      <w:r w:rsidRPr="00EE0F9B">
        <w:rPr>
          <w:rFonts w:ascii="Times New Roman" w:hAnsi="Times New Roman"/>
          <w:sz w:val="24"/>
          <w:vertAlign w:val="superscript"/>
        </w:rPr>
        <w:t>a</w:t>
      </w:r>
      <w:r w:rsidRPr="00EE0F9B">
        <w:rPr>
          <w:rFonts w:ascii="Times New Roman" w:hAnsi="Times New Roman"/>
          <w:b/>
          <w:bCs/>
          <w:sz w:val="24"/>
        </w:rPr>
        <w:t xml:space="preserve"> </w:t>
      </w:r>
      <w:r w:rsidRPr="00EE0F9B">
        <w:rPr>
          <w:rFonts w:ascii="Times New Roman" w:hAnsi="Times New Roman"/>
          <w:sz w:val="24"/>
        </w:rPr>
        <w:t>Data are from the Federal Financial Institution Examination Council (FFIEC) Central Data Repository for Reports of Condition and Income (Call Reports) and Uniform Bank Performance Reports (UBPRs), available for most FDIC-insured institutions.  Using this source of data, FinCEN determines that as of Q4 2024, approximately 61 banking organizations (</w:t>
      </w:r>
      <w:r w:rsidR="00FF7095">
        <w:rPr>
          <w:rFonts w:ascii="Times New Roman" w:hAnsi="Times New Roman"/>
          <w:sz w:val="24"/>
        </w:rPr>
        <w:t xml:space="preserve">U.S. banks, including </w:t>
      </w:r>
      <w:r w:rsidRPr="00EE0F9B">
        <w:rPr>
          <w:rFonts w:ascii="Times New Roman" w:hAnsi="Times New Roman"/>
          <w:sz w:val="24"/>
        </w:rPr>
        <w:t>national and state banks, trusts, thrifts and savings and loans</w:t>
      </w:r>
      <w:r w:rsidR="00FF7095">
        <w:rPr>
          <w:rFonts w:ascii="Times New Roman" w:hAnsi="Times New Roman"/>
          <w:sz w:val="24"/>
        </w:rPr>
        <w:t>;</w:t>
      </w:r>
      <w:r w:rsidRPr="00EE0F9B">
        <w:rPr>
          <w:rFonts w:ascii="Times New Roman" w:hAnsi="Times New Roman"/>
          <w:sz w:val="24"/>
        </w:rPr>
        <w:t xml:space="preserve"> </w:t>
      </w:r>
      <w:r w:rsidR="00FF7095">
        <w:rPr>
          <w:rFonts w:ascii="Times New Roman" w:hAnsi="Times New Roman"/>
          <w:sz w:val="24"/>
        </w:rPr>
        <w:t xml:space="preserve">U.S. </w:t>
      </w:r>
      <w:r w:rsidRPr="00EE0F9B">
        <w:rPr>
          <w:rFonts w:ascii="Times New Roman" w:hAnsi="Times New Roman"/>
          <w:sz w:val="24"/>
        </w:rPr>
        <w:t xml:space="preserve">branches and agencies of foreign banking organizations, representative offices, Edge Act corporations, and agreement corporations) will be affected by this rule on any given year.  Specifically, </w:t>
      </w:r>
      <w:r w:rsidR="00F71136">
        <w:rPr>
          <w:rFonts w:ascii="Times New Roman" w:hAnsi="Times New Roman"/>
          <w:sz w:val="24"/>
        </w:rPr>
        <w:t xml:space="preserve">these </w:t>
      </w:r>
      <w:r w:rsidRPr="00EE0F9B">
        <w:rPr>
          <w:rFonts w:ascii="Times New Roman" w:hAnsi="Times New Roman"/>
          <w:sz w:val="24"/>
        </w:rPr>
        <w:t xml:space="preserve">61 </w:t>
      </w:r>
      <w:r w:rsidR="00F71136">
        <w:rPr>
          <w:rFonts w:ascii="Times New Roman" w:hAnsi="Times New Roman"/>
          <w:sz w:val="24"/>
        </w:rPr>
        <w:t xml:space="preserve">banking organizations </w:t>
      </w:r>
      <w:r w:rsidRPr="00EE0F9B">
        <w:rPr>
          <w:rFonts w:ascii="Times New Roman" w:hAnsi="Times New Roman"/>
          <w:sz w:val="24"/>
        </w:rPr>
        <w:t xml:space="preserve">report values for deposit liabilities of banks in foreign countries.  </w:t>
      </w:r>
      <w:r w:rsidR="00FF7095">
        <w:rPr>
          <w:rFonts w:ascii="Times New Roman" w:hAnsi="Times New Roman"/>
          <w:sz w:val="24"/>
        </w:rPr>
        <w:t>FinCEN is treating a U.S. banking organization with n</w:t>
      </w:r>
      <w:r w:rsidRPr="00EE0F9B">
        <w:rPr>
          <w:rFonts w:ascii="Times New Roman" w:hAnsi="Times New Roman"/>
          <w:sz w:val="24"/>
        </w:rPr>
        <w:t xml:space="preserve">on-zero deposit liabilities in a foreign country as indicia that a </w:t>
      </w:r>
      <w:r w:rsidR="00FF7095">
        <w:rPr>
          <w:rFonts w:ascii="Times New Roman" w:hAnsi="Times New Roman"/>
          <w:sz w:val="24"/>
        </w:rPr>
        <w:t xml:space="preserve">U.S. </w:t>
      </w:r>
      <w:r w:rsidRPr="00EE0F9B">
        <w:rPr>
          <w:rFonts w:ascii="Times New Roman" w:hAnsi="Times New Roman"/>
          <w:sz w:val="24"/>
        </w:rPr>
        <w:t>bank</w:t>
      </w:r>
      <w:r w:rsidR="00FF7095">
        <w:rPr>
          <w:rFonts w:ascii="Times New Roman" w:hAnsi="Times New Roman"/>
          <w:sz w:val="24"/>
        </w:rPr>
        <w:t>ing organization</w:t>
      </w:r>
      <w:r w:rsidRPr="00EE0F9B">
        <w:rPr>
          <w:rFonts w:ascii="Times New Roman" w:hAnsi="Times New Roman"/>
          <w:sz w:val="24"/>
        </w:rPr>
        <w:t xml:space="preserve"> maintains a correspondent account for at least one foreign financial institution</w:t>
      </w:r>
      <w:r w:rsidR="00FF7095">
        <w:rPr>
          <w:rFonts w:ascii="Times New Roman" w:hAnsi="Times New Roman"/>
          <w:sz w:val="24"/>
        </w:rPr>
        <w:t>, also referred to as a foreign correspondent account</w:t>
      </w:r>
      <w:r w:rsidRPr="00EE0F9B">
        <w:rPr>
          <w:rFonts w:ascii="Times New Roman" w:hAnsi="Times New Roman"/>
          <w:sz w:val="24"/>
        </w:rPr>
        <w:t xml:space="preserve">.  Credit unions, due to </w:t>
      </w:r>
      <w:r w:rsidR="00FF7095">
        <w:rPr>
          <w:rFonts w:ascii="Times New Roman" w:hAnsi="Times New Roman"/>
          <w:sz w:val="24"/>
        </w:rPr>
        <w:t xml:space="preserve">credit union charter </w:t>
      </w:r>
      <w:r w:rsidRPr="00EE0F9B">
        <w:rPr>
          <w:rFonts w:ascii="Times New Roman" w:hAnsi="Times New Roman"/>
          <w:sz w:val="24"/>
        </w:rPr>
        <w:t>restrictions, do not typically maintain foreign correspondent accounts.</w:t>
      </w:r>
    </w:p>
    <w:p w:rsidR="00420870" w:rsidRPr="00EE0F9B" w:rsidP="00897B34" w14:paraId="3861E5D4" w14:textId="30A5E0F0">
      <w:pPr>
        <w:spacing w:after="120"/>
        <w:rPr>
          <w:rFonts w:ascii="Times New Roman" w:hAnsi="Times New Roman"/>
          <w:sz w:val="24"/>
        </w:rPr>
      </w:pPr>
      <w:r w:rsidRPr="00EE0F9B">
        <w:rPr>
          <w:rFonts w:ascii="Times New Roman" w:hAnsi="Times New Roman"/>
          <w:bCs/>
          <w:sz w:val="24"/>
          <w:vertAlign w:val="superscript"/>
        </w:rPr>
        <w:t>b</w:t>
      </w:r>
      <w:r w:rsidRPr="00EE0F9B">
        <w:rPr>
          <w:rFonts w:ascii="Times New Roman" w:hAnsi="Times New Roman"/>
          <w:b/>
          <w:sz w:val="24"/>
        </w:rPr>
        <w:t xml:space="preserve"> </w:t>
      </w:r>
      <w:r w:rsidRPr="00EE0F9B">
        <w:rPr>
          <w:rFonts w:ascii="Times New Roman" w:hAnsi="Times New Roman"/>
          <w:bCs/>
          <w:sz w:val="24"/>
        </w:rPr>
        <w:t xml:space="preserve">The Board of Governors of the Federal Reserve System Master Account and Services Database contains data on financial institutions that utilize Reserve Bank financial services, including those </w:t>
      </w:r>
      <w:r w:rsidR="00FF7095">
        <w:rPr>
          <w:rFonts w:ascii="Times New Roman" w:hAnsi="Times New Roman"/>
          <w:bCs/>
          <w:sz w:val="24"/>
        </w:rPr>
        <w:t xml:space="preserve">lacking a </w:t>
      </w:r>
      <w:r w:rsidRPr="00EE0F9B">
        <w:rPr>
          <w:rFonts w:ascii="Times New Roman" w:hAnsi="Times New Roman"/>
          <w:bCs/>
          <w:sz w:val="24"/>
        </w:rPr>
        <w:t xml:space="preserve">federal </w:t>
      </w:r>
      <w:r w:rsidR="00FF7095">
        <w:rPr>
          <w:rFonts w:ascii="Times New Roman" w:hAnsi="Times New Roman"/>
          <w:bCs/>
          <w:sz w:val="24"/>
        </w:rPr>
        <w:t xml:space="preserve">functional </w:t>
      </w:r>
      <w:r w:rsidRPr="00EE0F9B">
        <w:rPr>
          <w:rFonts w:ascii="Times New Roman" w:hAnsi="Times New Roman"/>
          <w:bCs/>
          <w:sz w:val="24"/>
        </w:rPr>
        <w:t xml:space="preserve">regulator.  </w:t>
      </w:r>
      <w:r w:rsidR="00FF7095">
        <w:rPr>
          <w:rFonts w:ascii="Times New Roman" w:hAnsi="Times New Roman"/>
          <w:bCs/>
          <w:sz w:val="24"/>
        </w:rPr>
        <w:t xml:space="preserve">With this data, </w:t>
      </w:r>
      <w:r w:rsidRPr="00EE0F9B">
        <w:rPr>
          <w:rFonts w:ascii="Times New Roman" w:hAnsi="Times New Roman"/>
          <w:bCs/>
          <w:sz w:val="24"/>
        </w:rPr>
        <w:t xml:space="preserve">FinCEN </w:t>
      </w:r>
      <w:r w:rsidR="00FF7095">
        <w:rPr>
          <w:rFonts w:ascii="Times New Roman" w:hAnsi="Times New Roman"/>
          <w:bCs/>
          <w:sz w:val="24"/>
        </w:rPr>
        <w:t xml:space="preserve">identifies </w:t>
      </w:r>
      <w:r w:rsidRPr="00EE0F9B">
        <w:rPr>
          <w:rFonts w:ascii="Times New Roman" w:hAnsi="Times New Roman"/>
          <w:bCs/>
          <w:sz w:val="24"/>
        </w:rPr>
        <w:t xml:space="preserve">an additional 17 international banking entities </w:t>
      </w:r>
      <w:r w:rsidR="00FF7095">
        <w:rPr>
          <w:rFonts w:ascii="Times New Roman" w:hAnsi="Times New Roman"/>
          <w:bCs/>
          <w:sz w:val="24"/>
        </w:rPr>
        <w:t xml:space="preserve">lacking a </w:t>
      </w:r>
      <w:r w:rsidRPr="00EE0F9B">
        <w:rPr>
          <w:rFonts w:ascii="Times New Roman" w:hAnsi="Times New Roman"/>
          <w:bCs/>
          <w:sz w:val="24"/>
        </w:rPr>
        <w:t xml:space="preserve">federal </w:t>
      </w:r>
      <w:r w:rsidR="00F71136">
        <w:rPr>
          <w:rFonts w:ascii="Times New Roman" w:hAnsi="Times New Roman"/>
          <w:bCs/>
          <w:sz w:val="24"/>
        </w:rPr>
        <w:t xml:space="preserve">functional </w:t>
      </w:r>
      <w:r w:rsidRPr="00EE0F9B">
        <w:rPr>
          <w:rFonts w:ascii="Times New Roman" w:hAnsi="Times New Roman"/>
          <w:bCs/>
          <w:sz w:val="24"/>
        </w:rPr>
        <w:t>regulator</w:t>
      </w:r>
      <w:r w:rsidR="00F71136">
        <w:rPr>
          <w:rFonts w:ascii="Times New Roman" w:hAnsi="Times New Roman"/>
          <w:bCs/>
          <w:sz w:val="24"/>
        </w:rPr>
        <w:t xml:space="preserve"> </w:t>
      </w:r>
      <w:r w:rsidR="00FF7095">
        <w:rPr>
          <w:rFonts w:ascii="Times New Roman" w:hAnsi="Times New Roman"/>
          <w:bCs/>
          <w:sz w:val="24"/>
        </w:rPr>
        <w:t xml:space="preserve">(IBEs) </w:t>
      </w:r>
      <w:r w:rsidR="00F71136">
        <w:rPr>
          <w:rFonts w:ascii="Times New Roman" w:hAnsi="Times New Roman"/>
          <w:bCs/>
          <w:sz w:val="24"/>
        </w:rPr>
        <w:t xml:space="preserve">that </w:t>
      </w:r>
      <w:r w:rsidRPr="00EE0F9B">
        <w:rPr>
          <w:rFonts w:ascii="Times New Roman" w:hAnsi="Times New Roman"/>
          <w:bCs/>
          <w:sz w:val="24"/>
        </w:rPr>
        <w:t xml:space="preserve">do not </w:t>
      </w:r>
      <w:r w:rsidR="00F71136">
        <w:rPr>
          <w:rFonts w:ascii="Times New Roman" w:hAnsi="Times New Roman"/>
          <w:bCs/>
          <w:sz w:val="24"/>
        </w:rPr>
        <w:t xml:space="preserve">create or </w:t>
      </w:r>
      <w:r w:rsidRPr="00EE0F9B">
        <w:rPr>
          <w:rFonts w:ascii="Times New Roman" w:hAnsi="Times New Roman"/>
          <w:bCs/>
          <w:sz w:val="24"/>
        </w:rPr>
        <w:t xml:space="preserve">file </w:t>
      </w:r>
      <w:r w:rsidR="00F71136">
        <w:rPr>
          <w:rFonts w:ascii="Times New Roman" w:hAnsi="Times New Roman"/>
          <w:bCs/>
          <w:sz w:val="24"/>
        </w:rPr>
        <w:t>c</w:t>
      </w:r>
      <w:r w:rsidRPr="00EE0F9B">
        <w:rPr>
          <w:rFonts w:ascii="Times New Roman" w:hAnsi="Times New Roman"/>
          <w:bCs/>
          <w:sz w:val="24"/>
        </w:rPr>
        <w:t xml:space="preserve">all </w:t>
      </w:r>
      <w:r w:rsidR="00F71136">
        <w:rPr>
          <w:rFonts w:ascii="Times New Roman" w:hAnsi="Times New Roman"/>
          <w:bCs/>
          <w:sz w:val="24"/>
        </w:rPr>
        <w:t>r</w:t>
      </w:r>
      <w:r w:rsidRPr="00EE0F9B">
        <w:rPr>
          <w:rFonts w:ascii="Times New Roman" w:hAnsi="Times New Roman"/>
          <w:bCs/>
          <w:sz w:val="24"/>
        </w:rPr>
        <w:t>eports, but</w:t>
      </w:r>
      <w:r w:rsidR="00FF7095">
        <w:rPr>
          <w:rFonts w:ascii="Times New Roman" w:hAnsi="Times New Roman"/>
          <w:bCs/>
          <w:sz w:val="24"/>
        </w:rPr>
        <w:t>,</w:t>
      </w:r>
      <w:r w:rsidRPr="00EE0F9B">
        <w:rPr>
          <w:rFonts w:ascii="Times New Roman" w:hAnsi="Times New Roman"/>
          <w:bCs/>
          <w:sz w:val="24"/>
        </w:rPr>
        <w:t xml:space="preserve"> </w:t>
      </w:r>
      <w:r w:rsidR="00FF7095">
        <w:rPr>
          <w:rFonts w:ascii="Times New Roman" w:hAnsi="Times New Roman"/>
          <w:bCs/>
          <w:sz w:val="24"/>
        </w:rPr>
        <w:t xml:space="preserve">as IBEs, </w:t>
      </w:r>
      <w:r w:rsidRPr="00EE0F9B">
        <w:rPr>
          <w:rFonts w:ascii="Times New Roman" w:hAnsi="Times New Roman"/>
          <w:bCs/>
          <w:sz w:val="24"/>
        </w:rPr>
        <w:t xml:space="preserve">likely to maintain </w:t>
      </w:r>
      <w:r w:rsidR="00FF7095">
        <w:rPr>
          <w:rFonts w:ascii="Times New Roman" w:hAnsi="Times New Roman"/>
          <w:bCs/>
          <w:sz w:val="24"/>
        </w:rPr>
        <w:t xml:space="preserve">at least one foreign </w:t>
      </w:r>
      <w:r w:rsidRPr="00EE0F9B">
        <w:rPr>
          <w:rFonts w:ascii="Times New Roman" w:hAnsi="Times New Roman"/>
          <w:bCs/>
          <w:sz w:val="24"/>
        </w:rPr>
        <w:t>correspondent account.</w:t>
      </w:r>
    </w:p>
    <w:p w:rsidR="00420870" w:rsidRPr="00EE0F9B" w:rsidP="20ED4DC9" w14:paraId="1EBAC0F2" w14:textId="71B703A5">
      <w:pPr>
        <w:rPr>
          <w:rFonts w:ascii="Times New Roman" w:hAnsi="Times New Roman"/>
          <w:b/>
          <w:bCs/>
          <w:sz w:val="24"/>
        </w:rPr>
      </w:pPr>
      <w:r w:rsidRPr="00EE0F9B">
        <w:rPr>
          <w:rFonts w:ascii="Times New Roman" w:hAnsi="Times New Roman"/>
          <w:sz w:val="24"/>
          <w:vertAlign w:val="superscript"/>
        </w:rPr>
        <w:t>c</w:t>
      </w:r>
      <w:r w:rsidRPr="00EE0F9B">
        <w:rPr>
          <w:rFonts w:ascii="Times New Roman" w:hAnsi="Times New Roman"/>
          <w:b/>
          <w:bCs/>
          <w:sz w:val="24"/>
        </w:rPr>
        <w:t xml:space="preserve"> </w:t>
      </w:r>
      <w:r w:rsidRPr="00EE0F9B">
        <w:rPr>
          <w:rFonts w:ascii="Times New Roman" w:hAnsi="Times New Roman"/>
          <w:sz w:val="24"/>
        </w:rPr>
        <w:t xml:space="preserve">Broker-dealers, unless they are publicly traded, are not required to make reports indicating whether they have foreign correspondent accounts or hold foreign deposits.  </w:t>
      </w:r>
      <w:r w:rsidR="00FF7095">
        <w:rPr>
          <w:rFonts w:ascii="Times New Roman" w:hAnsi="Times New Roman"/>
          <w:sz w:val="24"/>
        </w:rPr>
        <w:t xml:space="preserve">Using </w:t>
      </w:r>
      <w:r w:rsidRPr="00EE0F9B">
        <w:rPr>
          <w:rFonts w:ascii="Times New Roman" w:hAnsi="Times New Roman"/>
          <w:sz w:val="24"/>
        </w:rPr>
        <w:t>10-Q (SEC quarterly filing for US publicly traded firms) and 6-K (SEC filing for foreign private issuers of securities)</w:t>
      </w:r>
      <w:r w:rsidR="00FF7095">
        <w:rPr>
          <w:rFonts w:ascii="Times New Roman" w:hAnsi="Times New Roman"/>
          <w:sz w:val="24"/>
        </w:rPr>
        <w:t xml:space="preserve">, FinCEN </w:t>
      </w:r>
      <w:r w:rsidRPr="00EE0F9B">
        <w:rPr>
          <w:rFonts w:ascii="Times New Roman" w:hAnsi="Times New Roman"/>
          <w:sz w:val="24"/>
        </w:rPr>
        <w:t>identifie</w:t>
      </w:r>
      <w:r w:rsidR="00FF7095">
        <w:rPr>
          <w:rFonts w:ascii="Times New Roman" w:hAnsi="Times New Roman"/>
          <w:sz w:val="24"/>
        </w:rPr>
        <w:t>s</w:t>
      </w:r>
      <w:r w:rsidRPr="00EE0F9B">
        <w:rPr>
          <w:rFonts w:ascii="Times New Roman" w:hAnsi="Times New Roman"/>
          <w:sz w:val="24"/>
        </w:rPr>
        <w:t xml:space="preserve"> 9 publicly-traded broker-dealers with U.S. operations </w:t>
      </w:r>
      <w:r w:rsidR="00FF7095">
        <w:rPr>
          <w:rFonts w:ascii="Times New Roman" w:hAnsi="Times New Roman"/>
          <w:sz w:val="24"/>
        </w:rPr>
        <w:t xml:space="preserve">reporting </w:t>
      </w:r>
      <w:r w:rsidRPr="00EE0F9B">
        <w:rPr>
          <w:rFonts w:ascii="Times New Roman" w:hAnsi="Times New Roman"/>
          <w:sz w:val="24"/>
        </w:rPr>
        <w:t>foreign deposits.  However, because many broker-dealers are not publicly traded, FinCEN conservatively estimates that the proportion of broker-dealers with foreign correspondent accounts will be similar to the proportion for banks (approximately 0.8%).  0.8% of 3,316 active broker-dealers is approximately 26 broker-dealers assumed to have foreign correspondent accounts.</w:t>
      </w:r>
    </w:p>
    <w:p w:rsidR="00BD4345" w:rsidP="009467D9" w14:paraId="74978DF5" w14:textId="1EC15B19">
      <w:pPr>
        <w:rPr>
          <w:rFonts w:ascii="Times New Roman" w:hAnsi="Times New Roman"/>
          <w:sz w:val="24"/>
          <w:u w:val="single"/>
        </w:rPr>
      </w:pPr>
      <w:r>
        <w:rPr>
          <w:lang w:val="en-GB"/>
        </w:rPr>
        <w:pict>
          <v:rect id="_x0000_i1027" style="width:0;height:1.5pt" o:hralign="center" o:hrstd="t" o:hr="t" fillcolor="#a0a0a0" stroked="f"/>
        </w:pict>
      </w:r>
    </w:p>
    <w:p w:rsidR="003266A8" w:rsidRPr="006B186B" w:rsidP="009467D9" w14:paraId="0F127B5A" w14:textId="7D420593">
      <w:pPr>
        <w:rPr>
          <w:rFonts w:ascii="Times New Roman" w:hAnsi="Times New Roman"/>
          <w:sz w:val="24"/>
        </w:rPr>
      </w:pPr>
      <w:r w:rsidRPr="20ED4DC9">
        <w:rPr>
          <w:rFonts w:ascii="Times New Roman" w:hAnsi="Times New Roman"/>
          <w:sz w:val="24"/>
          <w:u w:val="single"/>
        </w:rPr>
        <w:t>Estimated Total Annual Burden Hours</w:t>
      </w:r>
      <w:r w:rsidRPr="20ED4DC9">
        <w:rPr>
          <w:rFonts w:ascii="Times New Roman" w:hAnsi="Times New Roman"/>
          <w:sz w:val="24"/>
        </w:rPr>
        <w:t xml:space="preserve">: </w:t>
      </w:r>
      <w:r w:rsidRPr="20ED4DC9" w:rsidR="45DC863B">
        <w:rPr>
          <w:rFonts w:ascii="Times New Roman" w:hAnsi="Times New Roman"/>
          <w:sz w:val="24"/>
        </w:rPr>
        <w:t>73,632</w:t>
      </w:r>
      <w:r>
        <w:rPr>
          <w:rStyle w:val="FootnoteReference"/>
          <w:rFonts w:ascii="Times New Roman" w:hAnsi="Times New Roman"/>
          <w:sz w:val="24"/>
          <w:vertAlign w:val="superscript"/>
        </w:rPr>
        <w:footnoteReference w:id="26"/>
      </w:r>
    </w:p>
    <w:p w:rsidR="00AA733B" w:rsidRPr="00AA733B" w:rsidP="20ED4DC9" w14:paraId="20AD7BF8" w14:textId="5995B1A2">
      <w:pPr>
        <w:rPr>
          <w:rFonts w:ascii="Times New Roman" w:hAnsi="Times New Roman"/>
          <w:b/>
          <w:bCs/>
          <w:sz w:val="22"/>
          <w:szCs w:val="22"/>
        </w:rPr>
      </w:pPr>
      <w:r>
        <w:rPr>
          <w:lang w:val="en-GB"/>
        </w:rPr>
        <w:pict>
          <v:rect id="_x0000_i1028" style="width:0;height:1.5pt" o:hralign="center" o:hrstd="t" o:hr="t" fillcolor="#a0a0a0" stroked="f"/>
        </w:pict>
      </w:r>
    </w:p>
    <w:p w:rsidR="00420870" w:rsidRPr="00B10C43" w:rsidP="00587A2A" w14:paraId="5B603AEA" w14:textId="77777777">
      <w:pPr>
        <w:rPr>
          <w:rFonts w:ascii="Times New Roman" w:hAnsi="Times New Roman"/>
          <w:b/>
          <w:bCs/>
          <w:sz w:val="24"/>
        </w:rPr>
      </w:pPr>
      <w:r w:rsidRPr="00B10C43">
        <w:rPr>
          <w:rFonts w:ascii="Times New Roman" w:hAnsi="Times New Roman"/>
          <w:b/>
          <w:bCs/>
          <w:sz w:val="24"/>
        </w:rPr>
        <w:t>Table 3 – Annual hourly burden for all affected covered financial institutions to comply with 31 CFR 1010.630</w:t>
      </w:r>
    </w:p>
    <w:p w:rsidR="00420870" w14:paraId="2C83565E" w14:textId="77777777"/>
    <w:tbl>
      <w:tblPr>
        <w:tblStyle w:val="TableGrid1"/>
        <w:tblW w:w="5005" w:type="pct"/>
        <w:jc w:val="center"/>
        <w:shd w:val="clear" w:color="auto" w:fill="FFFFFF" w:themeFill="background1"/>
        <w:tblLook w:val="04A0"/>
      </w:tblPr>
      <w:tblGrid>
        <w:gridCol w:w="2016"/>
        <w:gridCol w:w="1954"/>
        <w:gridCol w:w="1401"/>
        <w:gridCol w:w="1696"/>
        <w:gridCol w:w="2292"/>
      </w:tblGrid>
      <w:tr w14:paraId="7B8F2D5D" w14:textId="77777777" w:rsidTr="00420870">
        <w:tblPrEx>
          <w:tblW w:w="5005" w:type="pct"/>
          <w:jc w:val="center"/>
          <w:shd w:val="clear" w:color="auto" w:fill="FFFFFF" w:themeFill="background1"/>
          <w:tblLook w:val="04A0"/>
        </w:tblPrEx>
        <w:trPr>
          <w:trHeight w:val="2105"/>
          <w:tblHeader/>
          <w:jc w:val="center"/>
        </w:trPr>
        <w:tc>
          <w:tcPr>
            <w:tcW w:w="1091" w:type="pct"/>
            <w:tcBorders>
              <w:top w:val="single" w:sz="4" w:space="0" w:color="auto"/>
            </w:tcBorders>
            <w:shd w:val="clear" w:color="auto" w:fill="FFFFFF" w:themeFill="background1"/>
            <w:vAlign w:val="center"/>
          </w:tcPr>
          <w:p w:rsidR="00AA733B" w:rsidRPr="004003B5" w:rsidP="0038075C" w14:paraId="3A798BAC" w14:textId="77777777">
            <w:pPr>
              <w:jc w:val="center"/>
              <w:rPr>
                <w:rFonts w:ascii="Times New Roman" w:hAnsi="Times New Roman" w:cs="Times New Roman"/>
                <w:b/>
                <w:sz w:val="24"/>
                <w:lang w:val="en-US"/>
              </w:rPr>
            </w:pPr>
            <w:r w:rsidRPr="004003B5">
              <w:rPr>
                <w:rFonts w:ascii="Times New Roman" w:hAnsi="Times New Roman"/>
                <w:b/>
                <w:sz w:val="24"/>
                <w:lang w:val="en-US"/>
              </w:rPr>
              <w:t>Compliance requirement under 31 CFR 1010.630</w:t>
            </w:r>
          </w:p>
        </w:tc>
        <w:tc>
          <w:tcPr>
            <w:tcW w:w="1058" w:type="pct"/>
            <w:tcBorders>
              <w:top w:val="single" w:sz="4" w:space="0" w:color="auto"/>
            </w:tcBorders>
            <w:shd w:val="clear" w:color="auto" w:fill="FFFFFF" w:themeFill="background1"/>
            <w:vAlign w:val="center"/>
          </w:tcPr>
          <w:p w:rsidR="00AA733B" w:rsidRPr="004003B5" w:rsidP="0038075C" w14:paraId="63F01043" w14:textId="69C013D3">
            <w:pPr>
              <w:jc w:val="center"/>
              <w:rPr>
                <w:rFonts w:ascii="Times New Roman" w:hAnsi="Times New Roman" w:cs="Times New Roman"/>
                <w:b/>
                <w:sz w:val="24"/>
                <w:lang w:val="en-US"/>
              </w:rPr>
            </w:pPr>
            <w:r w:rsidRPr="004003B5">
              <w:rPr>
                <w:rFonts w:ascii="Times New Roman" w:hAnsi="Times New Roman"/>
                <w:b/>
                <w:sz w:val="24"/>
                <w:lang w:val="en-US"/>
              </w:rPr>
              <w:t xml:space="preserve">Estimated number of </w:t>
            </w:r>
            <w:r w:rsidRPr="004003B5" w:rsidR="00833621">
              <w:rPr>
                <w:rFonts w:ascii="Times New Roman" w:hAnsi="Times New Roman"/>
                <w:b/>
                <w:sz w:val="24"/>
                <w:lang w:val="en-US"/>
              </w:rPr>
              <w:t>respondents</w:t>
            </w:r>
          </w:p>
        </w:tc>
        <w:tc>
          <w:tcPr>
            <w:tcW w:w="762" w:type="pct"/>
            <w:tcBorders>
              <w:top w:val="single" w:sz="4" w:space="0" w:color="auto"/>
            </w:tcBorders>
            <w:shd w:val="clear" w:color="auto" w:fill="FFFFFF" w:themeFill="background1"/>
            <w:vAlign w:val="center"/>
          </w:tcPr>
          <w:p w:rsidR="00AA733B" w:rsidRPr="004003B5" w:rsidP="0038075C" w14:paraId="0BACBED2" w14:textId="77777777">
            <w:pPr>
              <w:jc w:val="center"/>
              <w:rPr>
                <w:rFonts w:ascii="Times New Roman" w:hAnsi="Times New Roman" w:cs="Times New Roman"/>
                <w:b/>
                <w:sz w:val="24"/>
                <w:lang w:val="en-US"/>
              </w:rPr>
            </w:pPr>
            <w:r w:rsidRPr="004003B5">
              <w:rPr>
                <w:rFonts w:ascii="Times New Roman" w:hAnsi="Times New Roman"/>
                <w:b/>
                <w:sz w:val="24"/>
                <w:lang w:val="en-US"/>
              </w:rPr>
              <w:t>Hourly burden</w:t>
            </w:r>
          </w:p>
        </w:tc>
        <w:tc>
          <w:tcPr>
            <w:tcW w:w="851" w:type="pct"/>
            <w:tcBorders>
              <w:top w:val="single" w:sz="4" w:space="0" w:color="auto"/>
            </w:tcBorders>
            <w:shd w:val="clear" w:color="auto" w:fill="FFFFFF" w:themeFill="background1"/>
            <w:vAlign w:val="center"/>
          </w:tcPr>
          <w:p w:rsidR="00AA733B" w:rsidRPr="004003B5" w:rsidP="0038075C" w14:paraId="7D214804" w14:textId="31986931">
            <w:pPr>
              <w:jc w:val="center"/>
              <w:rPr>
                <w:rFonts w:ascii="Times New Roman" w:hAnsi="Times New Roman" w:cs="Times New Roman"/>
                <w:b/>
                <w:sz w:val="24"/>
                <w:lang w:val="en-US"/>
              </w:rPr>
            </w:pPr>
            <w:r w:rsidRPr="004003B5">
              <w:rPr>
                <w:rFonts w:ascii="Times New Roman" w:hAnsi="Times New Roman"/>
                <w:b/>
                <w:sz w:val="24"/>
                <w:lang w:val="en-US"/>
              </w:rPr>
              <w:t xml:space="preserve">Average number of </w:t>
            </w:r>
            <w:r w:rsidRPr="004003B5" w:rsidR="050F27CD">
              <w:rPr>
                <w:rFonts w:ascii="Times New Roman" w:hAnsi="Times New Roman"/>
                <w:b/>
                <w:sz w:val="24"/>
                <w:lang w:val="en-US"/>
              </w:rPr>
              <w:t xml:space="preserve">correspondent </w:t>
            </w:r>
            <w:r w:rsidRPr="004003B5" w:rsidR="105F656D">
              <w:rPr>
                <w:rFonts w:ascii="Times New Roman" w:hAnsi="Times New Roman"/>
                <w:b/>
                <w:sz w:val="24"/>
                <w:lang w:val="en-US"/>
              </w:rPr>
              <w:t xml:space="preserve"> </w:t>
            </w:r>
            <w:r w:rsidRPr="004003B5">
              <w:rPr>
                <w:rFonts w:ascii="Times New Roman" w:hAnsi="Times New Roman"/>
                <w:b/>
                <w:sz w:val="24"/>
                <w:lang w:val="en-US"/>
              </w:rPr>
              <w:t>accounts per respondent</w:t>
            </w:r>
          </w:p>
        </w:tc>
        <w:tc>
          <w:tcPr>
            <w:tcW w:w="1238" w:type="pct"/>
            <w:tcBorders>
              <w:top w:val="single" w:sz="4" w:space="0" w:color="auto"/>
            </w:tcBorders>
            <w:shd w:val="clear" w:color="auto" w:fill="FFFFFF" w:themeFill="background1"/>
            <w:vAlign w:val="center"/>
          </w:tcPr>
          <w:p w:rsidR="00AA733B" w:rsidRPr="004003B5" w:rsidP="0038075C" w14:paraId="00D4B778" w14:textId="08C5668A">
            <w:pPr>
              <w:jc w:val="center"/>
              <w:rPr>
                <w:rFonts w:ascii="Times New Roman" w:hAnsi="Times New Roman" w:cs="Times New Roman"/>
                <w:b/>
                <w:sz w:val="24"/>
                <w:lang w:val="en-US"/>
              </w:rPr>
            </w:pPr>
            <w:r w:rsidRPr="004003B5">
              <w:rPr>
                <w:rFonts w:ascii="Times New Roman" w:hAnsi="Times New Roman"/>
                <w:b/>
                <w:sz w:val="24"/>
                <w:lang w:val="en-US"/>
              </w:rPr>
              <w:t xml:space="preserve">Total </w:t>
            </w:r>
            <w:r w:rsidRPr="004003B5">
              <w:rPr>
                <w:rFonts w:ascii="Times New Roman" w:hAnsi="Times New Roman"/>
                <w:b/>
                <w:sz w:val="24"/>
                <w:lang w:val="en-US"/>
              </w:rPr>
              <w:t>burden hours</w:t>
            </w:r>
          </w:p>
        </w:tc>
      </w:tr>
      <w:tr w14:paraId="66A9599F" w14:textId="77777777" w:rsidTr="00420870">
        <w:tblPrEx>
          <w:tblW w:w="5005" w:type="pct"/>
          <w:jc w:val="center"/>
          <w:shd w:val="clear" w:color="auto" w:fill="FFFFFF" w:themeFill="background1"/>
          <w:tblLook w:val="04A0"/>
        </w:tblPrEx>
        <w:trPr>
          <w:trHeight w:val="620"/>
          <w:jc w:val="center"/>
        </w:trPr>
        <w:tc>
          <w:tcPr>
            <w:tcW w:w="1091" w:type="pct"/>
            <w:shd w:val="clear" w:color="auto" w:fill="FFFFFF" w:themeFill="background1"/>
            <w:vAlign w:val="center"/>
          </w:tcPr>
          <w:p w:rsidR="00AA733B" w:rsidRPr="004003B5" w:rsidP="20ED4DC9" w14:paraId="3ECC4086" w14:textId="19E3BDDD">
            <w:pPr>
              <w:rPr>
                <w:rFonts w:ascii="Times New Roman" w:hAnsi="Times New Roman" w:cs="Times New Roman"/>
                <w:sz w:val="24"/>
                <w:lang w:val="en-US"/>
              </w:rPr>
            </w:pPr>
            <w:r w:rsidRPr="004003B5">
              <w:rPr>
                <w:rFonts w:ascii="Times New Roman" w:hAnsi="Times New Roman"/>
                <w:sz w:val="24"/>
                <w:lang w:val="en-US"/>
              </w:rPr>
              <w:t>Obtain and record a certification per foreign bank</w:t>
            </w:r>
          </w:p>
        </w:tc>
        <w:tc>
          <w:tcPr>
            <w:tcW w:w="1058" w:type="pct"/>
            <w:shd w:val="clear" w:color="auto" w:fill="FFFFFF" w:themeFill="background1"/>
            <w:vAlign w:val="center"/>
          </w:tcPr>
          <w:p w:rsidR="00AA733B" w:rsidRPr="004003B5" w:rsidP="0038075C" w14:paraId="3CD41DBC" w14:textId="0B86FB96">
            <w:pPr>
              <w:jc w:val="center"/>
              <w:rPr>
                <w:rFonts w:ascii="Times New Roman" w:hAnsi="Times New Roman" w:cs="Times New Roman"/>
                <w:sz w:val="24"/>
                <w:lang w:val="en-US"/>
              </w:rPr>
            </w:pPr>
            <w:r w:rsidRPr="004003B5">
              <w:rPr>
                <w:rFonts w:ascii="Times New Roman" w:hAnsi="Times New Roman"/>
                <w:sz w:val="24"/>
                <w:lang w:val="en-US"/>
              </w:rPr>
              <w:t>104</w:t>
            </w:r>
          </w:p>
        </w:tc>
        <w:tc>
          <w:tcPr>
            <w:tcW w:w="762" w:type="pct"/>
            <w:shd w:val="clear" w:color="auto" w:fill="FFFFFF" w:themeFill="background1"/>
            <w:vAlign w:val="center"/>
          </w:tcPr>
          <w:p w:rsidR="00AA733B" w:rsidRPr="004003B5" w:rsidP="0038075C" w14:paraId="308592F5" w14:textId="77777777">
            <w:pPr>
              <w:jc w:val="center"/>
              <w:rPr>
                <w:rFonts w:ascii="Times New Roman" w:hAnsi="Times New Roman" w:cs="Times New Roman"/>
                <w:sz w:val="24"/>
                <w:lang w:val="en-US"/>
              </w:rPr>
            </w:pPr>
            <w:r w:rsidRPr="004003B5">
              <w:rPr>
                <w:rFonts w:ascii="Times New Roman" w:hAnsi="Times New Roman"/>
                <w:sz w:val="24"/>
                <w:lang w:val="en-US"/>
              </w:rPr>
              <w:t>4 hours</w:t>
            </w:r>
          </w:p>
        </w:tc>
        <w:tc>
          <w:tcPr>
            <w:tcW w:w="851" w:type="pct"/>
            <w:shd w:val="clear" w:color="auto" w:fill="FFFFFF" w:themeFill="background1"/>
            <w:vAlign w:val="center"/>
          </w:tcPr>
          <w:p w:rsidR="00AA733B" w:rsidRPr="004003B5" w:rsidP="0038075C" w14:paraId="0F639CCB" w14:textId="77777777">
            <w:pPr>
              <w:jc w:val="center"/>
              <w:rPr>
                <w:rFonts w:ascii="Times New Roman" w:hAnsi="Times New Roman" w:cs="Times New Roman"/>
                <w:sz w:val="24"/>
                <w:lang w:val="en-US"/>
              </w:rPr>
            </w:pPr>
            <w:r w:rsidRPr="004003B5">
              <w:rPr>
                <w:rFonts w:ascii="Times New Roman" w:hAnsi="Times New Roman"/>
                <w:sz w:val="24"/>
                <w:lang w:val="en-US"/>
              </w:rPr>
              <w:t>10</w:t>
            </w:r>
          </w:p>
        </w:tc>
        <w:tc>
          <w:tcPr>
            <w:tcW w:w="1238" w:type="pct"/>
            <w:shd w:val="clear" w:color="auto" w:fill="FFFFFF" w:themeFill="background1"/>
            <w:vAlign w:val="center"/>
          </w:tcPr>
          <w:p w:rsidR="00AA733B" w:rsidRPr="004003B5" w:rsidP="0038075C" w14:paraId="7B82DEC6" w14:textId="29D14278">
            <w:pPr>
              <w:jc w:val="center"/>
              <w:rPr>
                <w:rFonts w:ascii="Times New Roman" w:hAnsi="Times New Roman" w:cs="Times New Roman"/>
                <w:sz w:val="24"/>
                <w:lang w:val="en-US"/>
              </w:rPr>
            </w:pPr>
            <w:r w:rsidRPr="004003B5">
              <w:rPr>
                <w:rFonts w:ascii="Times New Roman" w:hAnsi="Times New Roman"/>
                <w:sz w:val="24"/>
                <w:lang w:val="en-US"/>
              </w:rPr>
              <w:t>4</w:t>
            </w:r>
            <w:r w:rsidRPr="004003B5" w:rsidR="00CD629E">
              <w:rPr>
                <w:rFonts w:ascii="Times New Roman" w:hAnsi="Times New Roman"/>
                <w:sz w:val="24"/>
                <w:lang w:val="en-US"/>
              </w:rPr>
              <w:t>,160</w:t>
            </w:r>
          </w:p>
        </w:tc>
      </w:tr>
      <w:tr w14:paraId="538969CF" w14:textId="77777777" w:rsidTr="00420870">
        <w:tblPrEx>
          <w:tblW w:w="5005" w:type="pct"/>
          <w:jc w:val="center"/>
          <w:shd w:val="clear" w:color="auto" w:fill="FFFFFF" w:themeFill="background1"/>
          <w:tblLook w:val="04A0"/>
        </w:tblPrEx>
        <w:trPr>
          <w:trHeight w:val="620"/>
          <w:jc w:val="center"/>
        </w:trPr>
        <w:tc>
          <w:tcPr>
            <w:tcW w:w="1091" w:type="pct"/>
            <w:shd w:val="clear" w:color="auto" w:fill="FFFFFF" w:themeFill="background1"/>
            <w:vAlign w:val="center"/>
          </w:tcPr>
          <w:p w:rsidR="00AA733B" w:rsidRPr="004003B5" w:rsidP="0038075C" w14:paraId="09E0272B" w14:textId="77777777">
            <w:pPr>
              <w:rPr>
                <w:rFonts w:ascii="Times New Roman" w:hAnsi="Times New Roman" w:cs="Times New Roman"/>
                <w:sz w:val="24"/>
                <w:lang w:val="en-US"/>
              </w:rPr>
            </w:pPr>
            <w:r w:rsidRPr="004003B5">
              <w:rPr>
                <w:rFonts w:ascii="Times New Roman" w:hAnsi="Times New Roman"/>
                <w:sz w:val="24"/>
                <w:lang w:val="en-US"/>
              </w:rPr>
              <w:t>Obtain and record a recertification per foreign bank</w:t>
            </w:r>
          </w:p>
        </w:tc>
        <w:tc>
          <w:tcPr>
            <w:tcW w:w="1058" w:type="pct"/>
            <w:shd w:val="clear" w:color="auto" w:fill="FFFFFF" w:themeFill="background1"/>
            <w:vAlign w:val="center"/>
          </w:tcPr>
          <w:p w:rsidR="00AA733B" w:rsidRPr="004003B5" w:rsidP="0038075C" w14:paraId="774B6081" w14:textId="04AA5548">
            <w:pPr>
              <w:jc w:val="center"/>
              <w:rPr>
                <w:rFonts w:ascii="Times New Roman" w:hAnsi="Times New Roman" w:cs="Times New Roman"/>
                <w:sz w:val="24"/>
                <w:lang w:val="en-US"/>
              </w:rPr>
            </w:pPr>
            <w:r w:rsidRPr="004003B5">
              <w:rPr>
                <w:rFonts w:ascii="Times New Roman" w:hAnsi="Times New Roman"/>
                <w:sz w:val="24"/>
                <w:lang w:val="en-US"/>
              </w:rPr>
              <w:t>104</w:t>
            </w:r>
          </w:p>
        </w:tc>
        <w:tc>
          <w:tcPr>
            <w:tcW w:w="762" w:type="pct"/>
            <w:shd w:val="clear" w:color="auto" w:fill="FFFFFF" w:themeFill="background1"/>
            <w:vAlign w:val="center"/>
          </w:tcPr>
          <w:p w:rsidR="00AA733B" w:rsidRPr="004003B5" w:rsidP="0038075C" w14:paraId="21C2246F" w14:textId="77777777">
            <w:pPr>
              <w:jc w:val="center"/>
              <w:rPr>
                <w:rFonts w:ascii="Times New Roman" w:hAnsi="Times New Roman" w:cs="Times New Roman"/>
                <w:sz w:val="24"/>
                <w:lang w:val="en-US"/>
              </w:rPr>
            </w:pPr>
            <w:r w:rsidRPr="004003B5">
              <w:rPr>
                <w:rFonts w:ascii="Times New Roman" w:hAnsi="Times New Roman"/>
                <w:sz w:val="24"/>
                <w:lang w:val="en-US"/>
              </w:rPr>
              <w:t>4 hours</w:t>
            </w:r>
          </w:p>
        </w:tc>
        <w:tc>
          <w:tcPr>
            <w:tcW w:w="851" w:type="pct"/>
            <w:shd w:val="clear" w:color="auto" w:fill="FFFFFF" w:themeFill="background1"/>
            <w:vAlign w:val="center"/>
          </w:tcPr>
          <w:p w:rsidR="00AA733B" w:rsidRPr="004003B5" w:rsidP="0038075C" w14:paraId="2FFC7BA2" w14:textId="77777777">
            <w:pPr>
              <w:jc w:val="center"/>
              <w:rPr>
                <w:rFonts w:ascii="Times New Roman" w:hAnsi="Times New Roman" w:cs="Times New Roman"/>
                <w:sz w:val="24"/>
                <w:lang w:val="en-US"/>
              </w:rPr>
            </w:pPr>
            <w:r w:rsidRPr="004003B5">
              <w:rPr>
                <w:rFonts w:ascii="Times New Roman" w:hAnsi="Times New Roman"/>
                <w:sz w:val="24"/>
                <w:lang w:val="en-US"/>
              </w:rPr>
              <w:t>167</w:t>
            </w:r>
          </w:p>
        </w:tc>
        <w:tc>
          <w:tcPr>
            <w:tcW w:w="1238" w:type="pct"/>
            <w:shd w:val="clear" w:color="auto" w:fill="FFFFFF" w:themeFill="background1"/>
            <w:vAlign w:val="center"/>
          </w:tcPr>
          <w:p w:rsidR="00AA733B" w:rsidRPr="004003B5" w:rsidP="0038075C" w14:paraId="041FD05E" w14:textId="577FED5E">
            <w:pPr>
              <w:jc w:val="center"/>
              <w:rPr>
                <w:rFonts w:ascii="Times New Roman" w:hAnsi="Times New Roman" w:cs="Times New Roman"/>
                <w:sz w:val="24"/>
                <w:lang w:val="en-US"/>
              </w:rPr>
            </w:pPr>
            <w:r w:rsidRPr="004003B5">
              <w:rPr>
                <w:rFonts w:ascii="Times New Roman" w:hAnsi="Times New Roman"/>
                <w:sz w:val="24"/>
                <w:lang w:val="en-US"/>
              </w:rPr>
              <w:t>69,</w:t>
            </w:r>
            <w:r w:rsidRPr="004003B5" w:rsidR="0014016F">
              <w:rPr>
                <w:rFonts w:ascii="Times New Roman" w:hAnsi="Times New Roman"/>
                <w:sz w:val="24"/>
                <w:lang w:val="en-US"/>
              </w:rPr>
              <w:t>472</w:t>
            </w:r>
          </w:p>
        </w:tc>
      </w:tr>
      <w:tr w14:paraId="56B3CA1A" w14:textId="77777777" w:rsidTr="00420870">
        <w:tblPrEx>
          <w:tblW w:w="5005" w:type="pct"/>
          <w:jc w:val="center"/>
          <w:shd w:val="clear" w:color="auto" w:fill="FFFFFF" w:themeFill="background1"/>
          <w:tblLook w:val="04A0"/>
        </w:tblPrEx>
        <w:trPr>
          <w:trHeight w:val="620"/>
          <w:jc w:val="center"/>
        </w:trPr>
        <w:tc>
          <w:tcPr>
            <w:tcW w:w="1091" w:type="pct"/>
            <w:shd w:val="clear" w:color="auto" w:fill="FFFFFF" w:themeFill="background1"/>
            <w:vAlign w:val="center"/>
          </w:tcPr>
          <w:p w:rsidR="00AA733B" w:rsidRPr="004003B5" w:rsidP="0038075C" w14:paraId="59AD04DC" w14:textId="77777777">
            <w:pPr>
              <w:jc w:val="center"/>
              <w:rPr>
                <w:rFonts w:ascii="Times New Roman" w:hAnsi="Times New Roman" w:cs="Times New Roman"/>
                <w:b/>
                <w:sz w:val="24"/>
                <w:lang w:val="en-US"/>
              </w:rPr>
            </w:pPr>
            <w:r w:rsidRPr="004003B5">
              <w:rPr>
                <w:rFonts w:ascii="Times New Roman" w:hAnsi="Times New Roman"/>
                <w:b/>
                <w:sz w:val="24"/>
                <w:lang w:val="en-US"/>
              </w:rPr>
              <w:t>Total</w:t>
            </w:r>
          </w:p>
        </w:tc>
        <w:tc>
          <w:tcPr>
            <w:tcW w:w="1058" w:type="pct"/>
            <w:shd w:val="clear" w:color="auto" w:fill="FFFFFF" w:themeFill="background1"/>
            <w:vAlign w:val="center"/>
          </w:tcPr>
          <w:p w:rsidR="00AA733B" w:rsidRPr="004003B5" w:rsidP="0038075C" w14:paraId="5DA063E1" w14:textId="77777777">
            <w:pPr>
              <w:jc w:val="center"/>
              <w:rPr>
                <w:rFonts w:ascii="Times New Roman" w:hAnsi="Times New Roman" w:cs="Times New Roman"/>
                <w:sz w:val="24"/>
                <w:lang w:val="en-US"/>
              </w:rPr>
            </w:pPr>
          </w:p>
        </w:tc>
        <w:tc>
          <w:tcPr>
            <w:tcW w:w="762" w:type="pct"/>
            <w:shd w:val="clear" w:color="auto" w:fill="FFFFFF" w:themeFill="background1"/>
            <w:vAlign w:val="center"/>
          </w:tcPr>
          <w:p w:rsidR="00AA733B" w:rsidRPr="004003B5" w:rsidP="0038075C" w14:paraId="6D24A785" w14:textId="77777777">
            <w:pPr>
              <w:jc w:val="center"/>
              <w:rPr>
                <w:rFonts w:ascii="Times New Roman" w:hAnsi="Times New Roman" w:cs="Times New Roman"/>
                <w:sz w:val="24"/>
                <w:lang w:val="en-US"/>
              </w:rPr>
            </w:pPr>
          </w:p>
        </w:tc>
        <w:tc>
          <w:tcPr>
            <w:tcW w:w="851" w:type="pct"/>
            <w:shd w:val="clear" w:color="auto" w:fill="FFFFFF" w:themeFill="background1"/>
            <w:vAlign w:val="center"/>
          </w:tcPr>
          <w:p w:rsidR="00AA733B" w:rsidRPr="004003B5" w:rsidP="0038075C" w14:paraId="323B9207" w14:textId="77777777">
            <w:pPr>
              <w:jc w:val="center"/>
              <w:rPr>
                <w:rFonts w:ascii="Times New Roman" w:hAnsi="Times New Roman" w:cs="Times New Roman"/>
                <w:sz w:val="24"/>
                <w:lang w:val="en-US"/>
              </w:rPr>
            </w:pPr>
          </w:p>
        </w:tc>
        <w:tc>
          <w:tcPr>
            <w:tcW w:w="1238" w:type="pct"/>
            <w:shd w:val="clear" w:color="auto" w:fill="FFFFFF" w:themeFill="background1"/>
            <w:vAlign w:val="center"/>
          </w:tcPr>
          <w:p w:rsidR="00AA733B" w:rsidRPr="004003B5" w:rsidP="0038075C" w14:paraId="325DE1FF" w14:textId="3E005595">
            <w:pPr>
              <w:jc w:val="center"/>
              <w:rPr>
                <w:rFonts w:ascii="Times New Roman" w:hAnsi="Times New Roman" w:cs="Times New Roman"/>
                <w:b/>
                <w:sz w:val="24"/>
                <w:lang w:val="en-US"/>
              </w:rPr>
            </w:pPr>
            <w:r w:rsidRPr="004003B5">
              <w:rPr>
                <w:rFonts w:ascii="Times New Roman" w:hAnsi="Times New Roman"/>
                <w:b/>
                <w:sz w:val="24"/>
                <w:lang w:val="en-US"/>
              </w:rPr>
              <w:t>73,632</w:t>
            </w:r>
          </w:p>
        </w:tc>
      </w:tr>
    </w:tbl>
    <w:p w:rsidR="00AA733B" w:rsidP="009467D9" w14:paraId="314E5A20" w14:textId="32809C63">
      <w:pPr>
        <w:rPr>
          <w:rFonts w:ascii="Times New Roman" w:hAnsi="Times New Roman"/>
          <w:sz w:val="24"/>
          <w:u w:val="single"/>
        </w:rPr>
      </w:pPr>
      <w:r>
        <w:rPr>
          <w:lang w:val="en-GB"/>
        </w:rPr>
        <w:pict>
          <v:rect id="_x0000_i1029" style="width:0;height:1.5pt" o:hralign="center" o:hrstd="t" o:hr="t" fillcolor="#a0a0a0" stroked="f"/>
        </w:pict>
      </w:r>
    </w:p>
    <w:p w:rsidR="003302C2" w:rsidP="009467D9" w14:paraId="5B4C38E3" w14:textId="77777777">
      <w:pPr>
        <w:rPr>
          <w:rFonts w:ascii="Times New Roman" w:hAnsi="Times New Roman"/>
          <w:sz w:val="24"/>
          <w:u w:val="single"/>
        </w:rPr>
      </w:pPr>
      <w:r w:rsidRPr="0013195E">
        <w:rPr>
          <w:rFonts w:ascii="Times New Roman" w:hAnsi="Times New Roman"/>
          <w:sz w:val="24"/>
        </w:rPr>
        <w:t xml:space="preserve">13. </w:t>
      </w:r>
      <w:r w:rsidRPr="003302C2">
        <w:rPr>
          <w:rFonts w:ascii="Times New Roman" w:hAnsi="Times New Roman"/>
          <w:sz w:val="24"/>
          <w:u w:val="single"/>
        </w:rPr>
        <w:t>Estimated annual cost burden.</w:t>
      </w:r>
    </w:p>
    <w:p w:rsidR="005325B3" w:rsidP="009467D9" w14:paraId="162F3DF3" w14:textId="77777777">
      <w:pPr>
        <w:rPr>
          <w:rFonts w:ascii="Times New Roman" w:hAnsi="Times New Roman"/>
          <w:sz w:val="24"/>
        </w:rPr>
      </w:pPr>
    </w:p>
    <w:p w:rsidR="00B76F46" w:rsidP="00897B34" w14:paraId="7D922510" w14:textId="71862AE1">
      <w:pPr>
        <w:ind w:firstLine="720"/>
        <w:rPr>
          <w:rFonts w:ascii="Times New Roman" w:hAnsi="Times New Roman"/>
          <w:sz w:val="24"/>
          <w:szCs w:val="32"/>
        </w:rPr>
      </w:pPr>
      <w:r w:rsidRPr="004C2B85">
        <w:rPr>
          <w:rFonts w:ascii="Times New Roman" w:hAnsi="Times New Roman"/>
          <w:sz w:val="24"/>
          <w:szCs w:val="32"/>
        </w:rPr>
        <w:t>The total estimated cost of the annual PRA burden is $8,</w:t>
      </w:r>
      <w:r w:rsidR="004E5C26">
        <w:rPr>
          <w:rFonts w:ascii="Times New Roman" w:hAnsi="Times New Roman"/>
          <w:sz w:val="24"/>
          <w:szCs w:val="32"/>
        </w:rPr>
        <w:t>835</w:t>
      </w:r>
      <w:r w:rsidRPr="004C2B85">
        <w:rPr>
          <w:rFonts w:ascii="Times New Roman" w:hAnsi="Times New Roman"/>
          <w:sz w:val="24"/>
          <w:szCs w:val="32"/>
        </w:rPr>
        <w:t>,</w:t>
      </w:r>
      <w:r w:rsidR="004E5C26">
        <w:rPr>
          <w:rFonts w:ascii="Times New Roman" w:hAnsi="Times New Roman"/>
          <w:sz w:val="24"/>
          <w:szCs w:val="32"/>
        </w:rPr>
        <w:t>840</w:t>
      </w:r>
      <w:r w:rsidRPr="004C2B85">
        <w:rPr>
          <w:rFonts w:ascii="Times New Roman" w:hAnsi="Times New Roman"/>
          <w:sz w:val="24"/>
          <w:szCs w:val="32"/>
        </w:rPr>
        <w:t>, as reflected in Table 4 below:</w:t>
      </w:r>
    </w:p>
    <w:p w:rsidR="00897B34" w:rsidRPr="004C2B85" w:rsidP="001225AF" w14:paraId="1F5F700A" w14:textId="416321FB">
      <w:pPr>
        <w:rPr>
          <w:rFonts w:ascii="Times New Roman" w:hAnsi="Times New Roman"/>
          <w:sz w:val="22"/>
          <w:szCs w:val="22"/>
        </w:rPr>
      </w:pPr>
      <w:r>
        <w:rPr>
          <w:lang w:val="en-GB"/>
        </w:rPr>
        <w:pict>
          <v:rect id="_x0000_i1030" style="width:0;height:1.5pt" o:hralign="center" o:hrstd="t" o:hr="t" fillcolor="#a0a0a0" stroked="f"/>
        </w:pict>
      </w:r>
    </w:p>
    <w:p w:rsidR="00420870" w:rsidRPr="00D92E4A" w:rsidP="00DF0477" w14:paraId="12121538" w14:textId="77777777">
      <w:pPr>
        <w:rPr>
          <w:rFonts w:ascii="Times New Roman" w:hAnsi="Times New Roman"/>
          <w:b/>
          <w:sz w:val="24"/>
        </w:rPr>
      </w:pPr>
      <w:r w:rsidRPr="00D92E4A">
        <w:rPr>
          <w:rFonts w:ascii="Times New Roman" w:hAnsi="Times New Roman"/>
          <w:b/>
          <w:sz w:val="24"/>
        </w:rPr>
        <w:t>Table 4. Total cost of annual PRA burden</w:t>
      </w:r>
    </w:p>
    <w:tbl>
      <w:tblPr>
        <w:tblStyle w:val="TableGrid"/>
        <w:tblW w:w="5000" w:type="pct"/>
        <w:shd w:val="clear" w:color="auto" w:fill="FFFFFF" w:themeFill="background1"/>
        <w:tblLook w:val="04A0"/>
      </w:tblPr>
      <w:tblGrid>
        <w:gridCol w:w="3424"/>
        <w:gridCol w:w="2203"/>
        <w:gridCol w:w="1877"/>
        <w:gridCol w:w="1846"/>
      </w:tblGrid>
      <w:tr w14:paraId="764A0ED7" w14:textId="77777777" w:rsidTr="00420870">
        <w:tblPrEx>
          <w:tblW w:w="5000" w:type="pct"/>
          <w:shd w:val="clear" w:color="auto" w:fill="FFFFFF" w:themeFill="background1"/>
          <w:tblLook w:val="04A0"/>
        </w:tblPrEx>
        <w:trPr>
          <w:tblHeader/>
        </w:trPr>
        <w:tc>
          <w:tcPr>
            <w:tcW w:w="1831" w:type="pct"/>
            <w:tcBorders>
              <w:top w:val="single" w:sz="4" w:space="0" w:color="auto"/>
            </w:tcBorders>
            <w:shd w:val="clear" w:color="auto" w:fill="FFFFFF" w:themeFill="background1"/>
            <w:vAlign w:val="center"/>
          </w:tcPr>
          <w:p w:rsidR="00435F9B" w:rsidRPr="004003B5" w:rsidP="0038075C" w14:paraId="550DC8F4" w14:textId="77777777">
            <w:pPr>
              <w:jc w:val="center"/>
              <w:rPr>
                <w:rFonts w:ascii="Times New Roman" w:hAnsi="Times New Roman"/>
                <w:b/>
                <w:sz w:val="24"/>
              </w:rPr>
            </w:pPr>
            <w:r w:rsidRPr="004003B5">
              <w:rPr>
                <w:rFonts w:ascii="Times New Roman" w:hAnsi="Times New Roman"/>
                <w:b/>
                <w:sz w:val="24"/>
              </w:rPr>
              <w:t>Steps</w:t>
            </w:r>
          </w:p>
        </w:tc>
        <w:tc>
          <w:tcPr>
            <w:tcW w:w="1178" w:type="pct"/>
            <w:tcBorders>
              <w:top w:val="single" w:sz="4" w:space="0" w:color="auto"/>
            </w:tcBorders>
            <w:shd w:val="clear" w:color="auto" w:fill="FFFFFF" w:themeFill="background1"/>
          </w:tcPr>
          <w:p w:rsidR="00435F9B" w:rsidRPr="004003B5" w:rsidP="0038075C" w14:paraId="0CE323CB" w14:textId="77777777">
            <w:pPr>
              <w:jc w:val="center"/>
              <w:rPr>
                <w:rFonts w:ascii="Times New Roman" w:hAnsi="Times New Roman"/>
                <w:b/>
                <w:sz w:val="24"/>
              </w:rPr>
            </w:pPr>
            <w:r w:rsidRPr="004003B5">
              <w:rPr>
                <w:rFonts w:ascii="Times New Roman" w:hAnsi="Times New Roman"/>
                <w:b/>
                <w:sz w:val="24"/>
              </w:rPr>
              <w:t>Hourly Burden</w:t>
            </w:r>
          </w:p>
        </w:tc>
        <w:tc>
          <w:tcPr>
            <w:tcW w:w="1004" w:type="pct"/>
            <w:tcBorders>
              <w:top w:val="single" w:sz="4" w:space="0" w:color="auto"/>
            </w:tcBorders>
            <w:shd w:val="clear" w:color="auto" w:fill="FFFFFF" w:themeFill="background1"/>
            <w:vAlign w:val="center"/>
          </w:tcPr>
          <w:p w:rsidR="00435F9B" w:rsidRPr="004003B5" w:rsidP="0038075C" w14:paraId="00E0CC7C" w14:textId="77777777">
            <w:pPr>
              <w:jc w:val="center"/>
              <w:rPr>
                <w:rFonts w:ascii="Times New Roman" w:hAnsi="Times New Roman"/>
                <w:b/>
                <w:sz w:val="24"/>
              </w:rPr>
            </w:pPr>
            <w:r w:rsidRPr="004003B5">
              <w:rPr>
                <w:rFonts w:ascii="Times New Roman" w:hAnsi="Times New Roman"/>
                <w:b/>
                <w:sz w:val="24"/>
              </w:rPr>
              <w:t>Hourly Cost</w:t>
            </w:r>
          </w:p>
        </w:tc>
        <w:tc>
          <w:tcPr>
            <w:tcW w:w="987" w:type="pct"/>
            <w:tcBorders>
              <w:top w:val="single" w:sz="4" w:space="0" w:color="auto"/>
            </w:tcBorders>
            <w:shd w:val="clear" w:color="auto" w:fill="FFFFFF" w:themeFill="background1"/>
            <w:vAlign w:val="center"/>
          </w:tcPr>
          <w:p w:rsidR="00435F9B" w:rsidRPr="004003B5" w:rsidP="0038075C" w14:paraId="4B116B31" w14:textId="77777777">
            <w:pPr>
              <w:jc w:val="center"/>
              <w:rPr>
                <w:rFonts w:ascii="Times New Roman" w:hAnsi="Times New Roman"/>
                <w:b/>
                <w:sz w:val="24"/>
              </w:rPr>
            </w:pPr>
            <w:r w:rsidRPr="004003B5">
              <w:rPr>
                <w:rFonts w:ascii="Times New Roman" w:hAnsi="Times New Roman"/>
                <w:b/>
                <w:sz w:val="24"/>
              </w:rPr>
              <w:t>Total Cost</w:t>
            </w:r>
          </w:p>
        </w:tc>
      </w:tr>
      <w:tr w14:paraId="67748EBD" w14:textId="77777777" w:rsidTr="004003B5">
        <w:tblPrEx>
          <w:tblW w:w="5000" w:type="pct"/>
          <w:shd w:val="clear" w:color="auto" w:fill="FFFFFF" w:themeFill="background1"/>
          <w:tblLook w:val="04A0"/>
        </w:tblPrEx>
        <w:trPr>
          <w:trHeight w:val="339"/>
        </w:trPr>
        <w:tc>
          <w:tcPr>
            <w:tcW w:w="1831" w:type="pct"/>
            <w:shd w:val="clear" w:color="auto" w:fill="FFFFFF" w:themeFill="background1"/>
            <w:vAlign w:val="center"/>
          </w:tcPr>
          <w:p w:rsidR="00435F9B" w:rsidRPr="004003B5" w:rsidP="0038075C" w14:paraId="122843D2" w14:textId="419E8090">
            <w:pPr>
              <w:rPr>
                <w:rFonts w:ascii="Times New Roman" w:hAnsi="Times New Roman"/>
                <w:sz w:val="24"/>
              </w:rPr>
            </w:pPr>
            <w:r w:rsidRPr="004003B5">
              <w:rPr>
                <w:rFonts w:ascii="Times New Roman" w:hAnsi="Times New Roman"/>
                <w:sz w:val="24"/>
              </w:rPr>
              <w:t xml:space="preserve">Time taken for covered financial institutions to </w:t>
            </w:r>
            <w:r w:rsidRPr="004003B5" w:rsidR="6CB93159">
              <w:rPr>
                <w:rFonts w:ascii="Times New Roman" w:hAnsi="Times New Roman"/>
                <w:sz w:val="24"/>
              </w:rPr>
              <w:t>o</w:t>
            </w:r>
            <w:r w:rsidRPr="004003B5" w:rsidR="61FBEF52">
              <w:rPr>
                <w:rFonts w:ascii="Times New Roman" w:hAnsi="Times New Roman"/>
                <w:sz w:val="24"/>
              </w:rPr>
              <w:t xml:space="preserve">btain certification </w:t>
            </w:r>
            <w:r w:rsidRPr="004003B5" w:rsidR="31494B3A">
              <w:rPr>
                <w:rFonts w:ascii="Times New Roman" w:hAnsi="Times New Roman"/>
                <w:sz w:val="24"/>
              </w:rPr>
              <w:t xml:space="preserve">requirements from </w:t>
            </w:r>
            <w:r w:rsidRPr="004003B5" w:rsidR="61FBEF52">
              <w:rPr>
                <w:rFonts w:ascii="Times New Roman" w:hAnsi="Times New Roman"/>
                <w:sz w:val="24"/>
              </w:rPr>
              <w:t>foreign bank</w:t>
            </w:r>
            <w:r w:rsidRPr="004003B5" w:rsidR="4448CC14">
              <w:rPr>
                <w:rFonts w:ascii="Times New Roman" w:hAnsi="Times New Roman"/>
                <w:sz w:val="24"/>
              </w:rPr>
              <w:t>s, including recordkeeping</w:t>
            </w:r>
            <w:r w:rsidRPr="004003B5" w:rsidR="61FBEF52">
              <w:rPr>
                <w:rFonts w:ascii="Times New Roman" w:hAnsi="Times New Roman"/>
                <w:sz w:val="24"/>
              </w:rPr>
              <w:t xml:space="preserve"> </w:t>
            </w:r>
          </w:p>
        </w:tc>
        <w:tc>
          <w:tcPr>
            <w:tcW w:w="1178" w:type="pct"/>
            <w:shd w:val="clear" w:color="auto" w:fill="FFFFFF" w:themeFill="background1"/>
            <w:vAlign w:val="center"/>
          </w:tcPr>
          <w:p w:rsidR="00435F9B" w:rsidRPr="004003B5" w:rsidP="000823D5" w14:paraId="2DBE908E" w14:textId="460D2277">
            <w:pPr>
              <w:jc w:val="center"/>
              <w:rPr>
                <w:rFonts w:ascii="Times New Roman" w:hAnsi="Times New Roman"/>
                <w:sz w:val="24"/>
              </w:rPr>
            </w:pPr>
            <w:r w:rsidRPr="004003B5">
              <w:rPr>
                <w:rFonts w:ascii="Times New Roman" w:hAnsi="Times New Roman"/>
                <w:sz w:val="24"/>
              </w:rPr>
              <w:t>4,160</w:t>
            </w:r>
            <w:r w:rsidRPr="004003B5" w:rsidR="004940E4">
              <w:rPr>
                <w:rFonts w:ascii="Times New Roman" w:hAnsi="Times New Roman"/>
                <w:sz w:val="24"/>
                <w:vertAlign w:val="superscript"/>
              </w:rPr>
              <w:t>a</w:t>
            </w:r>
          </w:p>
        </w:tc>
        <w:tc>
          <w:tcPr>
            <w:tcW w:w="1004" w:type="pct"/>
            <w:shd w:val="clear" w:color="auto" w:fill="FFFFFF" w:themeFill="background1"/>
            <w:vAlign w:val="center"/>
          </w:tcPr>
          <w:p w:rsidR="00435F9B" w:rsidRPr="004003B5" w:rsidP="000823D5" w14:paraId="02BC5315" w14:textId="30584F9E">
            <w:pPr>
              <w:jc w:val="center"/>
              <w:rPr>
                <w:rFonts w:ascii="Times New Roman" w:hAnsi="Times New Roman"/>
                <w:sz w:val="24"/>
              </w:rPr>
            </w:pPr>
            <w:r w:rsidRPr="004003B5">
              <w:rPr>
                <w:rFonts w:ascii="Times New Roman" w:hAnsi="Times New Roman"/>
                <w:sz w:val="24"/>
              </w:rPr>
              <w:t>$120.00</w:t>
            </w:r>
            <w:r w:rsidRPr="004003B5" w:rsidR="004940E4">
              <w:rPr>
                <w:rFonts w:ascii="Times New Roman" w:hAnsi="Times New Roman"/>
                <w:sz w:val="24"/>
                <w:vertAlign w:val="superscript"/>
              </w:rPr>
              <w:t>b</w:t>
            </w:r>
          </w:p>
        </w:tc>
        <w:tc>
          <w:tcPr>
            <w:tcW w:w="987" w:type="pct"/>
            <w:shd w:val="clear" w:color="auto" w:fill="FFFFFF" w:themeFill="background1"/>
            <w:vAlign w:val="center"/>
          </w:tcPr>
          <w:p w:rsidR="00435F9B" w:rsidRPr="004003B5" w:rsidP="000823D5" w14:paraId="0DCC08A6" w14:textId="71008D73">
            <w:pPr>
              <w:jc w:val="center"/>
              <w:rPr>
                <w:rFonts w:ascii="Times New Roman" w:hAnsi="Times New Roman"/>
                <w:sz w:val="24"/>
              </w:rPr>
            </w:pPr>
            <w:r w:rsidRPr="004003B5">
              <w:rPr>
                <w:rFonts w:ascii="Times New Roman" w:hAnsi="Times New Roman"/>
                <w:sz w:val="24"/>
              </w:rPr>
              <w:t>$4</w:t>
            </w:r>
            <w:r w:rsidRPr="004003B5" w:rsidR="000B1C1B">
              <w:rPr>
                <w:rFonts w:ascii="Times New Roman" w:hAnsi="Times New Roman"/>
                <w:sz w:val="24"/>
              </w:rPr>
              <w:t>99</w:t>
            </w:r>
            <w:r w:rsidRPr="004003B5">
              <w:rPr>
                <w:rFonts w:ascii="Times New Roman" w:hAnsi="Times New Roman"/>
                <w:sz w:val="24"/>
              </w:rPr>
              <w:t>,</w:t>
            </w:r>
            <w:r w:rsidRPr="004003B5" w:rsidR="000B1C1B">
              <w:rPr>
                <w:rFonts w:ascii="Times New Roman" w:hAnsi="Times New Roman"/>
                <w:sz w:val="24"/>
              </w:rPr>
              <w:t>2</w:t>
            </w:r>
            <w:r w:rsidRPr="004003B5">
              <w:rPr>
                <w:rFonts w:ascii="Times New Roman" w:hAnsi="Times New Roman"/>
                <w:sz w:val="24"/>
              </w:rPr>
              <w:t>00</w:t>
            </w:r>
          </w:p>
        </w:tc>
      </w:tr>
      <w:tr w14:paraId="07423CAB" w14:textId="77777777" w:rsidTr="004003B5">
        <w:tblPrEx>
          <w:tblW w:w="5000" w:type="pct"/>
          <w:shd w:val="clear" w:color="auto" w:fill="FFFFFF" w:themeFill="background1"/>
          <w:tblLook w:val="04A0"/>
        </w:tblPrEx>
        <w:trPr>
          <w:trHeight w:val="339"/>
        </w:trPr>
        <w:tc>
          <w:tcPr>
            <w:tcW w:w="1831" w:type="pct"/>
            <w:shd w:val="clear" w:color="auto" w:fill="FFFFFF" w:themeFill="background1"/>
            <w:vAlign w:val="center"/>
          </w:tcPr>
          <w:p w:rsidR="00435F9B" w:rsidRPr="004003B5" w:rsidP="0038075C" w14:paraId="7D94CF9C" w14:textId="72BE1106">
            <w:pPr>
              <w:rPr>
                <w:rFonts w:ascii="Times New Roman" w:hAnsi="Times New Roman"/>
                <w:sz w:val="24"/>
              </w:rPr>
            </w:pPr>
            <w:r w:rsidRPr="004003B5">
              <w:rPr>
                <w:rFonts w:ascii="Times New Roman" w:hAnsi="Times New Roman"/>
                <w:sz w:val="24"/>
              </w:rPr>
              <w:t>Time taken for covered financial institutions to o</w:t>
            </w:r>
            <w:r w:rsidRPr="004003B5" w:rsidR="61FBEF52">
              <w:rPr>
                <w:rFonts w:ascii="Times New Roman" w:hAnsi="Times New Roman"/>
                <w:sz w:val="24"/>
              </w:rPr>
              <w:t xml:space="preserve">btain recertification </w:t>
            </w:r>
            <w:r w:rsidRPr="004003B5" w:rsidR="66513EC8">
              <w:rPr>
                <w:rFonts w:ascii="Times New Roman" w:hAnsi="Times New Roman"/>
                <w:sz w:val="24"/>
              </w:rPr>
              <w:t xml:space="preserve">from </w:t>
            </w:r>
            <w:r w:rsidRPr="004003B5" w:rsidR="61FBEF52">
              <w:rPr>
                <w:rFonts w:ascii="Times New Roman" w:hAnsi="Times New Roman"/>
                <w:sz w:val="24"/>
              </w:rPr>
              <w:t>foreign bank</w:t>
            </w:r>
            <w:r w:rsidRPr="004003B5" w:rsidR="0B631922">
              <w:rPr>
                <w:rFonts w:ascii="Times New Roman" w:hAnsi="Times New Roman"/>
                <w:sz w:val="24"/>
              </w:rPr>
              <w:t>s, including recordkeeping.</w:t>
            </w:r>
            <w:r w:rsidRPr="004003B5" w:rsidR="61FBEF52">
              <w:rPr>
                <w:rFonts w:ascii="Times New Roman" w:hAnsi="Times New Roman"/>
                <w:sz w:val="24"/>
              </w:rPr>
              <w:t xml:space="preserve"> </w:t>
            </w:r>
          </w:p>
        </w:tc>
        <w:tc>
          <w:tcPr>
            <w:tcW w:w="1178" w:type="pct"/>
            <w:shd w:val="clear" w:color="auto" w:fill="FFFFFF" w:themeFill="background1"/>
            <w:vAlign w:val="center"/>
          </w:tcPr>
          <w:p w:rsidR="00435F9B" w:rsidRPr="004003B5" w:rsidP="000823D5" w14:paraId="50ED838A" w14:textId="088370F0">
            <w:pPr>
              <w:jc w:val="center"/>
              <w:rPr>
                <w:rFonts w:ascii="Times New Roman" w:hAnsi="Times New Roman"/>
                <w:sz w:val="24"/>
              </w:rPr>
            </w:pPr>
            <w:r w:rsidRPr="004003B5">
              <w:rPr>
                <w:rFonts w:ascii="Times New Roman" w:hAnsi="Times New Roman"/>
                <w:sz w:val="24"/>
              </w:rPr>
              <w:t>6</w:t>
            </w:r>
            <w:r w:rsidRPr="004003B5" w:rsidR="000B1C1B">
              <w:rPr>
                <w:rFonts w:ascii="Times New Roman" w:hAnsi="Times New Roman"/>
                <w:sz w:val="24"/>
              </w:rPr>
              <w:t>9</w:t>
            </w:r>
            <w:r w:rsidRPr="004003B5">
              <w:rPr>
                <w:rFonts w:ascii="Times New Roman" w:hAnsi="Times New Roman"/>
                <w:sz w:val="24"/>
              </w:rPr>
              <w:t>,</w:t>
            </w:r>
            <w:r w:rsidRPr="004003B5" w:rsidR="00156F5A">
              <w:rPr>
                <w:rFonts w:ascii="Times New Roman" w:hAnsi="Times New Roman"/>
                <w:sz w:val="24"/>
              </w:rPr>
              <w:t>472</w:t>
            </w:r>
            <w:r w:rsidRPr="004003B5" w:rsidR="004940E4">
              <w:rPr>
                <w:rFonts w:ascii="Times New Roman" w:hAnsi="Times New Roman"/>
                <w:sz w:val="24"/>
                <w:vertAlign w:val="superscript"/>
              </w:rPr>
              <w:t>c</w:t>
            </w:r>
          </w:p>
        </w:tc>
        <w:tc>
          <w:tcPr>
            <w:tcW w:w="1004" w:type="pct"/>
            <w:shd w:val="clear" w:color="auto" w:fill="FFFFFF" w:themeFill="background1"/>
            <w:vAlign w:val="center"/>
          </w:tcPr>
          <w:p w:rsidR="00435F9B" w:rsidRPr="004003B5" w:rsidP="000823D5" w14:paraId="42DC2651" w14:textId="77777777">
            <w:pPr>
              <w:jc w:val="center"/>
              <w:rPr>
                <w:rFonts w:ascii="Times New Roman" w:hAnsi="Times New Roman"/>
                <w:sz w:val="24"/>
              </w:rPr>
            </w:pPr>
            <w:r w:rsidRPr="004003B5">
              <w:rPr>
                <w:rFonts w:ascii="Times New Roman" w:hAnsi="Times New Roman"/>
                <w:sz w:val="24"/>
              </w:rPr>
              <w:t>$120.00</w:t>
            </w:r>
          </w:p>
        </w:tc>
        <w:tc>
          <w:tcPr>
            <w:tcW w:w="987" w:type="pct"/>
            <w:shd w:val="clear" w:color="auto" w:fill="FFFFFF" w:themeFill="background1"/>
            <w:vAlign w:val="center"/>
          </w:tcPr>
          <w:p w:rsidR="00435F9B" w:rsidRPr="004003B5" w:rsidP="000823D5" w14:paraId="12B6BB75" w14:textId="17B99E23">
            <w:pPr>
              <w:jc w:val="center"/>
              <w:rPr>
                <w:rFonts w:ascii="Times New Roman" w:hAnsi="Times New Roman"/>
                <w:sz w:val="24"/>
              </w:rPr>
            </w:pPr>
            <w:r w:rsidRPr="004003B5">
              <w:rPr>
                <w:rFonts w:ascii="Times New Roman" w:hAnsi="Times New Roman"/>
                <w:sz w:val="24"/>
              </w:rPr>
              <w:t>$</w:t>
            </w:r>
            <w:r w:rsidRPr="004003B5" w:rsidR="00156F5A">
              <w:rPr>
                <w:rFonts w:ascii="Times New Roman" w:hAnsi="Times New Roman"/>
                <w:sz w:val="24"/>
              </w:rPr>
              <w:t>8</w:t>
            </w:r>
            <w:r w:rsidRPr="004003B5">
              <w:rPr>
                <w:rFonts w:ascii="Times New Roman" w:hAnsi="Times New Roman"/>
                <w:sz w:val="24"/>
              </w:rPr>
              <w:t>,</w:t>
            </w:r>
            <w:r w:rsidRPr="004003B5" w:rsidR="002870D5">
              <w:rPr>
                <w:rFonts w:ascii="Times New Roman" w:hAnsi="Times New Roman"/>
                <w:sz w:val="24"/>
              </w:rPr>
              <w:t>336</w:t>
            </w:r>
            <w:r w:rsidRPr="004003B5">
              <w:rPr>
                <w:rFonts w:ascii="Times New Roman" w:hAnsi="Times New Roman"/>
                <w:sz w:val="24"/>
              </w:rPr>
              <w:t>,6</w:t>
            </w:r>
            <w:r w:rsidRPr="004003B5" w:rsidR="00697296">
              <w:rPr>
                <w:rFonts w:ascii="Times New Roman" w:hAnsi="Times New Roman"/>
                <w:sz w:val="24"/>
              </w:rPr>
              <w:t>4</w:t>
            </w:r>
            <w:r w:rsidRPr="004003B5">
              <w:rPr>
                <w:rFonts w:ascii="Times New Roman" w:hAnsi="Times New Roman"/>
                <w:sz w:val="24"/>
              </w:rPr>
              <w:t>0</w:t>
            </w:r>
          </w:p>
        </w:tc>
      </w:tr>
      <w:tr w14:paraId="67471A5A" w14:textId="77777777" w:rsidTr="004003B5">
        <w:tblPrEx>
          <w:tblW w:w="5000" w:type="pct"/>
          <w:shd w:val="clear" w:color="auto" w:fill="FFFFFF" w:themeFill="background1"/>
          <w:tblLook w:val="04A0"/>
        </w:tblPrEx>
        <w:trPr>
          <w:trHeight w:val="339"/>
        </w:trPr>
        <w:tc>
          <w:tcPr>
            <w:tcW w:w="4013" w:type="pct"/>
            <w:gridSpan w:val="3"/>
            <w:tcBorders>
              <w:bottom w:val="single" w:sz="4" w:space="0" w:color="auto"/>
            </w:tcBorders>
            <w:shd w:val="clear" w:color="auto" w:fill="FFFFFF" w:themeFill="background1"/>
          </w:tcPr>
          <w:p w:rsidR="00435F9B" w:rsidRPr="004003B5" w:rsidP="0038075C" w14:paraId="131E1256" w14:textId="77777777">
            <w:pPr>
              <w:rPr>
                <w:rFonts w:ascii="Times New Roman" w:hAnsi="Times New Roman"/>
                <w:b/>
                <w:sz w:val="24"/>
              </w:rPr>
            </w:pPr>
            <w:r w:rsidRPr="004003B5">
              <w:rPr>
                <w:rFonts w:ascii="Times New Roman" w:hAnsi="Times New Roman"/>
                <w:b/>
                <w:sz w:val="24"/>
              </w:rPr>
              <w:t>Total cost</w:t>
            </w:r>
          </w:p>
        </w:tc>
        <w:tc>
          <w:tcPr>
            <w:tcW w:w="987" w:type="pct"/>
            <w:tcBorders>
              <w:bottom w:val="single" w:sz="4" w:space="0" w:color="auto"/>
            </w:tcBorders>
            <w:shd w:val="clear" w:color="auto" w:fill="FFFFFF" w:themeFill="background1"/>
            <w:vAlign w:val="center"/>
          </w:tcPr>
          <w:p w:rsidR="00435F9B" w:rsidRPr="004003B5" w:rsidP="000823D5" w14:paraId="03B23926" w14:textId="65D74277">
            <w:pPr>
              <w:jc w:val="center"/>
              <w:rPr>
                <w:rFonts w:ascii="Times New Roman" w:hAnsi="Times New Roman"/>
                <w:b/>
                <w:sz w:val="24"/>
              </w:rPr>
            </w:pPr>
            <w:r w:rsidRPr="004003B5">
              <w:rPr>
                <w:rFonts w:ascii="Times New Roman" w:hAnsi="Times New Roman"/>
                <w:b/>
                <w:sz w:val="24"/>
              </w:rPr>
              <w:t>$8,</w:t>
            </w:r>
            <w:r w:rsidRPr="004003B5" w:rsidR="00756A27">
              <w:rPr>
                <w:rFonts w:ascii="Times New Roman" w:hAnsi="Times New Roman"/>
                <w:b/>
                <w:sz w:val="24"/>
              </w:rPr>
              <w:t>835</w:t>
            </w:r>
            <w:r w:rsidRPr="004003B5">
              <w:rPr>
                <w:rFonts w:ascii="Times New Roman" w:hAnsi="Times New Roman"/>
                <w:b/>
                <w:sz w:val="24"/>
              </w:rPr>
              <w:t>,</w:t>
            </w:r>
            <w:r w:rsidRPr="004003B5" w:rsidR="001D28B7">
              <w:rPr>
                <w:rFonts w:ascii="Times New Roman" w:hAnsi="Times New Roman"/>
                <w:b/>
                <w:sz w:val="24"/>
              </w:rPr>
              <w:t>840</w:t>
            </w:r>
          </w:p>
        </w:tc>
      </w:tr>
    </w:tbl>
    <w:p w:rsidR="00420870" w:rsidRPr="00D35C1E" w:rsidP="004003B5" w14:paraId="74C7BCD1" w14:textId="1B898198">
      <w:pPr>
        <w:spacing w:after="120"/>
        <w:rPr>
          <w:rFonts w:ascii="Times New Roman" w:hAnsi="Times New Roman"/>
          <w:bCs/>
          <w:sz w:val="24"/>
        </w:rPr>
      </w:pPr>
      <w:r>
        <w:rPr>
          <w:rFonts w:ascii="Times New Roman" w:hAnsi="Times New Roman"/>
          <w:bCs/>
          <w:sz w:val="24"/>
          <w:vertAlign w:val="superscript"/>
        </w:rPr>
        <w:br/>
      </w:r>
      <w:r w:rsidRPr="00D35C1E">
        <w:rPr>
          <w:rFonts w:ascii="Times New Roman" w:hAnsi="Times New Roman"/>
          <w:bCs/>
          <w:sz w:val="24"/>
          <w:vertAlign w:val="superscript"/>
        </w:rPr>
        <w:t xml:space="preserve">a </w:t>
      </w:r>
      <w:r w:rsidRPr="00D35C1E">
        <w:rPr>
          <w:rFonts w:ascii="Times New Roman" w:hAnsi="Times New Roman"/>
          <w:i/>
          <w:iCs/>
          <w:sz w:val="24"/>
        </w:rPr>
        <w:t>See</w:t>
      </w:r>
      <w:r w:rsidRPr="00D35C1E">
        <w:rPr>
          <w:rFonts w:ascii="Times New Roman" w:hAnsi="Times New Roman"/>
          <w:sz w:val="24"/>
        </w:rPr>
        <w:t xml:space="preserve"> Table 3.</w:t>
      </w:r>
    </w:p>
    <w:p w:rsidR="00420870" w:rsidRPr="00D35C1E" w:rsidP="004003B5" w14:paraId="2DA39836" w14:textId="6A6E992A">
      <w:pPr>
        <w:spacing w:after="120"/>
        <w:rPr>
          <w:rFonts w:ascii="Times New Roman" w:hAnsi="Times New Roman"/>
          <w:bCs/>
          <w:sz w:val="24"/>
        </w:rPr>
      </w:pPr>
      <w:r w:rsidRPr="00D35C1E">
        <w:rPr>
          <w:rFonts w:ascii="Times New Roman" w:hAnsi="Times New Roman"/>
          <w:bCs/>
          <w:sz w:val="24"/>
          <w:vertAlign w:val="superscript"/>
        </w:rPr>
        <w:t xml:space="preserve">b </w:t>
      </w:r>
      <w:r w:rsidRPr="00D35C1E">
        <w:rPr>
          <w:rFonts w:ascii="Times New Roman" w:hAnsi="Times New Roman"/>
          <w:sz w:val="24"/>
        </w:rPr>
        <w:t xml:space="preserve">The wage rate applied here is the general composite hourly wage used across FinCEN notices that pertain to the categories of financial institutions as grouped in 31 CFR chapter X, see, e.g., FinCEN, </w:t>
      </w:r>
      <w:hyperlink r:id="rId11" w:history="1">
        <w:r w:rsidRPr="00D35C1E">
          <w:rPr>
            <w:rStyle w:val="Hyperlink"/>
            <w:rFonts w:ascii="Times New Roman" w:hAnsi="Times New Roman"/>
            <w:i/>
            <w:iCs/>
            <w:sz w:val="24"/>
          </w:rPr>
          <w:t xml:space="preserve">Agency Information Collection Activities; Proposed Renewal; Comment Request: Renewal Without Change of Reporting Obligations on Foreign Bank Relationships With Iranian Linked Financial Institutions Designated Under IEEP and IRGC-Linked Persons Designated </w:t>
        </w:r>
        <w:r w:rsidRPr="00D35C1E">
          <w:rPr>
            <w:rStyle w:val="Hyperlink"/>
            <w:rFonts w:ascii="Times New Roman" w:hAnsi="Times New Roman"/>
            <w:i/>
            <w:iCs/>
            <w:sz w:val="24"/>
          </w:rPr>
          <w:t>Under IEEPA</w:t>
        </w:r>
      </w:hyperlink>
      <w:r w:rsidRPr="00D35C1E">
        <w:rPr>
          <w:rFonts w:ascii="Times New Roman" w:hAnsi="Times New Roman"/>
          <w:sz w:val="24"/>
        </w:rPr>
        <w:t>, 90 FR 14183, 14188 (Mar. 28, 2025) footnote 49.</w:t>
      </w:r>
    </w:p>
    <w:p w:rsidR="00420870" w:rsidRPr="00D35C1E" w:rsidP="00587A2A" w14:paraId="781313E0" w14:textId="77777777">
      <w:pPr>
        <w:rPr>
          <w:rFonts w:ascii="Times New Roman" w:hAnsi="Times New Roman"/>
          <w:bCs/>
          <w:sz w:val="24"/>
        </w:rPr>
      </w:pPr>
      <w:r w:rsidRPr="00D35C1E">
        <w:rPr>
          <w:rFonts w:ascii="Times New Roman" w:hAnsi="Times New Roman"/>
          <w:bCs/>
          <w:sz w:val="24"/>
          <w:vertAlign w:val="superscript"/>
        </w:rPr>
        <w:t xml:space="preserve">c </w:t>
      </w:r>
      <w:r w:rsidRPr="00D35C1E">
        <w:rPr>
          <w:rFonts w:ascii="Times New Roman" w:hAnsi="Times New Roman"/>
          <w:i/>
          <w:iCs/>
          <w:sz w:val="24"/>
        </w:rPr>
        <w:t>See</w:t>
      </w:r>
      <w:r w:rsidRPr="00D35C1E">
        <w:rPr>
          <w:rFonts w:ascii="Times New Roman" w:hAnsi="Times New Roman"/>
          <w:sz w:val="24"/>
        </w:rPr>
        <w:t xml:space="preserve"> Table 3.</w:t>
      </w:r>
    </w:p>
    <w:p w:rsidR="00435F9B" w:rsidRPr="003178CA" w:rsidP="004003B5" w14:paraId="2DCAEDB3" w14:textId="3F574DA2">
      <w:r>
        <w:rPr>
          <w:lang w:val="en-GB"/>
        </w:rPr>
        <w:pict>
          <v:rect id="_x0000_i1031" style="width:0;height:1.5pt" o:hralign="center" o:hrstd="t" o:hr="t" fillcolor="#a0a0a0" stroked="f"/>
        </w:pict>
      </w:r>
    </w:p>
    <w:p w:rsidR="00C926CE" w:rsidP="000823D5" w14:paraId="7FB5438D" w14:textId="5093E037">
      <w:pPr>
        <w:ind w:left="720"/>
        <w:rPr>
          <w:rFonts w:ascii="Times New Roman" w:hAnsi="Times New Roman"/>
          <w:sz w:val="24"/>
        </w:rPr>
      </w:pPr>
      <w:r w:rsidRPr="6BEC65BA">
        <w:rPr>
          <w:rFonts w:ascii="Times New Roman" w:hAnsi="Times New Roman"/>
          <w:sz w:val="24"/>
          <w:u w:val="single"/>
        </w:rPr>
        <w:t>Estimated Total Annual Recordkeeping Cost</w:t>
      </w:r>
      <w:r w:rsidRPr="6BEC65BA">
        <w:rPr>
          <w:rFonts w:ascii="Times New Roman" w:hAnsi="Times New Roman"/>
          <w:sz w:val="24"/>
        </w:rPr>
        <w:t>:  The estimated total annual PRA cost is $8,</w:t>
      </w:r>
      <w:r w:rsidRPr="6BEC65BA" w:rsidR="001D28B7">
        <w:rPr>
          <w:rFonts w:ascii="Times New Roman" w:hAnsi="Times New Roman"/>
          <w:sz w:val="24"/>
        </w:rPr>
        <w:t>835</w:t>
      </w:r>
      <w:r w:rsidRPr="6BEC65BA">
        <w:rPr>
          <w:rFonts w:ascii="Times New Roman" w:hAnsi="Times New Roman"/>
          <w:sz w:val="24"/>
        </w:rPr>
        <w:t>,</w:t>
      </w:r>
      <w:r w:rsidRPr="6BEC65BA" w:rsidR="001D28B7">
        <w:rPr>
          <w:rFonts w:ascii="Times New Roman" w:hAnsi="Times New Roman"/>
          <w:sz w:val="24"/>
        </w:rPr>
        <w:t>840</w:t>
      </w:r>
      <w:r w:rsidRPr="6BEC65BA">
        <w:rPr>
          <w:rFonts w:ascii="Times New Roman" w:hAnsi="Times New Roman"/>
          <w:sz w:val="24"/>
        </w:rPr>
        <w:t>, as set out in table 4.</w:t>
      </w:r>
    </w:p>
    <w:p w:rsidR="00E4498C" w:rsidP="00E4498C" w14:paraId="7871C1F9" w14:textId="77777777">
      <w:pPr>
        <w:rPr>
          <w:rFonts w:ascii="Times New Roman" w:hAnsi="Times New Roman"/>
          <w:sz w:val="24"/>
        </w:rPr>
      </w:pPr>
    </w:p>
    <w:p w:rsidR="00174A54" w:rsidP="6BEC65BA" w14:paraId="67ED71FB" w14:textId="2B1D6F15">
      <w:pPr>
        <w:ind w:firstLine="720"/>
        <w:rPr>
          <w:rFonts w:ascii="Times New Roman" w:hAnsi="Times New Roman"/>
          <w:sz w:val="24"/>
        </w:rPr>
      </w:pPr>
      <w:r w:rsidRPr="6BEC65BA">
        <w:rPr>
          <w:rFonts w:ascii="Times New Roman" w:hAnsi="Times New Roman"/>
          <w:sz w:val="24"/>
        </w:rPr>
        <w:t>FinCEN burden estimates do not include</w:t>
      </w:r>
      <w:r w:rsidRPr="6BEC65BA">
        <w:rPr>
          <w:rFonts w:ascii="Times New Roman" w:hAnsi="Times New Roman"/>
          <w:sz w:val="24"/>
        </w:rPr>
        <w:t xml:space="preserve"> non-labor costs associated with this collection of information.</w:t>
      </w:r>
    </w:p>
    <w:p w:rsidR="009568C8" w:rsidP="6BEC65BA" w14:paraId="1B3A8A78" w14:textId="77777777">
      <w:pPr>
        <w:ind w:left="360"/>
        <w:rPr>
          <w:rFonts w:ascii="Times New Roman" w:hAnsi="Times New Roman"/>
          <w:sz w:val="24"/>
        </w:rPr>
      </w:pPr>
    </w:p>
    <w:p w:rsidR="00C060BA" w:rsidP="6BEC65BA" w14:paraId="2FDEE0BB" w14:textId="77777777">
      <w:pPr>
        <w:rPr>
          <w:rFonts w:ascii="Times New Roman" w:hAnsi="Times New Roman"/>
          <w:sz w:val="24"/>
        </w:rPr>
      </w:pPr>
      <w:r w:rsidRPr="6BEC65BA">
        <w:rPr>
          <w:rFonts w:ascii="Times New Roman" w:hAnsi="Times New Roman"/>
          <w:sz w:val="24"/>
        </w:rPr>
        <w:t xml:space="preserve">14.  </w:t>
      </w:r>
      <w:r w:rsidRPr="6BEC65BA">
        <w:rPr>
          <w:rFonts w:ascii="Times New Roman" w:hAnsi="Times New Roman"/>
          <w:sz w:val="24"/>
          <w:u w:val="single"/>
        </w:rPr>
        <w:t xml:space="preserve">Estimated </w:t>
      </w:r>
      <w:r w:rsidRPr="6BEC65BA" w:rsidR="00F20509">
        <w:rPr>
          <w:rFonts w:ascii="Times New Roman" w:hAnsi="Times New Roman"/>
          <w:sz w:val="24"/>
          <w:u w:val="single"/>
        </w:rPr>
        <w:t xml:space="preserve">annualized cost to the </w:t>
      </w:r>
      <w:r w:rsidRPr="6BEC65BA" w:rsidR="00F41812">
        <w:rPr>
          <w:rFonts w:ascii="Times New Roman" w:hAnsi="Times New Roman"/>
          <w:sz w:val="24"/>
          <w:u w:val="single"/>
        </w:rPr>
        <w:t xml:space="preserve">Federal </w:t>
      </w:r>
      <w:r w:rsidRPr="6BEC65BA" w:rsidR="00F20509">
        <w:rPr>
          <w:rFonts w:ascii="Times New Roman" w:hAnsi="Times New Roman"/>
          <w:sz w:val="24"/>
          <w:u w:val="single"/>
        </w:rPr>
        <w:t>government</w:t>
      </w:r>
      <w:r w:rsidRPr="6BEC65BA" w:rsidR="00C26A03">
        <w:rPr>
          <w:rFonts w:ascii="Times New Roman" w:hAnsi="Times New Roman"/>
          <w:sz w:val="24"/>
          <w:u w:val="single"/>
        </w:rPr>
        <w:t>.</w:t>
      </w:r>
      <w:r w:rsidRPr="6BEC65BA" w:rsidR="00F20509">
        <w:rPr>
          <w:rFonts w:ascii="Times New Roman" w:hAnsi="Times New Roman"/>
          <w:sz w:val="24"/>
        </w:rPr>
        <w:t xml:space="preserve">  </w:t>
      </w:r>
    </w:p>
    <w:p w:rsidR="00C060BA" w:rsidP="6BEC65BA" w14:paraId="1460362F" w14:textId="77777777">
      <w:pPr>
        <w:ind w:firstLine="360"/>
        <w:rPr>
          <w:rFonts w:ascii="Times New Roman" w:hAnsi="Times New Roman"/>
          <w:sz w:val="24"/>
        </w:rPr>
      </w:pPr>
    </w:p>
    <w:p w:rsidR="009568C8" w:rsidP="6BEC65BA" w14:paraId="3400DB55" w14:textId="371EADE8">
      <w:pPr>
        <w:ind w:firstLine="720"/>
        <w:rPr>
          <w:rFonts w:ascii="Times New Roman" w:hAnsi="Times New Roman"/>
          <w:sz w:val="24"/>
        </w:rPr>
      </w:pPr>
      <w:r w:rsidRPr="00303563">
        <w:rPr>
          <w:rFonts w:ascii="Times New Roman" w:hAnsi="Times New Roman"/>
          <w:sz w:val="24"/>
        </w:rPr>
        <w:t>There is no cost to the Federal government; this is a recordkeeping requirement only.</w:t>
      </w:r>
    </w:p>
    <w:p w:rsidR="00A24BFB" w:rsidP="6BEC65BA" w14:paraId="068BFD97" w14:textId="77777777">
      <w:pPr>
        <w:ind w:firstLine="720"/>
        <w:rPr>
          <w:rFonts w:ascii="Times New Roman" w:hAnsi="Times New Roman"/>
          <w:sz w:val="24"/>
        </w:rPr>
      </w:pPr>
    </w:p>
    <w:p w:rsidR="00C060BA" w:rsidP="6BEC65BA" w14:paraId="1FEB1084" w14:textId="77777777">
      <w:pPr>
        <w:rPr>
          <w:rFonts w:ascii="Times New Roman" w:hAnsi="Times New Roman"/>
          <w:sz w:val="24"/>
        </w:rPr>
      </w:pPr>
      <w:r w:rsidRPr="6BEC65BA">
        <w:rPr>
          <w:rFonts w:ascii="Times New Roman" w:hAnsi="Times New Roman"/>
          <w:sz w:val="24"/>
        </w:rPr>
        <w:t xml:space="preserve">15.  </w:t>
      </w:r>
      <w:r w:rsidRPr="6BEC65BA">
        <w:rPr>
          <w:rFonts w:ascii="Times New Roman" w:hAnsi="Times New Roman"/>
          <w:sz w:val="24"/>
          <w:u w:val="single"/>
        </w:rPr>
        <w:t xml:space="preserve">Reasons </w:t>
      </w:r>
      <w:r w:rsidRPr="6BEC65BA" w:rsidR="00F20509">
        <w:rPr>
          <w:rFonts w:ascii="Times New Roman" w:hAnsi="Times New Roman"/>
          <w:sz w:val="24"/>
          <w:u w:val="single"/>
        </w:rPr>
        <w:t>for change in burden</w:t>
      </w:r>
      <w:r w:rsidRPr="6BEC65BA" w:rsidR="00C26A03">
        <w:rPr>
          <w:rFonts w:ascii="Times New Roman" w:hAnsi="Times New Roman"/>
          <w:sz w:val="24"/>
          <w:u w:val="single"/>
        </w:rPr>
        <w:t>.</w:t>
      </w:r>
      <w:r w:rsidRPr="6BEC65BA" w:rsidR="00F20509">
        <w:rPr>
          <w:rFonts w:ascii="Times New Roman" w:hAnsi="Times New Roman"/>
          <w:sz w:val="24"/>
        </w:rPr>
        <w:t xml:space="preserve">  </w:t>
      </w:r>
    </w:p>
    <w:p w:rsidR="00C060BA" w:rsidP="6BEC65BA" w14:paraId="17E55A1E" w14:textId="77777777">
      <w:pPr>
        <w:ind w:firstLine="360"/>
        <w:rPr>
          <w:rFonts w:ascii="Times New Roman" w:hAnsi="Times New Roman"/>
          <w:sz w:val="24"/>
        </w:rPr>
      </w:pPr>
    </w:p>
    <w:p w:rsidR="003A6CD8" w:rsidRPr="008D1702" w:rsidP="6BEC65BA" w14:paraId="320F6134" w14:textId="08C25DF2">
      <w:pPr>
        <w:pStyle w:val="FootnoteText"/>
        <w:ind w:firstLine="720"/>
        <w:rPr>
          <w:rFonts w:ascii="Times New Roman" w:hAnsi="Times New Roman" w:cs="Times New Roman"/>
          <w:sz w:val="24"/>
          <w:szCs w:val="24"/>
        </w:rPr>
      </w:pPr>
      <w:r w:rsidRPr="008D1702">
        <w:rPr>
          <w:rFonts w:ascii="Times New Roman" w:hAnsi="Times New Roman" w:cs="Times New Roman"/>
          <w:sz w:val="24"/>
          <w:szCs w:val="24"/>
        </w:rPr>
        <w:t xml:space="preserve">The estimated total annual burden hours decreased </w:t>
      </w:r>
      <w:r w:rsidRPr="008D1702" w:rsidR="3323BA69">
        <w:rPr>
          <w:rFonts w:ascii="Times New Roman" w:hAnsi="Times New Roman" w:cs="Times New Roman"/>
          <w:sz w:val="24"/>
          <w:szCs w:val="24"/>
        </w:rPr>
        <w:t xml:space="preserve">by </w:t>
      </w:r>
      <w:r w:rsidR="00E1192F">
        <w:rPr>
          <w:rFonts w:ascii="Times New Roman" w:hAnsi="Times New Roman" w:cs="Times New Roman"/>
          <w:sz w:val="24"/>
          <w:szCs w:val="24"/>
        </w:rPr>
        <w:t>1</w:t>
      </w:r>
      <w:r w:rsidRPr="008D1702" w:rsidR="535B6AA7">
        <w:rPr>
          <w:rFonts w:ascii="Times New Roman" w:hAnsi="Times New Roman" w:cs="Times New Roman"/>
          <w:sz w:val="24"/>
          <w:szCs w:val="24"/>
        </w:rPr>
        <w:t>87,248</w:t>
      </w:r>
      <w:r w:rsidRPr="008D1702" w:rsidR="4F23D5CF">
        <w:rPr>
          <w:rFonts w:ascii="Times New Roman" w:hAnsi="Times New Roman" w:cs="Times New Roman"/>
          <w:sz w:val="24"/>
          <w:szCs w:val="24"/>
        </w:rPr>
        <w:t xml:space="preserve"> hours</w:t>
      </w:r>
      <w:r w:rsidRPr="008D1702" w:rsidR="37C2BF80">
        <w:rPr>
          <w:rFonts w:ascii="Times New Roman" w:hAnsi="Times New Roman" w:cs="Times New Roman"/>
          <w:sz w:val="24"/>
          <w:szCs w:val="24"/>
        </w:rPr>
        <w:t>,</w:t>
      </w:r>
      <w:r w:rsidRPr="008D1702" w:rsidR="3323BA69">
        <w:rPr>
          <w:rFonts w:ascii="Times New Roman" w:hAnsi="Times New Roman" w:cs="Times New Roman"/>
          <w:sz w:val="24"/>
          <w:szCs w:val="24"/>
        </w:rPr>
        <w:t xml:space="preserve"> </w:t>
      </w:r>
      <w:r w:rsidRPr="008D1702">
        <w:rPr>
          <w:rFonts w:ascii="Times New Roman" w:hAnsi="Times New Roman" w:cs="Times New Roman"/>
          <w:sz w:val="24"/>
          <w:szCs w:val="24"/>
        </w:rPr>
        <w:t xml:space="preserve">from </w:t>
      </w:r>
      <w:r w:rsidRPr="008D1702" w:rsidR="3F26F0A7">
        <w:rPr>
          <w:rFonts w:ascii="Times New Roman" w:hAnsi="Times New Roman" w:cs="Times New Roman"/>
          <w:sz w:val="24"/>
          <w:szCs w:val="24"/>
        </w:rPr>
        <w:t xml:space="preserve">260,880 </w:t>
      </w:r>
      <w:r w:rsidRPr="008D1702">
        <w:rPr>
          <w:rFonts w:ascii="Times New Roman" w:hAnsi="Times New Roman" w:cs="Times New Roman"/>
          <w:sz w:val="24"/>
          <w:szCs w:val="24"/>
        </w:rPr>
        <w:t>hours in 20</w:t>
      </w:r>
      <w:r w:rsidRPr="008D1702" w:rsidR="3F26F0A7">
        <w:rPr>
          <w:rFonts w:ascii="Times New Roman" w:hAnsi="Times New Roman" w:cs="Times New Roman"/>
          <w:sz w:val="24"/>
          <w:szCs w:val="24"/>
        </w:rPr>
        <w:t>22</w:t>
      </w:r>
      <w:r w:rsidRPr="008D1702">
        <w:rPr>
          <w:rFonts w:ascii="Times New Roman" w:hAnsi="Times New Roman" w:cs="Times New Roman"/>
          <w:sz w:val="24"/>
          <w:szCs w:val="24"/>
        </w:rPr>
        <w:t xml:space="preserve"> to </w:t>
      </w:r>
      <w:r w:rsidRPr="008D1702" w:rsidR="54F7A2BF">
        <w:rPr>
          <w:rFonts w:ascii="Times New Roman" w:hAnsi="Times New Roman" w:cs="Times New Roman"/>
          <w:sz w:val="24"/>
          <w:szCs w:val="24"/>
        </w:rPr>
        <w:t>73,632</w:t>
      </w:r>
      <w:r w:rsidRPr="008D1702">
        <w:rPr>
          <w:rFonts w:ascii="Times New Roman" w:hAnsi="Times New Roman" w:cs="Times New Roman"/>
          <w:sz w:val="24"/>
          <w:szCs w:val="24"/>
        </w:rPr>
        <w:t xml:space="preserve"> hours in 202</w:t>
      </w:r>
      <w:r w:rsidRPr="008D1702" w:rsidR="3F26F0A7">
        <w:rPr>
          <w:rFonts w:ascii="Times New Roman" w:hAnsi="Times New Roman" w:cs="Times New Roman"/>
          <w:sz w:val="24"/>
          <w:szCs w:val="24"/>
        </w:rPr>
        <w:t>5</w:t>
      </w:r>
      <w:r w:rsidRPr="008D1702">
        <w:rPr>
          <w:rFonts w:ascii="Times New Roman" w:hAnsi="Times New Roman" w:cs="Times New Roman"/>
          <w:sz w:val="24"/>
          <w:szCs w:val="24"/>
        </w:rPr>
        <w:t>.</w:t>
      </w:r>
      <w:r w:rsidRPr="008D1702" w:rsidR="00FA6849">
        <w:rPr>
          <w:rFonts w:ascii="Times New Roman" w:hAnsi="Times New Roman" w:cs="Times New Roman"/>
          <w:sz w:val="24"/>
          <w:szCs w:val="24"/>
        </w:rPr>
        <w:t xml:space="preserve"> </w:t>
      </w:r>
      <w:r w:rsidRPr="008D1702">
        <w:rPr>
          <w:rFonts w:ascii="Times New Roman" w:hAnsi="Times New Roman" w:cs="Times New Roman"/>
          <w:sz w:val="24"/>
          <w:szCs w:val="24"/>
        </w:rPr>
        <w:t xml:space="preserve"> </w:t>
      </w:r>
      <w:r w:rsidRPr="008D1702" w:rsidR="6A1D9CCD">
        <w:rPr>
          <w:rFonts w:ascii="Times New Roman" w:hAnsi="Times New Roman" w:cs="Times New Roman"/>
          <w:sz w:val="24"/>
          <w:szCs w:val="24"/>
        </w:rPr>
        <w:t xml:space="preserve">As a result, </w:t>
      </w:r>
      <w:r w:rsidRPr="008D1702" w:rsidR="044D6ACA">
        <w:rPr>
          <w:rFonts w:ascii="Times New Roman" w:hAnsi="Times New Roman" w:cs="Times New Roman"/>
          <w:sz w:val="24"/>
          <w:szCs w:val="24"/>
        </w:rPr>
        <w:t>t</w:t>
      </w:r>
      <w:r w:rsidRPr="008D1702" w:rsidR="3ABEAB0A">
        <w:rPr>
          <w:rFonts w:ascii="Times New Roman" w:hAnsi="Times New Roman" w:cs="Times New Roman"/>
          <w:sz w:val="24"/>
          <w:szCs w:val="24"/>
        </w:rPr>
        <w:t xml:space="preserve">he corresponding </w:t>
      </w:r>
      <w:r w:rsidRPr="008D1702" w:rsidR="4F23D5CF">
        <w:rPr>
          <w:rFonts w:ascii="Times New Roman" w:hAnsi="Times New Roman" w:cs="Times New Roman"/>
          <w:sz w:val="24"/>
          <w:szCs w:val="24"/>
        </w:rPr>
        <w:t>estimate</w:t>
      </w:r>
      <w:r w:rsidRPr="008D1702" w:rsidR="6E3BE691">
        <w:rPr>
          <w:rFonts w:ascii="Times New Roman" w:hAnsi="Times New Roman" w:cs="Times New Roman"/>
          <w:sz w:val="24"/>
          <w:szCs w:val="24"/>
        </w:rPr>
        <w:t>d</w:t>
      </w:r>
      <w:r w:rsidRPr="008D1702" w:rsidR="4F23D5CF">
        <w:rPr>
          <w:rFonts w:ascii="Times New Roman" w:hAnsi="Times New Roman" w:cs="Times New Roman"/>
          <w:sz w:val="24"/>
          <w:szCs w:val="24"/>
        </w:rPr>
        <w:t xml:space="preserve"> </w:t>
      </w:r>
      <w:r w:rsidRPr="008D1702" w:rsidR="06843629">
        <w:rPr>
          <w:rFonts w:ascii="Times New Roman" w:hAnsi="Times New Roman" w:cs="Times New Roman"/>
          <w:sz w:val="24"/>
          <w:szCs w:val="24"/>
        </w:rPr>
        <w:t xml:space="preserve">total cost decreased by </w:t>
      </w:r>
      <w:r w:rsidRPr="008D1702" w:rsidR="01C3B16B">
        <w:rPr>
          <w:rFonts w:ascii="Times New Roman" w:hAnsi="Times New Roman" w:cs="Times New Roman"/>
          <w:sz w:val="24"/>
          <w:szCs w:val="24"/>
        </w:rPr>
        <w:t>$16,208,640</w:t>
      </w:r>
      <w:r w:rsidRPr="008D1702" w:rsidR="619726C7">
        <w:rPr>
          <w:rFonts w:ascii="Times New Roman" w:hAnsi="Times New Roman" w:cs="Times New Roman"/>
          <w:sz w:val="24"/>
          <w:szCs w:val="24"/>
        </w:rPr>
        <w:t>,</w:t>
      </w:r>
      <w:r w:rsidRPr="008D1702" w:rsidR="06843629">
        <w:rPr>
          <w:rFonts w:ascii="Times New Roman" w:hAnsi="Times New Roman" w:cs="Times New Roman"/>
          <w:sz w:val="24"/>
          <w:szCs w:val="24"/>
        </w:rPr>
        <w:t xml:space="preserve"> from </w:t>
      </w:r>
      <w:r w:rsidRPr="008D1702" w:rsidR="5E2F4E47">
        <w:rPr>
          <w:rFonts w:ascii="Times New Roman" w:hAnsi="Times New Roman" w:cs="Times New Roman"/>
          <w:sz w:val="24"/>
          <w:szCs w:val="24"/>
        </w:rPr>
        <w:t>$25,044,480</w:t>
      </w:r>
      <w:r w:rsidRPr="008D1702" w:rsidR="06843629">
        <w:rPr>
          <w:rFonts w:ascii="Times New Roman" w:hAnsi="Times New Roman" w:cs="Times New Roman"/>
          <w:sz w:val="24"/>
          <w:szCs w:val="24"/>
        </w:rPr>
        <w:t xml:space="preserve"> to </w:t>
      </w:r>
      <w:r w:rsidRPr="008D1702" w:rsidR="01B5AF0E">
        <w:rPr>
          <w:rFonts w:ascii="Times New Roman" w:hAnsi="Times New Roman" w:cs="Times New Roman"/>
          <w:sz w:val="24"/>
          <w:szCs w:val="24"/>
        </w:rPr>
        <w:t>$8,835,840</w:t>
      </w:r>
      <w:r w:rsidRPr="008D1702" w:rsidR="06843629">
        <w:rPr>
          <w:rFonts w:ascii="Times New Roman" w:hAnsi="Times New Roman" w:cs="Times New Roman"/>
          <w:sz w:val="24"/>
          <w:szCs w:val="24"/>
        </w:rPr>
        <w:t xml:space="preserve">. </w:t>
      </w:r>
      <w:r w:rsidR="00496F6F">
        <w:rPr>
          <w:rFonts w:ascii="Times New Roman" w:hAnsi="Times New Roman" w:cs="Times New Roman"/>
          <w:sz w:val="24"/>
          <w:szCs w:val="24"/>
        </w:rPr>
        <w:t xml:space="preserve"> </w:t>
      </w:r>
      <w:r w:rsidRPr="008D1702" w:rsidR="06843629">
        <w:rPr>
          <w:rFonts w:ascii="Times New Roman" w:hAnsi="Times New Roman" w:cs="Times New Roman"/>
          <w:sz w:val="24"/>
          <w:szCs w:val="24"/>
        </w:rPr>
        <w:t xml:space="preserve">These changes reflect </w:t>
      </w:r>
      <w:r w:rsidRPr="008D1702" w:rsidR="494E4750">
        <w:rPr>
          <w:rFonts w:ascii="Times New Roman" w:hAnsi="Times New Roman" w:cs="Times New Roman"/>
          <w:sz w:val="24"/>
          <w:szCs w:val="24"/>
        </w:rPr>
        <w:t xml:space="preserve">adjustments </w:t>
      </w:r>
      <w:r w:rsidRPr="008D1702" w:rsidR="2F85C459">
        <w:rPr>
          <w:rFonts w:ascii="Times New Roman" w:hAnsi="Times New Roman" w:cs="Times New Roman"/>
          <w:sz w:val="24"/>
          <w:szCs w:val="24"/>
        </w:rPr>
        <w:t xml:space="preserve">in FinCEN’s methodological approach to </w:t>
      </w:r>
      <w:r w:rsidRPr="008D1702" w:rsidR="0FD78E64">
        <w:rPr>
          <w:rFonts w:ascii="Times New Roman" w:hAnsi="Times New Roman" w:cs="Times New Roman"/>
          <w:sz w:val="24"/>
          <w:szCs w:val="24"/>
        </w:rPr>
        <w:t>its estimates which include: (</w:t>
      </w:r>
      <w:r w:rsidR="00C745AE">
        <w:rPr>
          <w:rFonts w:ascii="Times New Roman" w:hAnsi="Times New Roman" w:cs="Times New Roman"/>
          <w:sz w:val="24"/>
          <w:szCs w:val="24"/>
        </w:rPr>
        <w:t>i</w:t>
      </w:r>
      <w:r w:rsidRPr="008D1702" w:rsidR="0FD78E64">
        <w:rPr>
          <w:rFonts w:ascii="Times New Roman" w:hAnsi="Times New Roman" w:cs="Times New Roman"/>
          <w:sz w:val="24"/>
          <w:szCs w:val="24"/>
        </w:rPr>
        <w:t>) a reduction in the number of expected respondents</w:t>
      </w:r>
      <w:r w:rsidR="00C745AE">
        <w:rPr>
          <w:rFonts w:ascii="Times New Roman" w:hAnsi="Times New Roman" w:cs="Times New Roman"/>
          <w:sz w:val="24"/>
          <w:szCs w:val="24"/>
        </w:rPr>
        <w:t>;</w:t>
      </w:r>
      <w:r w:rsidRPr="008D1702" w:rsidR="0FD78E64">
        <w:rPr>
          <w:rFonts w:ascii="Times New Roman" w:hAnsi="Times New Roman" w:cs="Times New Roman"/>
          <w:sz w:val="24"/>
          <w:szCs w:val="24"/>
        </w:rPr>
        <w:t xml:space="preserve"> (</w:t>
      </w:r>
      <w:r w:rsidR="00C745AE">
        <w:rPr>
          <w:rFonts w:ascii="Times New Roman" w:hAnsi="Times New Roman" w:cs="Times New Roman"/>
          <w:sz w:val="24"/>
          <w:szCs w:val="24"/>
        </w:rPr>
        <w:t>ii</w:t>
      </w:r>
      <w:r w:rsidRPr="008D1702" w:rsidR="0FD78E64">
        <w:rPr>
          <w:rFonts w:ascii="Times New Roman" w:hAnsi="Times New Roman" w:cs="Times New Roman"/>
          <w:sz w:val="24"/>
          <w:szCs w:val="24"/>
        </w:rPr>
        <w:t>) a</w:t>
      </w:r>
      <w:r w:rsidRPr="008D1702" w:rsidR="3C514D18">
        <w:rPr>
          <w:rFonts w:ascii="Times New Roman" w:hAnsi="Times New Roman" w:cs="Times New Roman"/>
          <w:sz w:val="24"/>
          <w:szCs w:val="24"/>
        </w:rPr>
        <w:t>n increase in the number of expected responses per respondent</w:t>
      </w:r>
      <w:r w:rsidR="00C745AE">
        <w:rPr>
          <w:rFonts w:ascii="Times New Roman" w:hAnsi="Times New Roman" w:cs="Times New Roman"/>
          <w:sz w:val="24"/>
          <w:szCs w:val="24"/>
        </w:rPr>
        <w:t>;</w:t>
      </w:r>
      <w:r w:rsidRPr="008D1702" w:rsidR="3C514D18">
        <w:rPr>
          <w:rFonts w:ascii="Times New Roman" w:hAnsi="Times New Roman" w:cs="Times New Roman"/>
          <w:sz w:val="24"/>
          <w:szCs w:val="24"/>
        </w:rPr>
        <w:t xml:space="preserve"> and (</w:t>
      </w:r>
      <w:r w:rsidR="00C745AE">
        <w:rPr>
          <w:rFonts w:ascii="Times New Roman" w:hAnsi="Times New Roman" w:cs="Times New Roman"/>
          <w:sz w:val="24"/>
          <w:szCs w:val="24"/>
        </w:rPr>
        <w:t>iii</w:t>
      </w:r>
      <w:r w:rsidRPr="008D1702" w:rsidR="3C514D18">
        <w:rPr>
          <w:rFonts w:ascii="Times New Roman" w:hAnsi="Times New Roman" w:cs="Times New Roman"/>
          <w:sz w:val="24"/>
          <w:szCs w:val="24"/>
        </w:rPr>
        <w:t xml:space="preserve">) </w:t>
      </w:r>
      <w:r w:rsidRPr="008D1702" w:rsidR="795E2B4C">
        <w:rPr>
          <w:rFonts w:ascii="Times New Roman" w:hAnsi="Times New Roman" w:cs="Times New Roman"/>
          <w:sz w:val="24"/>
          <w:szCs w:val="24"/>
        </w:rPr>
        <w:t>a decrease in the assigned incremental burden per response.</w:t>
      </w:r>
      <w:r w:rsidRPr="008D1702" w:rsidR="43BD84CF">
        <w:rPr>
          <w:rFonts w:ascii="Times New Roman" w:hAnsi="Times New Roman" w:cs="Times New Roman"/>
          <w:sz w:val="24"/>
          <w:szCs w:val="24"/>
        </w:rPr>
        <w:t xml:space="preserve"> </w:t>
      </w:r>
      <w:r w:rsidR="00496F6F">
        <w:rPr>
          <w:rFonts w:ascii="Times New Roman" w:hAnsi="Times New Roman" w:cs="Times New Roman"/>
          <w:sz w:val="24"/>
          <w:szCs w:val="24"/>
        </w:rPr>
        <w:t xml:space="preserve"> </w:t>
      </w:r>
      <w:r w:rsidRPr="008D1702" w:rsidR="43BD84CF">
        <w:rPr>
          <w:rFonts w:ascii="Times New Roman" w:hAnsi="Times New Roman" w:cs="Times New Roman"/>
          <w:sz w:val="24"/>
          <w:szCs w:val="24"/>
        </w:rPr>
        <w:t>This decrease is due to FinCEN incorporating additional data into the 2025 renewal.</w:t>
      </w:r>
    </w:p>
    <w:p w:rsidR="00F12CB0" w:rsidP="6BEC65BA" w14:paraId="41F31BE8" w14:textId="77777777">
      <w:pPr>
        <w:pStyle w:val="FootnoteText"/>
        <w:ind w:firstLine="720"/>
        <w:rPr>
          <w:rFonts w:ascii="Times New Roman" w:hAnsi="Times New Roman" w:cs="Times New Roman"/>
          <w:sz w:val="24"/>
          <w:szCs w:val="24"/>
        </w:rPr>
      </w:pPr>
    </w:p>
    <w:p w:rsidR="008B4B0A" w:rsidRPr="008D1702" w:rsidP="6BEC65BA" w14:paraId="269F0B38" w14:textId="0D973244">
      <w:pPr>
        <w:pStyle w:val="FootnoteText"/>
        <w:ind w:firstLine="720"/>
        <w:rPr>
          <w:rFonts w:ascii="Times New Roman" w:hAnsi="Times New Roman" w:cs="Times New Roman"/>
          <w:sz w:val="24"/>
          <w:szCs w:val="24"/>
        </w:rPr>
      </w:pPr>
      <w:r w:rsidRPr="008D1702">
        <w:rPr>
          <w:rFonts w:ascii="Times New Roman" w:hAnsi="Times New Roman" w:cs="Times New Roman"/>
          <w:sz w:val="24"/>
          <w:szCs w:val="24"/>
        </w:rPr>
        <w:t xml:space="preserve">When FinCEN renewed </w:t>
      </w:r>
      <w:r w:rsidR="00496F6F">
        <w:rPr>
          <w:rFonts w:ascii="Times New Roman" w:hAnsi="Times New Roman" w:cs="Times New Roman"/>
          <w:sz w:val="24"/>
          <w:szCs w:val="24"/>
        </w:rPr>
        <w:t>this information collection request, under the Office of Management and Budget (</w:t>
      </w:r>
      <w:r w:rsidRPr="008D1702">
        <w:rPr>
          <w:rFonts w:ascii="Times New Roman" w:hAnsi="Times New Roman" w:cs="Times New Roman"/>
          <w:sz w:val="24"/>
          <w:szCs w:val="24"/>
        </w:rPr>
        <w:t>OMB</w:t>
      </w:r>
      <w:r w:rsidR="00496F6F">
        <w:rPr>
          <w:rFonts w:ascii="Times New Roman" w:hAnsi="Times New Roman" w:cs="Times New Roman"/>
          <w:sz w:val="24"/>
          <w:szCs w:val="24"/>
        </w:rPr>
        <w:t>)</w:t>
      </w:r>
      <w:r w:rsidRPr="008D1702">
        <w:rPr>
          <w:rFonts w:ascii="Times New Roman" w:hAnsi="Times New Roman" w:cs="Times New Roman"/>
          <w:sz w:val="24"/>
          <w:szCs w:val="24"/>
        </w:rPr>
        <w:t xml:space="preserve"> control number 1506-0043</w:t>
      </w:r>
      <w:r w:rsidR="00496F6F">
        <w:rPr>
          <w:rFonts w:ascii="Times New Roman" w:hAnsi="Times New Roman" w:cs="Times New Roman"/>
          <w:sz w:val="24"/>
          <w:szCs w:val="24"/>
        </w:rPr>
        <w:t>,</w:t>
      </w:r>
      <w:r w:rsidRPr="008D1702">
        <w:rPr>
          <w:rFonts w:ascii="Times New Roman" w:hAnsi="Times New Roman" w:cs="Times New Roman"/>
          <w:sz w:val="24"/>
          <w:szCs w:val="24"/>
        </w:rPr>
        <w:t xml:space="preserve"> in 2022, FinCEN estimated th</w:t>
      </w:r>
      <w:r w:rsidRPr="008D1702" w:rsidR="4B6781EE">
        <w:rPr>
          <w:rFonts w:ascii="Times New Roman" w:hAnsi="Times New Roman" w:cs="Times New Roman"/>
          <w:sz w:val="24"/>
          <w:szCs w:val="24"/>
        </w:rPr>
        <w:t xml:space="preserve">at </w:t>
      </w:r>
      <w:r w:rsidRPr="008D1702">
        <w:rPr>
          <w:rFonts w:ascii="Times New Roman" w:hAnsi="Times New Roman" w:cs="Times New Roman"/>
          <w:sz w:val="24"/>
          <w:szCs w:val="24"/>
        </w:rPr>
        <w:t>8,696 covered financial institutions</w:t>
      </w:r>
      <w:r w:rsidRPr="008D1702" w:rsidR="4B6781EE">
        <w:rPr>
          <w:rFonts w:ascii="Times New Roman" w:hAnsi="Times New Roman" w:cs="Times New Roman"/>
          <w:sz w:val="24"/>
          <w:szCs w:val="24"/>
        </w:rPr>
        <w:t xml:space="preserve"> would obtain and maintain 17,392 certification and recertification forms from foreign banks,</w:t>
      </w:r>
      <w:r>
        <w:rPr>
          <w:rStyle w:val="FootnoteReference"/>
          <w:rFonts w:ascii="Times New Roman" w:hAnsi="Times New Roman" w:cs="Times New Roman"/>
          <w:sz w:val="24"/>
          <w:szCs w:val="24"/>
          <w:vertAlign w:val="superscript"/>
        </w:rPr>
        <w:footnoteReference w:id="27"/>
      </w:r>
      <w:r w:rsidRPr="008D1702" w:rsidR="4B6781EE">
        <w:rPr>
          <w:rFonts w:ascii="Times New Roman" w:hAnsi="Times New Roman" w:cs="Times New Roman"/>
          <w:sz w:val="24"/>
          <w:szCs w:val="24"/>
          <w:vertAlign w:val="superscript"/>
        </w:rPr>
        <w:t xml:space="preserve"> </w:t>
      </w:r>
      <w:r w:rsidRPr="008D1702" w:rsidR="4B6781EE">
        <w:rPr>
          <w:rFonts w:ascii="Times New Roman" w:hAnsi="Times New Roman" w:cs="Times New Roman"/>
          <w:sz w:val="24"/>
          <w:szCs w:val="24"/>
        </w:rPr>
        <w:t xml:space="preserve">and estimated </w:t>
      </w:r>
      <w:r w:rsidRPr="008D1702" w:rsidR="53008154">
        <w:rPr>
          <w:rFonts w:ascii="Times New Roman" w:hAnsi="Times New Roman" w:cs="Times New Roman"/>
          <w:sz w:val="24"/>
          <w:szCs w:val="24"/>
        </w:rPr>
        <w:t xml:space="preserve">the </w:t>
      </w:r>
      <w:r w:rsidRPr="008D1702" w:rsidR="4B6781EE">
        <w:rPr>
          <w:rFonts w:ascii="Times New Roman" w:hAnsi="Times New Roman" w:cs="Times New Roman"/>
          <w:sz w:val="24"/>
          <w:szCs w:val="24"/>
        </w:rPr>
        <w:t>burden per certification</w:t>
      </w:r>
      <w:r w:rsidRPr="008D1702" w:rsidR="53008154">
        <w:rPr>
          <w:rFonts w:ascii="Times New Roman" w:hAnsi="Times New Roman" w:cs="Times New Roman"/>
          <w:sz w:val="24"/>
          <w:szCs w:val="24"/>
        </w:rPr>
        <w:t>/recertification</w:t>
      </w:r>
      <w:r w:rsidRPr="008D1702" w:rsidR="4B6781EE">
        <w:rPr>
          <w:rFonts w:ascii="Times New Roman" w:hAnsi="Times New Roman" w:cs="Times New Roman"/>
          <w:sz w:val="24"/>
          <w:szCs w:val="24"/>
        </w:rPr>
        <w:t xml:space="preserve"> form would be </w:t>
      </w:r>
      <w:r w:rsidRPr="008D1702" w:rsidR="53008154">
        <w:rPr>
          <w:rFonts w:ascii="Times New Roman" w:hAnsi="Times New Roman" w:cs="Times New Roman"/>
          <w:sz w:val="24"/>
          <w:szCs w:val="24"/>
        </w:rPr>
        <w:t xml:space="preserve">15 </w:t>
      </w:r>
      <w:r w:rsidRPr="008D1702" w:rsidR="4B6781EE">
        <w:rPr>
          <w:rFonts w:ascii="Times New Roman" w:hAnsi="Times New Roman" w:cs="Times New Roman"/>
          <w:sz w:val="24"/>
          <w:szCs w:val="24"/>
        </w:rPr>
        <w:t>hours</w:t>
      </w:r>
      <w:r w:rsidRPr="008D1702" w:rsidR="6F7315A5">
        <w:rPr>
          <w:rFonts w:ascii="Times New Roman" w:hAnsi="Times New Roman" w:cs="Times New Roman"/>
          <w:sz w:val="24"/>
          <w:szCs w:val="24"/>
        </w:rPr>
        <w:t xml:space="preserve"> </w:t>
      </w:r>
      <w:r w:rsidRPr="008D1702" w:rsidR="005A095E">
        <w:rPr>
          <w:rFonts w:ascii="Times New Roman" w:hAnsi="Times New Roman" w:cs="Times New Roman"/>
          <w:sz w:val="24"/>
          <w:szCs w:val="24"/>
        </w:rPr>
        <w:t>per form</w:t>
      </w:r>
      <w:r w:rsidRPr="008D1702">
        <w:rPr>
          <w:rFonts w:ascii="Times New Roman" w:hAnsi="Times New Roman" w:cs="Times New Roman"/>
          <w:sz w:val="24"/>
          <w:szCs w:val="24"/>
        </w:rPr>
        <w:t xml:space="preserve">. </w:t>
      </w:r>
      <w:r w:rsidRPr="008D1702" w:rsidR="00FA6849">
        <w:rPr>
          <w:rFonts w:ascii="Times New Roman" w:hAnsi="Times New Roman" w:cs="Times New Roman"/>
          <w:sz w:val="24"/>
          <w:szCs w:val="24"/>
        </w:rPr>
        <w:t xml:space="preserve"> </w:t>
      </w:r>
      <w:r w:rsidRPr="008D1702" w:rsidR="43BD84CF">
        <w:rPr>
          <w:rFonts w:ascii="Times New Roman" w:hAnsi="Times New Roman" w:cs="Times New Roman"/>
          <w:sz w:val="24"/>
          <w:szCs w:val="24"/>
        </w:rPr>
        <w:t xml:space="preserve">Due to the lack </w:t>
      </w:r>
      <w:r w:rsidRPr="008D1702" w:rsidR="1C3F769F">
        <w:rPr>
          <w:rFonts w:ascii="Times New Roman" w:hAnsi="Times New Roman" w:cs="Times New Roman"/>
          <w:sz w:val="24"/>
          <w:szCs w:val="24"/>
        </w:rPr>
        <w:t>of</w:t>
      </w:r>
      <w:r w:rsidRPr="008D1702" w:rsidR="43BD84CF">
        <w:rPr>
          <w:rFonts w:ascii="Times New Roman" w:hAnsi="Times New Roman" w:cs="Times New Roman"/>
          <w:sz w:val="24"/>
          <w:szCs w:val="24"/>
        </w:rPr>
        <w:t xml:space="preserve"> data on the likely number of foreign correspondent accounts in 2022, FinCEN applied a conservative estimate of the hourly burden for certification and recertification in order to avoid underestimating the total burden. </w:t>
      </w:r>
      <w:r w:rsidR="00496F6F">
        <w:rPr>
          <w:rFonts w:ascii="Times New Roman" w:hAnsi="Times New Roman" w:cs="Times New Roman"/>
          <w:sz w:val="24"/>
          <w:szCs w:val="24"/>
        </w:rPr>
        <w:t xml:space="preserve"> </w:t>
      </w:r>
      <w:r w:rsidRPr="008D1702" w:rsidR="43BD84CF">
        <w:rPr>
          <w:rFonts w:ascii="Times New Roman" w:hAnsi="Times New Roman" w:cs="Times New Roman"/>
          <w:sz w:val="24"/>
          <w:szCs w:val="24"/>
        </w:rPr>
        <w:t xml:space="preserve">However, FinCEN has updated its estimation methodology and believes the updated estimate (including the hourly burden for certification and recertification) to be a more accurate reflection of the </w:t>
      </w:r>
      <w:r w:rsidR="00EB351C">
        <w:rPr>
          <w:rFonts w:ascii="Times New Roman" w:hAnsi="Times New Roman" w:cs="Times New Roman"/>
          <w:sz w:val="24"/>
          <w:szCs w:val="24"/>
        </w:rPr>
        <w:t>cost</w:t>
      </w:r>
      <w:r w:rsidR="006A2F5D">
        <w:rPr>
          <w:rFonts w:ascii="Times New Roman" w:hAnsi="Times New Roman" w:cs="Times New Roman"/>
          <w:sz w:val="24"/>
          <w:szCs w:val="24"/>
        </w:rPr>
        <w:t xml:space="preserve"> profile associated </w:t>
      </w:r>
      <w:r w:rsidR="00EB351C">
        <w:rPr>
          <w:rFonts w:ascii="Times New Roman" w:hAnsi="Times New Roman" w:cs="Times New Roman"/>
          <w:sz w:val="24"/>
          <w:szCs w:val="24"/>
        </w:rPr>
        <w:t>with</w:t>
      </w:r>
      <w:r w:rsidRPr="008D1702" w:rsidR="43BD84CF">
        <w:rPr>
          <w:rFonts w:ascii="Times New Roman" w:hAnsi="Times New Roman" w:cs="Times New Roman"/>
          <w:sz w:val="24"/>
          <w:szCs w:val="24"/>
        </w:rPr>
        <w:t xml:space="preserve"> this requirement. </w:t>
      </w:r>
      <w:r w:rsidR="00496F6F">
        <w:rPr>
          <w:rFonts w:ascii="Times New Roman" w:hAnsi="Times New Roman" w:cs="Times New Roman"/>
          <w:sz w:val="24"/>
          <w:szCs w:val="24"/>
        </w:rPr>
        <w:t xml:space="preserve"> </w:t>
      </w:r>
      <w:r w:rsidRPr="008D1702" w:rsidR="43BD84CF">
        <w:rPr>
          <w:rFonts w:ascii="Times New Roman" w:hAnsi="Times New Roman" w:cs="Times New Roman"/>
          <w:sz w:val="24"/>
          <w:szCs w:val="24"/>
        </w:rPr>
        <w:t xml:space="preserve">Most U.S. banks do not maintain foreign correspondent </w:t>
      </w:r>
      <w:r w:rsidR="00D50DC6">
        <w:rPr>
          <w:rFonts w:ascii="Times New Roman" w:hAnsi="Times New Roman" w:cs="Times New Roman"/>
          <w:sz w:val="24"/>
          <w:szCs w:val="24"/>
        </w:rPr>
        <w:t>accounts</w:t>
      </w:r>
      <w:r w:rsidRPr="008D1702" w:rsidR="43BD84CF">
        <w:rPr>
          <w:rFonts w:ascii="Times New Roman" w:hAnsi="Times New Roman" w:cs="Times New Roman"/>
          <w:sz w:val="24"/>
          <w:szCs w:val="24"/>
        </w:rPr>
        <w:t>, and those that do</w:t>
      </w:r>
      <w:r w:rsidRPr="008D1702" w:rsidR="7087D290">
        <w:rPr>
          <w:rFonts w:ascii="Times New Roman" w:hAnsi="Times New Roman" w:cs="Times New Roman"/>
          <w:sz w:val="24"/>
          <w:szCs w:val="24"/>
        </w:rPr>
        <w:t>,</w:t>
      </w:r>
      <w:r w:rsidRPr="008D1702" w:rsidR="43BD84CF">
        <w:rPr>
          <w:rFonts w:ascii="Times New Roman" w:hAnsi="Times New Roman" w:cs="Times New Roman"/>
          <w:sz w:val="24"/>
          <w:szCs w:val="24"/>
        </w:rPr>
        <w:t xml:space="preserve"> generally maintain more than one</w:t>
      </w:r>
      <w:r w:rsidRPr="008D1702" w:rsidR="4142D1FA">
        <w:rPr>
          <w:rFonts w:ascii="Times New Roman" w:hAnsi="Times New Roman" w:cs="Times New Roman"/>
          <w:sz w:val="24"/>
          <w:szCs w:val="24"/>
        </w:rPr>
        <w:t xml:space="preserve"> such </w:t>
      </w:r>
      <w:r w:rsidR="00D50DC6">
        <w:rPr>
          <w:rFonts w:ascii="Times New Roman" w:hAnsi="Times New Roman" w:cs="Times New Roman"/>
          <w:sz w:val="24"/>
          <w:szCs w:val="24"/>
        </w:rPr>
        <w:t>account</w:t>
      </w:r>
      <w:r w:rsidRPr="008D1702" w:rsidR="43BD84CF">
        <w:rPr>
          <w:rFonts w:ascii="Times New Roman" w:hAnsi="Times New Roman" w:cs="Times New Roman"/>
          <w:sz w:val="24"/>
          <w:szCs w:val="24"/>
        </w:rPr>
        <w:t xml:space="preserve">. </w:t>
      </w:r>
      <w:r w:rsidR="00496F6F">
        <w:rPr>
          <w:rFonts w:ascii="Times New Roman" w:hAnsi="Times New Roman" w:cs="Times New Roman"/>
          <w:sz w:val="24"/>
          <w:szCs w:val="24"/>
        </w:rPr>
        <w:t xml:space="preserve"> </w:t>
      </w:r>
      <w:r w:rsidRPr="008D1702" w:rsidR="67FF59C4">
        <w:rPr>
          <w:rFonts w:ascii="Times New Roman" w:hAnsi="Times New Roman" w:cs="Times New Roman"/>
          <w:sz w:val="24"/>
          <w:szCs w:val="24"/>
        </w:rPr>
        <w:t xml:space="preserve">In 2025, </w:t>
      </w:r>
      <w:r w:rsidRPr="6BEC65BA" w:rsidR="67FF59C4">
        <w:rPr>
          <w:rFonts w:ascii="Times New Roman" w:hAnsi="Times New Roman" w:cs="Times New Roman"/>
          <w:sz w:val="24"/>
          <w:szCs w:val="24"/>
        </w:rPr>
        <w:t xml:space="preserve">FinCEN </w:t>
      </w:r>
      <w:r w:rsidRPr="6BEC65BA" w:rsidR="4D5C456E">
        <w:rPr>
          <w:rFonts w:ascii="Times New Roman" w:hAnsi="Times New Roman" w:cs="Times New Roman"/>
          <w:sz w:val="24"/>
          <w:szCs w:val="24"/>
        </w:rPr>
        <w:t xml:space="preserve">updated </w:t>
      </w:r>
      <w:r w:rsidRPr="6BEC65BA" w:rsidR="67FF59C4">
        <w:rPr>
          <w:rFonts w:ascii="Times New Roman" w:hAnsi="Times New Roman" w:cs="Times New Roman"/>
          <w:sz w:val="24"/>
          <w:szCs w:val="24"/>
        </w:rPr>
        <w:t xml:space="preserve">its </w:t>
      </w:r>
      <w:r w:rsidR="00D50DC6">
        <w:rPr>
          <w:rFonts w:ascii="Times New Roman" w:hAnsi="Times New Roman" w:cs="Times New Roman"/>
          <w:sz w:val="24"/>
          <w:szCs w:val="24"/>
        </w:rPr>
        <w:t>estimation methodology</w:t>
      </w:r>
      <w:r w:rsidRPr="6BEC65BA" w:rsidR="025B9C4F">
        <w:rPr>
          <w:rFonts w:ascii="Times New Roman" w:hAnsi="Times New Roman" w:cs="Times New Roman"/>
          <w:sz w:val="24"/>
          <w:szCs w:val="24"/>
        </w:rPr>
        <w:t>, estimating that both</w:t>
      </w:r>
      <w:r w:rsidRPr="6BEC65BA" w:rsidR="67FF59C4">
        <w:rPr>
          <w:rFonts w:ascii="Times New Roman" w:hAnsi="Times New Roman" w:cs="Times New Roman"/>
          <w:sz w:val="24"/>
          <w:szCs w:val="24"/>
        </w:rPr>
        <w:t xml:space="preserve"> the time </w:t>
      </w:r>
      <w:r w:rsidRPr="6BEC65BA" w:rsidR="7734F10E">
        <w:rPr>
          <w:rFonts w:ascii="Times New Roman" w:hAnsi="Times New Roman" w:cs="Times New Roman"/>
          <w:sz w:val="24"/>
          <w:szCs w:val="24"/>
        </w:rPr>
        <w:t xml:space="preserve">required </w:t>
      </w:r>
      <w:r w:rsidRPr="6BEC65BA" w:rsidR="67FF59C4">
        <w:rPr>
          <w:rFonts w:ascii="Times New Roman" w:hAnsi="Times New Roman" w:cs="Times New Roman"/>
          <w:sz w:val="24"/>
          <w:szCs w:val="24"/>
        </w:rPr>
        <w:t xml:space="preserve">to </w:t>
      </w:r>
      <w:r w:rsidRPr="6BEC65BA" w:rsidR="28C25EEB">
        <w:rPr>
          <w:rFonts w:ascii="Times New Roman" w:hAnsi="Times New Roman" w:cs="Times New Roman"/>
          <w:sz w:val="24"/>
          <w:szCs w:val="24"/>
        </w:rPr>
        <w:t xml:space="preserve">conduct a </w:t>
      </w:r>
      <w:r w:rsidRPr="6BEC65BA" w:rsidR="67FF59C4">
        <w:rPr>
          <w:rFonts w:ascii="Times New Roman" w:hAnsi="Times New Roman" w:cs="Times New Roman"/>
          <w:sz w:val="24"/>
          <w:szCs w:val="24"/>
        </w:rPr>
        <w:t xml:space="preserve">certification </w:t>
      </w:r>
      <w:r w:rsidR="00D50DC6">
        <w:rPr>
          <w:rFonts w:ascii="Times New Roman" w:hAnsi="Times New Roman" w:cs="Times New Roman"/>
          <w:sz w:val="24"/>
          <w:szCs w:val="24"/>
        </w:rPr>
        <w:t xml:space="preserve">process </w:t>
      </w:r>
      <w:r w:rsidRPr="6BEC65BA" w:rsidR="67FF59C4">
        <w:rPr>
          <w:rFonts w:ascii="Times New Roman" w:hAnsi="Times New Roman" w:cs="Times New Roman"/>
          <w:sz w:val="24"/>
          <w:szCs w:val="24"/>
        </w:rPr>
        <w:t>and</w:t>
      </w:r>
      <w:r w:rsidRPr="6BEC65BA" w:rsidR="67A5FF55">
        <w:rPr>
          <w:rFonts w:ascii="Times New Roman" w:hAnsi="Times New Roman" w:cs="Times New Roman"/>
          <w:sz w:val="24"/>
          <w:szCs w:val="24"/>
        </w:rPr>
        <w:t xml:space="preserve"> </w:t>
      </w:r>
      <w:r w:rsidR="00D50DC6">
        <w:rPr>
          <w:rFonts w:ascii="Times New Roman" w:hAnsi="Times New Roman" w:cs="Times New Roman"/>
          <w:sz w:val="24"/>
          <w:szCs w:val="24"/>
        </w:rPr>
        <w:t xml:space="preserve">maintain </w:t>
      </w:r>
      <w:r w:rsidRPr="6BEC65BA" w:rsidR="2363E7D5">
        <w:rPr>
          <w:rFonts w:ascii="Times New Roman" w:hAnsi="Times New Roman" w:cs="Times New Roman"/>
          <w:sz w:val="24"/>
          <w:szCs w:val="24"/>
        </w:rPr>
        <w:t xml:space="preserve">its associated </w:t>
      </w:r>
      <w:r w:rsidRPr="6BEC65BA" w:rsidR="67FF59C4">
        <w:rPr>
          <w:rFonts w:ascii="Times New Roman" w:hAnsi="Times New Roman" w:cs="Times New Roman"/>
          <w:sz w:val="24"/>
          <w:szCs w:val="24"/>
        </w:rPr>
        <w:t xml:space="preserve">recordkeeping </w:t>
      </w:r>
      <w:r w:rsidR="00D50DC6">
        <w:rPr>
          <w:rFonts w:ascii="Times New Roman" w:hAnsi="Times New Roman" w:cs="Times New Roman"/>
          <w:sz w:val="24"/>
          <w:szCs w:val="24"/>
        </w:rPr>
        <w:t xml:space="preserve">requirement </w:t>
      </w:r>
      <w:r w:rsidRPr="6BEC65BA" w:rsidR="0C0AE7E5">
        <w:rPr>
          <w:rFonts w:ascii="Times New Roman" w:hAnsi="Times New Roman" w:cs="Times New Roman"/>
          <w:sz w:val="24"/>
          <w:szCs w:val="24"/>
        </w:rPr>
        <w:t xml:space="preserve">would </w:t>
      </w:r>
      <w:r w:rsidRPr="6BEC65BA" w:rsidR="2CF3202F">
        <w:rPr>
          <w:rFonts w:ascii="Times New Roman" w:hAnsi="Times New Roman" w:cs="Times New Roman"/>
          <w:sz w:val="24"/>
          <w:szCs w:val="24"/>
        </w:rPr>
        <w:t xml:space="preserve">be </w:t>
      </w:r>
      <w:r w:rsidRPr="6BEC65BA" w:rsidR="28C25EEB">
        <w:rPr>
          <w:rFonts w:ascii="Times New Roman" w:hAnsi="Times New Roman" w:cs="Times New Roman"/>
          <w:sz w:val="24"/>
          <w:szCs w:val="24"/>
        </w:rPr>
        <w:t>4</w:t>
      </w:r>
      <w:r w:rsidRPr="6BEC65BA" w:rsidR="67FF59C4">
        <w:rPr>
          <w:rFonts w:ascii="Times New Roman" w:hAnsi="Times New Roman" w:cs="Times New Roman"/>
          <w:sz w:val="24"/>
          <w:szCs w:val="24"/>
        </w:rPr>
        <w:t xml:space="preserve"> hours</w:t>
      </w:r>
      <w:r w:rsidRPr="6BEC65BA" w:rsidR="563E956C">
        <w:rPr>
          <w:rFonts w:ascii="Times New Roman" w:hAnsi="Times New Roman" w:cs="Times New Roman"/>
          <w:sz w:val="24"/>
          <w:szCs w:val="24"/>
        </w:rPr>
        <w:t xml:space="preserve">. </w:t>
      </w:r>
      <w:r w:rsidR="00496F6F">
        <w:rPr>
          <w:rFonts w:ascii="Times New Roman" w:hAnsi="Times New Roman" w:cs="Times New Roman"/>
          <w:sz w:val="24"/>
          <w:szCs w:val="24"/>
        </w:rPr>
        <w:t xml:space="preserve"> </w:t>
      </w:r>
      <w:r w:rsidRPr="6BEC65BA" w:rsidR="563E956C">
        <w:rPr>
          <w:rFonts w:ascii="Times New Roman" w:hAnsi="Times New Roman" w:cs="Times New Roman"/>
          <w:sz w:val="24"/>
          <w:szCs w:val="24"/>
        </w:rPr>
        <w:t xml:space="preserve">The same 4-hour estimate was applied to </w:t>
      </w:r>
      <w:r w:rsidR="00D50DC6">
        <w:rPr>
          <w:rFonts w:ascii="Times New Roman" w:hAnsi="Times New Roman" w:cs="Times New Roman"/>
          <w:sz w:val="24"/>
          <w:szCs w:val="24"/>
        </w:rPr>
        <w:t xml:space="preserve">both </w:t>
      </w:r>
      <w:r w:rsidRPr="6BEC65BA" w:rsidR="00D50DC6">
        <w:rPr>
          <w:rFonts w:ascii="Times New Roman" w:hAnsi="Times New Roman" w:cs="Times New Roman"/>
          <w:sz w:val="24"/>
          <w:szCs w:val="24"/>
        </w:rPr>
        <w:t xml:space="preserve">the time required to conduct </w:t>
      </w:r>
      <w:r w:rsidR="00D50DC6">
        <w:rPr>
          <w:rFonts w:ascii="Times New Roman" w:hAnsi="Times New Roman" w:cs="Times New Roman"/>
          <w:sz w:val="24"/>
          <w:szCs w:val="24"/>
        </w:rPr>
        <w:t xml:space="preserve">to </w:t>
      </w:r>
      <w:r w:rsidRPr="6BEC65BA" w:rsidR="563E956C">
        <w:rPr>
          <w:rFonts w:ascii="Times New Roman" w:hAnsi="Times New Roman" w:cs="Times New Roman"/>
          <w:sz w:val="24"/>
          <w:szCs w:val="24"/>
        </w:rPr>
        <w:t xml:space="preserve">the </w:t>
      </w:r>
      <w:r w:rsidRPr="6BEC65BA" w:rsidR="67FF59C4">
        <w:rPr>
          <w:rFonts w:ascii="Times New Roman" w:hAnsi="Times New Roman" w:cs="Times New Roman"/>
          <w:sz w:val="24"/>
          <w:szCs w:val="24"/>
        </w:rPr>
        <w:t xml:space="preserve">recertification </w:t>
      </w:r>
      <w:r w:rsidR="00D50DC6">
        <w:rPr>
          <w:rFonts w:ascii="Times New Roman" w:hAnsi="Times New Roman" w:cs="Times New Roman"/>
          <w:sz w:val="24"/>
          <w:szCs w:val="24"/>
        </w:rPr>
        <w:t xml:space="preserve">process </w:t>
      </w:r>
      <w:r w:rsidRPr="6BEC65BA" w:rsidR="67FF59C4">
        <w:rPr>
          <w:rFonts w:ascii="Times New Roman" w:hAnsi="Times New Roman" w:cs="Times New Roman"/>
          <w:sz w:val="24"/>
          <w:szCs w:val="24"/>
        </w:rPr>
        <w:t>and</w:t>
      </w:r>
      <w:r w:rsidRPr="6BEC65BA" w:rsidR="698FC6EC">
        <w:rPr>
          <w:rFonts w:ascii="Times New Roman" w:hAnsi="Times New Roman" w:cs="Times New Roman"/>
          <w:sz w:val="24"/>
          <w:szCs w:val="24"/>
        </w:rPr>
        <w:t xml:space="preserve"> </w:t>
      </w:r>
      <w:r w:rsidR="00D50DC6">
        <w:rPr>
          <w:rFonts w:ascii="Times New Roman" w:hAnsi="Times New Roman" w:cs="Times New Roman"/>
          <w:sz w:val="24"/>
          <w:szCs w:val="24"/>
        </w:rPr>
        <w:t xml:space="preserve">maintain </w:t>
      </w:r>
      <w:r w:rsidRPr="6BEC65BA" w:rsidR="698FC6EC">
        <w:rPr>
          <w:rFonts w:ascii="Times New Roman" w:hAnsi="Times New Roman" w:cs="Times New Roman"/>
          <w:sz w:val="24"/>
          <w:szCs w:val="24"/>
        </w:rPr>
        <w:t>its</w:t>
      </w:r>
      <w:r w:rsidRPr="6BEC65BA" w:rsidR="67FF59C4">
        <w:rPr>
          <w:rFonts w:ascii="Times New Roman" w:hAnsi="Times New Roman" w:cs="Times New Roman"/>
          <w:sz w:val="24"/>
          <w:szCs w:val="24"/>
        </w:rPr>
        <w:t xml:space="preserve"> corresponding recordkeeping</w:t>
      </w:r>
      <w:r w:rsidR="00D50DC6">
        <w:rPr>
          <w:rFonts w:ascii="Times New Roman" w:hAnsi="Times New Roman" w:cs="Times New Roman"/>
          <w:sz w:val="24"/>
          <w:szCs w:val="24"/>
        </w:rPr>
        <w:t xml:space="preserve"> requirement</w:t>
      </w:r>
      <w:r w:rsidRPr="6BEC65BA" w:rsidR="67FF59C4">
        <w:rPr>
          <w:rFonts w:ascii="Times New Roman" w:hAnsi="Times New Roman" w:cs="Times New Roman"/>
          <w:sz w:val="24"/>
          <w:szCs w:val="24"/>
        </w:rPr>
        <w:t>.</w:t>
      </w:r>
      <w:r w:rsidRPr="008D1702" w:rsidR="05793480">
        <w:rPr>
          <w:rFonts w:ascii="Times New Roman" w:hAnsi="Times New Roman" w:cs="Times New Roman"/>
          <w:sz w:val="24"/>
          <w:szCs w:val="24"/>
        </w:rPr>
        <w:t xml:space="preserve"> </w:t>
      </w:r>
    </w:p>
    <w:p w:rsidR="00F12CB0" w:rsidP="6BEC65BA" w14:paraId="56AE653B" w14:textId="77777777">
      <w:pPr>
        <w:pStyle w:val="FootnoteText"/>
        <w:ind w:firstLine="720"/>
        <w:rPr>
          <w:rFonts w:ascii="Times New Roman" w:hAnsi="Times New Roman" w:cs="Times New Roman"/>
          <w:sz w:val="24"/>
          <w:szCs w:val="24"/>
        </w:rPr>
      </w:pPr>
    </w:p>
    <w:p w:rsidR="00DC3892" w:rsidRPr="008D1702" w:rsidP="6BEC65BA" w14:paraId="4D1E90AF" w14:textId="446F10ED">
      <w:pPr>
        <w:pStyle w:val="FootnoteText"/>
        <w:ind w:firstLine="720"/>
        <w:rPr>
          <w:rFonts w:ascii="Times New Roman" w:hAnsi="Times New Roman" w:cs="Times New Roman"/>
          <w:sz w:val="24"/>
          <w:szCs w:val="24"/>
        </w:rPr>
      </w:pPr>
      <w:r w:rsidRPr="008D1702">
        <w:rPr>
          <w:rFonts w:ascii="Times New Roman" w:hAnsi="Times New Roman" w:cs="Times New Roman"/>
          <w:sz w:val="24"/>
          <w:szCs w:val="24"/>
        </w:rPr>
        <w:t xml:space="preserve">The </w:t>
      </w:r>
      <w:r w:rsidRPr="008D1702" w:rsidR="0270302E">
        <w:rPr>
          <w:rFonts w:ascii="Times New Roman" w:hAnsi="Times New Roman" w:cs="Times New Roman"/>
          <w:sz w:val="24"/>
          <w:szCs w:val="24"/>
        </w:rPr>
        <w:t xml:space="preserve">reduction </w:t>
      </w:r>
      <w:r w:rsidRPr="008D1702">
        <w:rPr>
          <w:rFonts w:ascii="Times New Roman" w:hAnsi="Times New Roman" w:cs="Times New Roman"/>
          <w:sz w:val="24"/>
          <w:szCs w:val="24"/>
        </w:rPr>
        <w:t xml:space="preserve">in burden is </w:t>
      </w:r>
      <w:r w:rsidRPr="008D1702" w:rsidR="6017B970">
        <w:rPr>
          <w:rFonts w:ascii="Times New Roman" w:hAnsi="Times New Roman" w:cs="Times New Roman"/>
          <w:sz w:val="24"/>
          <w:szCs w:val="24"/>
        </w:rPr>
        <w:t xml:space="preserve">the result of </w:t>
      </w:r>
      <w:r w:rsidRPr="008D1702">
        <w:rPr>
          <w:rFonts w:ascii="Times New Roman" w:hAnsi="Times New Roman" w:cs="Times New Roman"/>
          <w:sz w:val="24"/>
          <w:szCs w:val="24"/>
        </w:rPr>
        <w:t xml:space="preserve">a combination of a decrease in the estimated number of </w:t>
      </w:r>
      <w:r w:rsidRPr="008D1702" w:rsidR="46C2D1D2">
        <w:rPr>
          <w:rFonts w:ascii="Times New Roman" w:hAnsi="Times New Roman" w:cs="Times New Roman"/>
          <w:sz w:val="24"/>
          <w:szCs w:val="24"/>
        </w:rPr>
        <w:t>likely respondents and</w:t>
      </w:r>
      <w:r w:rsidRPr="008D1702" w:rsidR="00260203">
        <w:rPr>
          <w:rFonts w:ascii="Times New Roman" w:hAnsi="Times New Roman" w:cs="Times New Roman"/>
          <w:sz w:val="24"/>
          <w:szCs w:val="24"/>
        </w:rPr>
        <w:t xml:space="preserve"> a decrease in</w:t>
      </w:r>
      <w:r w:rsidRPr="008D1702" w:rsidR="46C2D1D2">
        <w:rPr>
          <w:rFonts w:ascii="Times New Roman" w:hAnsi="Times New Roman" w:cs="Times New Roman"/>
          <w:sz w:val="24"/>
          <w:szCs w:val="24"/>
        </w:rPr>
        <w:t xml:space="preserve"> the estimated hourly burden of </w:t>
      </w:r>
      <w:r w:rsidRPr="008D1702" w:rsidR="61E21B0C">
        <w:rPr>
          <w:rFonts w:ascii="Times New Roman" w:hAnsi="Times New Roman" w:cs="Times New Roman"/>
          <w:sz w:val="24"/>
          <w:szCs w:val="24"/>
        </w:rPr>
        <w:t>certification and recertification.</w:t>
      </w:r>
      <w:r w:rsidR="00496F6F">
        <w:rPr>
          <w:rFonts w:ascii="Times New Roman" w:hAnsi="Times New Roman" w:cs="Times New Roman"/>
          <w:sz w:val="24"/>
          <w:szCs w:val="24"/>
        </w:rPr>
        <w:t xml:space="preserve">  </w:t>
      </w:r>
      <w:r w:rsidRPr="008D1702" w:rsidR="61E21B0C">
        <w:rPr>
          <w:rFonts w:ascii="Times New Roman" w:hAnsi="Times New Roman" w:cs="Times New Roman"/>
          <w:sz w:val="24"/>
          <w:szCs w:val="24"/>
        </w:rPr>
        <w:t xml:space="preserve"> Although the estimate of the average number of accounts per respondent was revised significantly upwards, </w:t>
      </w:r>
      <w:r w:rsidRPr="008D1702" w:rsidR="594CA0CA">
        <w:rPr>
          <w:rFonts w:ascii="Times New Roman" w:hAnsi="Times New Roman" w:cs="Times New Roman"/>
          <w:sz w:val="24"/>
          <w:szCs w:val="24"/>
        </w:rPr>
        <w:t xml:space="preserve">a reduction </w:t>
      </w:r>
      <w:r w:rsidRPr="008D1702" w:rsidR="082F991B">
        <w:rPr>
          <w:rFonts w:ascii="Times New Roman" w:hAnsi="Times New Roman" w:cs="Times New Roman"/>
          <w:sz w:val="24"/>
          <w:szCs w:val="24"/>
        </w:rPr>
        <w:t>in these</w:t>
      </w:r>
      <w:r w:rsidRPr="008D1702" w:rsidR="61E21B0C">
        <w:rPr>
          <w:rFonts w:ascii="Times New Roman" w:hAnsi="Times New Roman" w:cs="Times New Roman"/>
          <w:sz w:val="24"/>
          <w:szCs w:val="24"/>
        </w:rPr>
        <w:t xml:space="preserve"> two factors</w:t>
      </w:r>
      <w:r w:rsidRPr="008D1702" w:rsidR="53B6C88B">
        <w:rPr>
          <w:rFonts w:ascii="Times New Roman" w:hAnsi="Times New Roman" w:cs="Times New Roman"/>
          <w:sz w:val="24"/>
          <w:szCs w:val="24"/>
        </w:rPr>
        <w:t xml:space="preserve"> (</w:t>
      </w:r>
      <w:r w:rsidRPr="00587A2A" w:rsidR="53B6C88B">
        <w:rPr>
          <w:rFonts w:ascii="Times New Roman" w:hAnsi="Times New Roman" w:cs="Times New Roman"/>
          <w:i/>
          <w:iCs/>
          <w:sz w:val="24"/>
          <w:szCs w:val="24"/>
        </w:rPr>
        <w:t>i.e.</w:t>
      </w:r>
      <w:r w:rsidRPr="008D1702" w:rsidR="53B6C88B">
        <w:rPr>
          <w:rFonts w:ascii="Times New Roman" w:hAnsi="Times New Roman" w:cs="Times New Roman"/>
          <w:sz w:val="24"/>
          <w:szCs w:val="24"/>
        </w:rPr>
        <w:t xml:space="preserve">, the likely respondents and </w:t>
      </w:r>
      <w:r w:rsidRPr="008D1702" w:rsidR="3B368518">
        <w:rPr>
          <w:rFonts w:ascii="Times New Roman" w:hAnsi="Times New Roman" w:cs="Times New Roman"/>
          <w:sz w:val="24"/>
          <w:szCs w:val="24"/>
        </w:rPr>
        <w:t>the hourly certification/recertification burden)</w:t>
      </w:r>
      <w:r w:rsidRPr="008D1702" w:rsidR="61E21B0C">
        <w:rPr>
          <w:rFonts w:ascii="Times New Roman" w:hAnsi="Times New Roman" w:cs="Times New Roman"/>
          <w:sz w:val="24"/>
          <w:szCs w:val="24"/>
        </w:rPr>
        <w:t xml:space="preserve"> </w:t>
      </w:r>
      <w:r w:rsidRPr="008D1702" w:rsidR="082F991B">
        <w:rPr>
          <w:rFonts w:ascii="Times New Roman" w:hAnsi="Times New Roman" w:cs="Times New Roman"/>
          <w:sz w:val="24"/>
          <w:szCs w:val="24"/>
        </w:rPr>
        <w:t xml:space="preserve">resulted in a decrease to the overall burden. </w:t>
      </w:r>
    </w:p>
    <w:p w:rsidR="00374CD1" w:rsidP="6BEC65BA" w14:paraId="3C880ED0" w14:textId="77777777">
      <w:pPr>
        <w:rPr>
          <w:rFonts w:ascii="Times New Roman" w:hAnsi="Times New Roman"/>
          <w:sz w:val="24"/>
        </w:rPr>
      </w:pPr>
    </w:p>
    <w:p w:rsidR="00C060BA" w:rsidP="6BEC65BA" w14:paraId="4AAD0C7E" w14:textId="77777777">
      <w:pPr>
        <w:rPr>
          <w:rFonts w:ascii="Times New Roman" w:hAnsi="Times New Roman"/>
          <w:sz w:val="24"/>
        </w:rPr>
      </w:pPr>
      <w:r w:rsidRPr="6BEC65BA">
        <w:rPr>
          <w:rFonts w:ascii="Times New Roman" w:hAnsi="Times New Roman"/>
          <w:sz w:val="24"/>
        </w:rPr>
        <w:t xml:space="preserve">16.  </w:t>
      </w:r>
      <w:r w:rsidRPr="6BEC65BA">
        <w:rPr>
          <w:rFonts w:ascii="Times New Roman" w:hAnsi="Times New Roman"/>
          <w:sz w:val="24"/>
          <w:u w:val="single"/>
        </w:rPr>
        <w:t xml:space="preserve">Plans for </w:t>
      </w:r>
      <w:r w:rsidRPr="6BEC65BA" w:rsidR="00F20509">
        <w:rPr>
          <w:rFonts w:ascii="Times New Roman" w:hAnsi="Times New Roman"/>
          <w:sz w:val="24"/>
          <w:u w:val="single"/>
        </w:rPr>
        <w:t>tabulation, statistical analysis and publication</w:t>
      </w:r>
      <w:r w:rsidRPr="6BEC65BA" w:rsidR="00C26A03">
        <w:rPr>
          <w:rFonts w:ascii="Times New Roman" w:hAnsi="Times New Roman"/>
          <w:sz w:val="24"/>
          <w:u w:val="single"/>
        </w:rPr>
        <w:t>.</w:t>
      </w:r>
    </w:p>
    <w:p w:rsidR="00C060BA" w:rsidP="6BEC65BA" w14:paraId="6BC509D3" w14:textId="77777777">
      <w:pPr>
        <w:ind w:firstLine="360"/>
        <w:rPr>
          <w:rFonts w:ascii="Times New Roman" w:hAnsi="Times New Roman"/>
          <w:sz w:val="24"/>
        </w:rPr>
      </w:pPr>
    </w:p>
    <w:p w:rsidR="001B275B" w:rsidP="6BEC65BA" w14:paraId="0116CB82" w14:textId="0C551A82">
      <w:pPr>
        <w:ind w:firstLine="720"/>
        <w:rPr>
          <w:rFonts w:ascii="Times New Roman" w:hAnsi="Times New Roman"/>
          <w:sz w:val="24"/>
        </w:rPr>
      </w:pPr>
      <w:r w:rsidRPr="6BEC65BA">
        <w:rPr>
          <w:rFonts w:ascii="Times New Roman" w:hAnsi="Times New Roman"/>
          <w:sz w:val="24"/>
        </w:rPr>
        <w:t xml:space="preserve">This collection of information will not be </w:t>
      </w:r>
      <w:r w:rsidRPr="6BEC65BA" w:rsidR="00436F9E">
        <w:rPr>
          <w:rFonts w:ascii="Times New Roman" w:hAnsi="Times New Roman"/>
          <w:sz w:val="24"/>
        </w:rPr>
        <w:t>tabulated or compiled for publication</w:t>
      </w:r>
      <w:r w:rsidRPr="6BEC65BA">
        <w:rPr>
          <w:rFonts w:ascii="Times New Roman" w:hAnsi="Times New Roman"/>
          <w:sz w:val="24"/>
        </w:rPr>
        <w:t>.</w:t>
      </w:r>
    </w:p>
    <w:p w:rsidR="00522794" w:rsidRPr="00522794" w:rsidP="6BEC65BA" w14:paraId="6289E469" w14:textId="77777777">
      <w:pPr>
        <w:widowControl/>
        <w:spacing w:before="187"/>
        <w:rPr>
          <w:rFonts w:ascii="Times New Roman" w:hAnsi="Times New Roman"/>
          <w:sz w:val="24"/>
          <w:u w:val="single"/>
        </w:rPr>
      </w:pPr>
      <w:r w:rsidRPr="6BEC65BA">
        <w:rPr>
          <w:rFonts w:ascii="Times New Roman" w:hAnsi="Times New Roman"/>
          <w:sz w:val="24"/>
        </w:rPr>
        <w:t xml:space="preserve">17.  </w:t>
      </w:r>
      <w:r w:rsidRPr="6BEC65BA">
        <w:rPr>
          <w:rFonts w:ascii="Times New Roman" w:hAnsi="Times New Roman"/>
          <w:sz w:val="24"/>
          <w:u w:val="single"/>
        </w:rPr>
        <w:t>Request not to di</w:t>
      </w:r>
      <w:r w:rsidRPr="6BEC65BA" w:rsidR="00916F04">
        <w:rPr>
          <w:rFonts w:ascii="Times New Roman" w:hAnsi="Times New Roman"/>
          <w:sz w:val="24"/>
          <w:u w:val="single"/>
        </w:rPr>
        <w:t>splay the OMB expiration date</w:t>
      </w:r>
      <w:r w:rsidRPr="6BEC65BA" w:rsidR="00C26A03">
        <w:rPr>
          <w:rFonts w:ascii="Times New Roman" w:hAnsi="Times New Roman"/>
          <w:sz w:val="24"/>
          <w:u w:val="single"/>
        </w:rPr>
        <w:t>.</w:t>
      </w:r>
    </w:p>
    <w:p w:rsidR="00C930C8" w:rsidRPr="00093ED9" w:rsidP="6BEC65BA" w14:paraId="4E8D8628" w14:textId="77777777">
      <w:pPr>
        <w:ind w:firstLine="720"/>
        <w:rPr>
          <w:rFonts w:ascii="Times New Roman" w:hAnsi="Times New Roman"/>
          <w:sz w:val="24"/>
        </w:rPr>
      </w:pPr>
    </w:p>
    <w:p w:rsidR="00C930C8" w:rsidRPr="00C930C8" w:rsidP="6BEC65BA" w14:paraId="0084A30E" w14:textId="1F393137">
      <w:pPr>
        <w:ind w:firstLine="720"/>
        <w:rPr>
          <w:rFonts w:ascii="Times New Roman" w:hAnsi="Times New Roman"/>
          <w:sz w:val="24"/>
        </w:rPr>
      </w:pPr>
      <w:r w:rsidRPr="6BEC65BA">
        <w:rPr>
          <w:rFonts w:ascii="Times New Roman" w:hAnsi="Times New Roman"/>
          <w:sz w:val="24"/>
        </w:rPr>
        <w:t>FinCEN requests that it not be required to display the expiration date so that the regulations and optional certification form will not have to be amended for the new expiration date every three years</w:t>
      </w:r>
      <w:r w:rsidR="00B136BA">
        <w:rPr>
          <w:rFonts w:ascii="Times New Roman" w:hAnsi="Times New Roman"/>
          <w:sz w:val="24"/>
        </w:rPr>
        <w:t xml:space="preserve">, or </w:t>
      </w:r>
      <w:r w:rsidRPr="00E02E1A" w:rsidR="00E02E1A">
        <w:rPr>
          <w:rFonts w:ascii="Times New Roman" w:hAnsi="Times New Roman"/>
          <w:sz w:val="24"/>
        </w:rPr>
        <w:t>earlier, as applicable</w:t>
      </w:r>
      <w:r w:rsidRPr="6BEC65BA">
        <w:rPr>
          <w:rFonts w:ascii="Times New Roman" w:hAnsi="Times New Roman"/>
          <w:sz w:val="24"/>
        </w:rPr>
        <w:t>.  This request will not affect the normal three-year PRA renewal process</w:t>
      </w:r>
      <w:r w:rsidR="00B136BA">
        <w:rPr>
          <w:rFonts w:ascii="Times New Roman" w:hAnsi="Times New Roman"/>
          <w:sz w:val="24"/>
        </w:rPr>
        <w:t>, or</w:t>
      </w:r>
      <w:r w:rsidR="00D50DC6">
        <w:rPr>
          <w:rFonts w:ascii="Times New Roman" w:hAnsi="Times New Roman"/>
          <w:sz w:val="24"/>
        </w:rPr>
        <w:t xml:space="preserve"> </w:t>
      </w:r>
      <w:r w:rsidRPr="00E02E1A" w:rsidR="00E02E1A">
        <w:rPr>
          <w:rFonts w:ascii="Times New Roman" w:hAnsi="Times New Roman"/>
          <w:sz w:val="24"/>
        </w:rPr>
        <w:t>earlier, as applicable</w:t>
      </w:r>
      <w:r w:rsidRPr="6BEC65BA">
        <w:rPr>
          <w:rFonts w:ascii="Times New Roman" w:hAnsi="Times New Roman"/>
          <w:sz w:val="24"/>
        </w:rPr>
        <w:t>.</w:t>
      </w:r>
    </w:p>
    <w:p w:rsidR="00522794" w:rsidRPr="00611C78" w:rsidP="6BEC65BA" w14:paraId="7BCED438" w14:textId="7B2E723B">
      <w:pPr>
        <w:widowControl/>
        <w:spacing w:before="187"/>
        <w:rPr>
          <w:rFonts w:ascii="Times New Roman" w:hAnsi="Times New Roman"/>
          <w:sz w:val="24"/>
        </w:rPr>
      </w:pPr>
      <w:r w:rsidRPr="6BEC65BA">
        <w:rPr>
          <w:rFonts w:ascii="Times New Roman" w:hAnsi="Times New Roman"/>
          <w:sz w:val="24"/>
        </w:rPr>
        <w:t xml:space="preserve">18.  </w:t>
      </w:r>
      <w:r w:rsidRPr="6BEC65BA">
        <w:rPr>
          <w:rFonts w:ascii="Times New Roman" w:hAnsi="Times New Roman"/>
          <w:sz w:val="24"/>
          <w:u w:val="single"/>
        </w:rPr>
        <w:t>Exceptions to the certification statement</w:t>
      </w:r>
      <w:r w:rsidRPr="6BEC65BA" w:rsidR="00C26A03">
        <w:rPr>
          <w:rFonts w:ascii="Times New Roman" w:hAnsi="Times New Roman"/>
          <w:sz w:val="24"/>
          <w:u w:val="single"/>
        </w:rPr>
        <w:t>.</w:t>
      </w:r>
    </w:p>
    <w:p w:rsidR="00522794" w:rsidRPr="00611C78" w:rsidP="6BEC65BA" w14:paraId="48B07330" w14:textId="77777777">
      <w:pPr>
        <w:widowControl/>
        <w:spacing w:before="187"/>
        <w:ind w:firstLine="720"/>
        <w:rPr>
          <w:rFonts w:ascii="Times New Roman" w:hAnsi="Times New Roman"/>
          <w:sz w:val="24"/>
        </w:rPr>
      </w:pPr>
      <w:r w:rsidRPr="6BEC65BA">
        <w:rPr>
          <w:rFonts w:ascii="Times New Roman" w:hAnsi="Times New Roman"/>
          <w:sz w:val="24"/>
        </w:rPr>
        <w:t>There are no exceptions to the certification statement.</w:t>
      </w:r>
    </w:p>
    <w:sectPr w:rsidSect="004003B5">
      <w:headerReference w:type="default" r:id="rId12"/>
      <w:footerReference w:type="default" r:id="rId13"/>
      <w:endnotePr>
        <w:numFmt w:val="decimal"/>
      </w:endnotePr>
      <w:type w:val="continuous"/>
      <w:pgSz w:w="12240" w:h="15840"/>
      <w:pgMar w:top="1440" w:right="1440" w:bottom="1440" w:left="1440" w:header="1440" w:footer="144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B714EF" w14:paraId="49C91CAA" w14:textId="77777777">
      <w:r>
        <w:separator/>
      </w:r>
    </w:p>
    <w:p w:rsidR="00B714EF" w14:paraId="435D8E0F" w14:textId="77777777"/>
  </w:endnote>
  <w:endnote w:type="continuationSeparator" w:id="1">
    <w:p w:rsidR="00B714EF" w14:paraId="14AE85E7" w14:textId="77777777">
      <w:r>
        <w:continuationSeparator/>
      </w:r>
    </w:p>
    <w:p w:rsidR="00B714EF" w14:paraId="0653B8E0" w14:textId="77777777"/>
  </w:endnote>
  <w:endnote w:type="continuationNotice" w:id="2">
    <w:p w:rsidR="00B714EF" w14:paraId="6942B65F" w14:textId="77777777"/>
    <w:p w:rsidR="00B714EF" w14:paraId="3F5B4C67"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199055044"/>
      <w:docPartObj>
        <w:docPartGallery w:val="Page Numbers (Bottom of Page)"/>
        <w:docPartUnique/>
      </w:docPartObj>
    </w:sdtPr>
    <w:sdtEndPr>
      <w:rPr>
        <w:rFonts w:ascii="Times New Roman" w:hAnsi="Times New Roman"/>
        <w:noProof/>
        <w:sz w:val="24"/>
      </w:rPr>
    </w:sdtEndPr>
    <w:sdtContent>
      <w:p w:rsidR="00E5234A" w:rsidRPr="009E365C" w14:paraId="5A15B547" w14:textId="30CE8B72">
        <w:pPr>
          <w:pStyle w:val="Footer"/>
          <w:jc w:val="center"/>
          <w:rPr>
            <w:rFonts w:ascii="Times New Roman" w:hAnsi="Times New Roman"/>
            <w:sz w:val="24"/>
          </w:rPr>
        </w:pPr>
        <w:r w:rsidRPr="009E365C">
          <w:rPr>
            <w:rFonts w:ascii="Times New Roman" w:hAnsi="Times New Roman"/>
            <w:sz w:val="24"/>
          </w:rPr>
          <w:fldChar w:fldCharType="begin"/>
        </w:r>
        <w:r w:rsidRPr="009E365C">
          <w:rPr>
            <w:rFonts w:ascii="Times New Roman" w:hAnsi="Times New Roman"/>
            <w:sz w:val="24"/>
          </w:rPr>
          <w:instrText xml:space="preserve"> PAGE   \* MERGEFORMAT </w:instrText>
        </w:r>
        <w:r w:rsidRPr="009E365C">
          <w:rPr>
            <w:rFonts w:ascii="Times New Roman" w:hAnsi="Times New Roman"/>
            <w:sz w:val="24"/>
          </w:rPr>
          <w:fldChar w:fldCharType="separate"/>
        </w:r>
        <w:r w:rsidR="009C0964">
          <w:rPr>
            <w:rFonts w:ascii="Times New Roman" w:hAnsi="Times New Roman"/>
            <w:noProof/>
            <w:sz w:val="24"/>
          </w:rPr>
          <w:t>7</w:t>
        </w:r>
        <w:r w:rsidRPr="009E365C">
          <w:rPr>
            <w:rFonts w:ascii="Times New Roman" w:hAnsi="Times New Roman"/>
            <w:noProof/>
            <w:sz w:val="24"/>
          </w:rPr>
          <w:fldChar w:fldCharType="end"/>
        </w:r>
      </w:p>
    </w:sdtContent>
  </w:sdt>
  <w:p w:rsidR="00CC635C" w:rsidRPr="00F74CE8" w14:paraId="0DD841DB"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B714EF" w14:paraId="5880A380" w14:textId="77777777">
      <w:r>
        <w:separator/>
      </w:r>
    </w:p>
    <w:p w:rsidR="00B714EF" w14:paraId="5A0D48C7" w14:textId="77777777"/>
  </w:footnote>
  <w:footnote w:type="continuationSeparator" w:id="1">
    <w:p w:rsidR="00B714EF" w14:paraId="0D8FA169" w14:textId="77777777">
      <w:r>
        <w:continuationSeparator/>
      </w:r>
    </w:p>
    <w:p w:rsidR="00B714EF" w14:paraId="5A2FE9D9" w14:textId="77777777"/>
  </w:footnote>
  <w:footnote w:type="continuationNotice" w:id="2">
    <w:p w:rsidR="00B714EF" w14:paraId="3C9A6AC2" w14:textId="77777777"/>
    <w:p w:rsidR="00B714EF" w14:paraId="0AFE7B35" w14:textId="77777777"/>
  </w:footnote>
  <w:footnote w:id="3">
    <w:p w:rsidR="003B48BD" w:rsidRPr="000823D5" w:rsidP="003B48BD" w14:paraId="3BE6851A" w14:textId="2F548B1B">
      <w:pPr>
        <w:pStyle w:val="FootnoteText"/>
        <w:rPr>
          <w:rFonts w:ascii="Times New Roman" w:hAnsi="Times New Roman" w:cs="Times New Roman"/>
        </w:rPr>
      </w:pPr>
      <w:r w:rsidRPr="00496F6F">
        <w:rPr>
          <w:rStyle w:val="FootnoteReference"/>
          <w:rFonts w:ascii="Times New Roman" w:hAnsi="Times New Roman" w:cs="Times New Roman"/>
          <w:vertAlign w:val="superscript"/>
        </w:rPr>
        <w:footnoteRef/>
      </w:r>
      <w:r w:rsidRPr="00496F6F">
        <w:rPr>
          <w:rFonts w:ascii="Times New Roman" w:hAnsi="Times New Roman" w:cs="Times New Roman"/>
        </w:rPr>
        <w:t xml:space="preserve"> </w:t>
      </w:r>
      <w:r w:rsidRPr="00496F6F" w:rsidR="00DD2F25">
        <w:rPr>
          <w:rFonts w:ascii="Times New Roman" w:hAnsi="Times New Roman" w:cs="Times New Roman"/>
        </w:rPr>
        <w:t>USA PATRIOT Act, Pub. L. 107–56, 115 Stat. 272 (Oct. 26, 2001).</w:t>
      </w:r>
    </w:p>
  </w:footnote>
  <w:footnote w:id="4">
    <w:p w:rsidR="003B48BD" w:rsidRPr="00496F6F" w:rsidP="003B48BD" w14:paraId="158D1C33" w14:textId="77777777">
      <w:pPr>
        <w:pStyle w:val="FootnoteText"/>
        <w:rPr>
          <w:rFonts w:ascii="Times New Roman" w:hAnsi="Times New Roman" w:cs="Times New Roman"/>
        </w:rPr>
      </w:pPr>
      <w:r w:rsidRPr="00496F6F">
        <w:rPr>
          <w:rStyle w:val="FootnoteReference"/>
          <w:rFonts w:ascii="Times New Roman" w:hAnsi="Times New Roman" w:cs="Times New Roman"/>
          <w:vertAlign w:val="superscript"/>
        </w:rPr>
        <w:footnoteRef/>
      </w:r>
      <w:r w:rsidRPr="00496F6F">
        <w:rPr>
          <w:rFonts w:ascii="Times New Roman" w:hAnsi="Times New Roman" w:cs="Times New Roman"/>
          <w:vertAlign w:val="superscript"/>
        </w:rPr>
        <w:t xml:space="preserve"> </w:t>
      </w:r>
      <w:r w:rsidRPr="00496F6F">
        <w:rPr>
          <w:rFonts w:ascii="Times New Roman" w:hAnsi="Times New Roman" w:cs="Times New Roman"/>
        </w:rPr>
        <w:t>The AML Act was enacted as Division F, sections 6001-6511, of the William M. (Mac) Thornberry National Defense Authorization Act for Fiscal Year 2021, Pub. L. 116-283, 134 Stat. 3388 (Jan. 1, 2021).</w:t>
      </w:r>
    </w:p>
  </w:footnote>
  <w:footnote w:id="5">
    <w:p w:rsidR="003B48BD" w:rsidRPr="00496F6F" w:rsidP="003B48BD" w14:paraId="617F9DA0" w14:textId="75478CCA">
      <w:pPr>
        <w:pStyle w:val="FootnoteText"/>
        <w:rPr>
          <w:rFonts w:ascii="Times New Roman" w:hAnsi="Times New Roman" w:cs="Times New Roman"/>
        </w:rPr>
      </w:pPr>
      <w:r w:rsidRPr="00496F6F">
        <w:rPr>
          <w:rStyle w:val="FootnoteReference"/>
          <w:rFonts w:ascii="Times New Roman" w:hAnsi="Times New Roman" w:cs="Times New Roman"/>
          <w:vertAlign w:val="superscript"/>
        </w:rPr>
        <w:footnoteRef/>
      </w:r>
      <w:r w:rsidRPr="00496F6F">
        <w:rPr>
          <w:rFonts w:ascii="Times New Roman" w:hAnsi="Times New Roman" w:cs="Times New Roman"/>
          <w:vertAlign w:val="superscript"/>
        </w:rPr>
        <w:t xml:space="preserve"> </w:t>
      </w:r>
      <w:r w:rsidRPr="00496F6F">
        <w:rPr>
          <w:rFonts w:ascii="Times New Roman" w:hAnsi="Times New Roman" w:cs="Times New Roman"/>
          <w:i/>
          <w:iCs/>
        </w:rPr>
        <w:t>See</w:t>
      </w:r>
      <w:r w:rsidRPr="00496F6F">
        <w:rPr>
          <w:rFonts w:ascii="Times New Roman" w:hAnsi="Times New Roman" w:cs="Times New Roman"/>
        </w:rPr>
        <w:t xml:space="preserve"> 31 U.S.C. 5311(1)-(2).</w:t>
      </w:r>
      <w:r w:rsidRPr="000823D5" w:rsidR="00C623E5">
        <w:rPr>
          <w:rFonts w:ascii="Times New Roman" w:hAnsi="Times New Roman" w:cs="Times New Roman"/>
        </w:rPr>
        <w:t xml:space="preserve">  </w:t>
      </w:r>
      <w:r w:rsidRPr="00496F6F" w:rsidR="00C623E5">
        <w:rPr>
          <w:rFonts w:ascii="Times New Roman" w:hAnsi="Times New Roman" w:cs="Times New Roman"/>
        </w:rPr>
        <w:t>Reporting</w:t>
      </w:r>
      <w:r w:rsidR="00D86CED">
        <w:rPr>
          <w:rFonts w:ascii="Times New Roman" w:hAnsi="Times New Roman" w:cs="Times New Roman"/>
        </w:rPr>
        <w:t xml:space="preserve"> and recordkeeping</w:t>
      </w:r>
      <w:r w:rsidRPr="00496F6F" w:rsidR="00C623E5">
        <w:rPr>
          <w:rFonts w:ascii="Times New Roman" w:hAnsi="Times New Roman" w:cs="Times New Roman"/>
        </w:rPr>
        <w:t xml:space="preserve"> requirements are authorized under other provisions in the BSA</w:t>
      </w:r>
      <w:r w:rsidR="00D86CED">
        <w:rPr>
          <w:rFonts w:ascii="Times New Roman" w:hAnsi="Times New Roman" w:cs="Times New Roman"/>
        </w:rPr>
        <w:t xml:space="preserve">. </w:t>
      </w:r>
      <w:r w:rsidRPr="00496F6F" w:rsidR="00D86CED">
        <w:rPr>
          <w:rFonts w:ascii="Times New Roman" w:hAnsi="Times New Roman" w:cs="Times New Roman"/>
          <w:i/>
          <w:iCs/>
        </w:rPr>
        <w:t>See</w:t>
      </w:r>
      <w:r w:rsidR="00D86CED">
        <w:rPr>
          <w:rFonts w:ascii="Times New Roman" w:hAnsi="Times New Roman" w:cs="Times New Roman"/>
          <w:i/>
          <w:iCs/>
        </w:rPr>
        <w:t>,</w:t>
      </w:r>
      <w:r w:rsidRPr="00496F6F" w:rsidR="00D86CED">
        <w:rPr>
          <w:rFonts w:ascii="Times New Roman" w:hAnsi="Times New Roman" w:cs="Times New Roman"/>
          <w:i/>
          <w:iCs/>
        </w:rPr>
        <w:t xml:space="preserve"> </w:t>
      </w:r>
      <w:r w:rsidR="00D86CED">
        <w:rPr>
          <w:rFonts w:ascii="Times New Roman" w:hAnsi="Times New Roman" w:cs="Times New Roman"/>
          <w:i/>
          <w:iCs/>
        </w:rPr>
        <w:t xml:space="preserve">e.g., </w:t>
      </w:r>
      <w:r w:rsidRPr="00496F6F" w:rsidR="00D86CED">
        <w:rPr>
          <w:rFonts w:ascii="Times New Roman" w:hAnsi="Times New Roman" w:cs="Times New Roman"/>
        </w:rPr>
        <w:t>31 U.S.C. 5318(a)(2) (</w:t>
      </w:r>
      <w:r w:rsidR="00D86CED">
        <w:rPr>
          <w:rFonts w:ascii="Times New Roman" w:hAnsi="Times New Roman" w:cs="Times New Roman"/>
        </w:rPr>
        <w:t xml:space="preserve">stating that </w:t>
      </w:r>
      <w:r w:rsidRPr="00496F6F" w:rsidR="00D86CED">
        <w:rPr>
          <w:rFonts w:ascii="Times New Roman" w:hAnsi="Times New Roman" w:cs="Times New Roman"/>
        </w:rPr>
        <w:t>the Secretary</w:t>
      </w:r>
      <w:r w:rsidR="00D86CED">
        <w:rPr>
          <w:rFonts w:ascii="Times New Roman" w:hAnsi="Times New Roman" w:cs="Times New Roman"/>
        </w:rPr>
        <w:t xml:space="preserve"> may require the maintenance of</w:t>
      </w:r>
      <w:r w:rsidRPr="00496F6F" w:rsidR="00D86CED">
        <w:rPr>
          <w:rFonts w:ascii="Times New Roman" w:hAnsi="Times New Roman" w:cs="Times New Roman"/>
        </w:rPr>
        <w:t xml:space="preserve"> </w:t>
      </w:r>
      <w:r w:rsidRPr="00170434" w:rsidR="00D86CED">
        <w:rPr>
          <w:rFonts w:ascii="Times New Roman" w:hAnsi="Times New Roman" w:cs="Times New Roman"/>
        </w:rPr>
        <w:t> </w:t>
      </w:r>
      <w:r w:rsidR="00D86CED">
        <w:rPr>
          <w:rFonts w:ascii="Times New Roman" w:hAnsi="Times New Roman" w:cs="Times New Roman"/>
        </w:rPr>
        <w:t>“</w:t>
      </w:r>
      <w:r w:rsidRPr="00170434" w:rsidR="00D86CED">
        <w:rPr>
          <w:rFonts w:ascii="Times New Roman" w:hAnsi="Times New Roman" w:cs="Times New Roman"/>
        </w:rPr>
        <w:t xml:space="preserve">appropriate procedures, including the collection and reporting of certain information as the </w:t>
      </w:r>
      <w:r w:rsidR="00D86CED">
        <w:rPr>
          <w:rFonts w:ascii="Times New Roman" w:hAnsi="Times New Roman" w:cs="Times New Roman"/>
        </w:rPr>
        <w:t>Secretary…</w:t>
      </w:r>
      <w:r w:rsidRPr="00170434" w:rsidR="00D86CED">
        <w:rPr>
          <w:rFonts w:ascii="Times New Roman" w:hAnsi="Times New Roman" w:cs="Times New Roman"/>
        </w:rPr>
        <w:t>may prescribe by regulation,</w:t>
      </w:r>
      <w:r w:rsidRPr="00496F6F" w:rsidR="00D86CED">
        <w:rPr>
          <w:rFonts w:ascii="Times New Roman" w:hAnsi="Times New Roman" w:cs="Times New Roman"/>
        </w:rPr>
        <w:t xml:space="preserve"> </w:t>
      </w:r>
      <w:r w:rsidR="00D86CED">
        <w:rPr>
          <w:rFonts w:ascii="Times New Roman" w:hAnsi="Times New Roman" w:cs="Times New Roman"/>
        </w:rPr>
        <w:t>to ensure</w:t>
      </w:r>
      <w:r w:rsidRPr="00496F6F" w:rsidR="00D86CED">
        <w:rPr>
          <w:rFonts w:ascii="Times New Roman" w:hAnsi="Times New Roman" w:cs="Times New Roman"/>
        </w:rPr>
        <w:t xml:space="preserve"> compliance with </w:t>
      </w:r>
      <w:r w:rsidR="00D86CED">
        <w:rPr>
          <w:rFonts w:ascii="Times New Roman" w:hAnsi="Times New Roman" w:cs="Times New Roman"/>
        </w:rPr>
        <w:t>[the BSA and implementing regulations]</w:t>
      </w:r>
      <w:r w:rsidRPr="00496F6F" w:rsidR="00D86CED">
        <w:rPr>
          <w:rFonts w:ascii="Times New Roman" w:hAnsi="Times New Roman" w:cs="Times New Roman"/>
        </w:rPr>
        <w:t xml:space="preserve"> or </w:t>
      </w:r>
      <w:r w:rsidR="00D86CED">
        <w:rPr>
          <w:rFonts w:ascii="Times New Roman" w:hAnsi="Times New Roman" w:cs="Times New Roman"/>
        </w:rPr>
        <w:t>to guard</w:t>
      </w:r>
      <w:r w:rsidRPr="00496F6F" w:rsidR="00D86CED">
        <w:rPr>
          <w:rFonts w:ascii="Times New Roman" w:hAnsi="Times New Roman" w:cs="Times New Roman"/>
        </w:rPr>
        <w:t xml:space="preserve"> against money laundering, the financing of terrorism, or other forms of illicit finance</w:t>
      </w:r>
      <w:r w:rsidR="00D86CED">
        <w:rPr>
          <w:rFonts w:ascii="Times New Roman" w:hAnsi="Times New Roman" w:cs="Times New Roman"/>
        </w:rPr>
        <w:t>”</w:t>
      </w:r>
      <w:r w:rsidRPr="00496F6F" w:rsidR="00D86CED">
        <w:rPr>
          <w:rFonts w:ascii="Times New Roman" w:hAnsi="Times New Roman" w:cs="Times New Roman"/>
        </w:rPr>
        <w:t>)</w:t>
      </w:r>
      <w:r w:rsidR="00D86CED">
        <w:rPr>
          <w:rFonts w:ascii="Times New Roman" w:hAnsi="Times New Roman" w:cs="Times New Roman"/>
        </w:rPr>
        <w:t>.</w:t>
      </w:r>
    </w:p>
  </w:footnote>
  <w:footnote w:id="6">
    <w:p w:rsidR="003B48BD" w:rsidRPr="00496F6F" w:rsidP="003B48BD" w14:paraId="77CEFFCD" w14:textId="585E9923">
      <w:pPr>
        <w:rPr>
          <w:rFonts w:ascii="Times New Roman" w:hAnsi="Times New Roman"/>
          <w:szCs w:val="20"/>
        </w:rPr>
      </w:pPr>
      <w:r w:rsidRPr="00496F6F">
        <w:rPr>
          <w:rStyle w:val="FootnoteReference"/>
          <w:rFonts w:ascii="Times New Roman" w:hAnsi="Times New Roman"/>
          <w:vertAlign w:val="superscript"/>
        </w:rPr>
        <w:footnoteRef/>
      </w:r>
      <w:r w:rsidRPr="00496F6F">
        <w:rPr>
          <w:rFonts w:ascii="Times New Roman" w:hAnsi="Times New Roman"/>
        </w:rPr>
        <w:t xml:space="preserve"> </w:t>
      </w:r>
      <w:r w:rsidR="00CC6C37">
        <w:rPr>
          <w:rFonts w:ascii="Times New Roman" w:hAnsi="Times New Roman"/>
          <w:i/>
          <w:iCs/>
        </w:rPr>
        <w:t xml:space="preserve">See </w:t>
      </w:r>
      <w:r w:rsidRPr="00496F6F">
        <w:rPr>
          <w:rFonts w:ascii="Times New Roman" w:hAnsi="Times New Roman"/>
          <w:szCs w:val="20"/>
        </w:rPr>
        <w:t>Treasury Order 180-01 (</w:t>
      </w:r>
      <w:r w:rsidRPr="00496F6F">
        <w:rPr>
          <w:rFonts w:ascii="Times New Roman" w:hAnsi="Times New Roman"/>
          <w:i/>
          <w:szCs w:val="20"/>
        </w:rPr>
        <w:t>Reaffirmed</w:t>
      </w:r>
      <w:r w:rsidRPr="00496F6F">
        <w:rPr>
          <w:rFonts w:ascii="Times New Roman" w:hAnsi="Times New Roman"/>
          <w:szCs w:val="20"/>
        </w:rPr>
        <w:t xml:space="preserve"> Jan. 14, 2020); </w:t>
      </w:r>
      <w:r w:rsidRPr="00496F6F">
        <w:rPr>
          <w:rFonts w:ascii="Times New Roman" w:hAnsi="Times New Roman"/>
          <w:i/>
          <w:iCs/>
          <w:color w:val="000000"/>
          <w:szCs w:val="20"/>
        </w:rPr>
        <w:t xml:space="preserve">see also </w:t>
      </w:r>
      <w:r w:rsidRPr="00496F6F">
        <w:rPr>
          <w:rFonts w:ascii="Times New Roman" w:hAnsi="Times New Roman"/>
          <w:color w:val="000000"/>
          <w:szCs w:val="20"/>
        </w:rPr>
        <w:t>31 U.S.C. 310(b)(2)(I) (providing that the Director of FinCEN shall “[a]dminister the requirements of subchapter II of chapter 53 of this title, chapter 2 of title I of Public Law 91–508, and section 21 of the Federal Deposit Insurance</w:t>
      </w:r>
      <w:r w:rsidRPr="00496F6F" w:rsidR="00253091">
        <w:rPr>
          <w:rFonts w:ascii="Times New Roman" w:hAnsi="Times New Roman"/>
          <w:color w:val="000000"/>
          <w:szCs w:val="20"/>
        </w:rPr>
        <w:t xml:space="preserve"> (FDI)</w:t>
      </w:r>
      <w:r w:rsidRPr="00496F6F">
        <w:rPr>
          <w:rFonts w:ascii="Times New Roman" w:hAnsi="Times New Roman"/>
          <w:color w:val="000000"/>
          <w:szCs w:val="20"/>
        </w:rPr>
        <w:t xml:space="preserve"> Act, to the extent delegated such authority by the Secretary.”)</w:t>
      </w:r>
      <w:r w:rsidRPr="00496F6F">
        <w:rPr>
          <w:rFonts w:ascii="Times New Roman" w:hAnsi="Times New Roman"/>
          <w:szCs w:val="20"/>
        </w:rPr>
        <w:t>.</w:t>
      </w:r>
    </w:p>
  </w:footnote>
  <w:footnote w:id="7">
    <w:p w:rsidR="003B48BD" w:rsidRPr="00496F6F" w:rsidP="003B48BD" w14:paraId="5B386544" w14:textId="17331BA1">
      <w:pPr>
        <w:shd w:val="clear" w:color="auto" w:fill="FFFFFF"/>
        <w:rPr>
          <w:rFonts w:ascii="Times New Roman" w:hAnsi="Times New Roman"/>
          <w:szCs w:val="20"/>
        </w:rPr>
      </w:pPr>
      <w:r w:rsidRPr="00496F6F">
        <w:rPr>
          <w:rStyle w:val="FootnoteReference"/>
          <w:rFonts w:ascii="Times New Roman" w:hAnsi="Times New Roman"/>
          <w:szCs w:val="20"/>
          <w:vertAlign w:val="superscript"/>
        </w:rPr>
        <w:footnoteRef/>
      </w:r>
      <w:r w:rsidRPr="00496F6F">
        <w:rPr>
          <w:rFonts w:ascii="Times New Roman" w:hAnsi="Times New Roman"/>
          <w:szCs w:val="20"/>
          <w:vertAlign w:val="superscript"/>
        </w:rPr>
        <w:t xml:space="preserve"> </w:t>
      </w:r>
      <w:r w:rsidRPr="00496F6F">
        <w:rPr>
          <w:rFonts w:ascii="Times New Roman" w:hAnsi="Times New Roman"/>
          <w:szCs w:val="20"/>
        </w:rPr>
        <w:t>A covered financial institution is any financial institution described in subparagraphs (A) through (G) of 31 U.S.C. 5312(a)(2), including an insured bank, as defined in section 3(h) of the </w:t>
      </w:r>
      <w:hyperlink r:id="rId1" w:history="1">
        <w:r w:rsidRPr="00496F6F" w:rsidR="009521E0">
          <w:rPr>
            <w:rFonts w:ascii="Times New Roman" w:hAnsi="Times New Roman"/>
            <w:szCs w:val="20"/>
          </w:rPr>
          <w:t>FDI Act</w:t>
        </w:r>
      </w:hyperlink>
      <w:r w:rsidRPr="00496F6F">
        <w:rPr>
          <w:rFonts w:ascii="Times New Roman" w:hAnsi="Times New Roman"/>
          <w:szCs w:val="20"/>
        </w:rPr>
        <w:t> (</w:t>
      </w:r>
      <w:hyperlink r:id="rId2" w:anchor="h" w:history="1">
        <w:r w:rsidRPr="00496F6F">
          <w:rPr>
            <w:rFonts w:ascii="Times New Roman" w:hAnsi="Times New Roman"/>
            <w:szCs w:val="20"/>
          </w:rPr>
          <w:t>12 U.S.C. 1813(h)</w:t>
        </w:r>
      </w:hyperlink>
      <w:r w:rsidRPr="00496F6F">
        <w:rPr>
          <w:rFonts w:ascii="Times New Roman" w:hAnsi="Times New Roman"/>
          <w:szCs w:val="20"/>
        </w:rPr>
        <w:t>); a commercial bank or trust company; a private banker; an agency or branch of a foreign bank in the </w:t>
      </w:r>
      <w:hyperlink r:id="rId3" w:history="1">
        <w:r w:rsidRPr="00496F6F">
          <w:rPr>
            <w:rFonts w:ascii="Times New Roman" w:hAnsi="Times New Roman"/>
            <w:szCs w:val="20"/>
          </w:rPr>
          <w:t>United States</w:t>
        </w:r>
      </w:hyperlink>
      <w:r w:rsidRPr="00496F6F">
        <w:rPr>
          <w:rFonts w:ascii="Times New Roman" w:hAnsi="Times New Roman"/>
          <w:szCs w:val="20"/>
        </w:rPr>
        <w:t>; any credit union; a thrift institution; and a broker or dealer registered with the Securities and Exchange Commission (SEC) under the </w:t>
      </w:r>
      <w:hyperlink r:id="rId4" w:history="1">
        <w:r w:rsidRPr="00496F6F">
          <w:rPr>
            <w:rFonts w:ascii="Times New Roman" w:hAnsi="Times New Roman"/>
            <w:szCs w:val="20"/>
          </w:rPr>
          <w:t>Securities Exchange Act of 1934</w:t>
        </w:r>
      </w:hyperlink>
      <w:r w:rsidRPr="00496F6F">
        <w:rPr>
          <w:rFonts w:ascii="Times New Roman" w:hAnsi="Times New Roman"/>
          <w:szCs w:val="20"/>
        </w:rPr>
        <w:t> (</w:t>
      </w:r>
      <w:hyperlink r:id="rId5" w:history="1">
        <w:r w:rsidRPr="00496F6F">
          <w:rPr>
            <w:rFonts w:ascii="Times New Roman" w:hAnsi="Times New Roman"/>
            <w:szCs w:val="20"/>
          </w:rPr>
          <w:t>15 U.S.C. 78a</w:t>
        </w:r>
      </w:hyperlink>
      <w:r w:rsidRPr="00496F6F">
        <w:rPr>
          <w:rFonts w:ascii="Times New Roman" w:hAnsi="Times New Roman"/>
          <w:szCs w:val="20"/>
        </w:rPr>
        <w:t> et seq.).  31 U.S.C. 5318(j)(1).</w:t>
      </w:r>
    </w:p>
  </w:footnote>
  <w:footnote w:id="8">
    <w:p w:rsidR="3320454F" w:rsidRPr="00496F6F" w14:paraId="54D660EC" w14:textId="533F17BE">
      <w:pPr>
        <w:rPr>
          <w:rFonts w:ascii="Times New Roman" w:hAnsi="Times New Roman"/>
        </w:rPr>
      </w:pPr>
      <w:r w:rsidRPr="00496F6F">
        <w:rPr>
          <w:rFonts w:ascii="Times New Roman" w:hAnsi="Times New Roman"/>
          <w:vertAlign w:val="superscript"/>
        </w:rPr>
        <w:footnoteRef/>
      </w:r>
      <w:r w:rsidRPr="00496F6F">
        <w:rPr>
          <w:rFonts w:ascii="Times New Roman" w:hAnsi="Times New Roman"/>
        </w:rPr>
        <w:t xml:space="preserve"> 31 U.S.C. 5318(k)(3)(B). </w:t>
      </w:r>
      <w:r w:rsidR="006D187E">
        <w:rPr>
          <w:rFonts w:ascii="Times New Roman" w:hAnsi="Times New Roman"/>
        </w:rPr>
        <w:t xml:space="preserve"> </w:t>
      </w:r>
      <w:r w:rsidRPr="00496F6F">
        <w:rPr>
          <w:rFonts w:ascii="Times New Roman" w:hAnsi="Times New Roman"/>
        </w:rPr>
        <w:t xml:space="preserve">The AML Act amended the provision by including a reference to “record and beneficial” ownership and by indicating, with respect to agents for service of process, that </w:t>
      </w:r>
      <w:r w:rsidR="00850E55">
        <w:rPr>
          <w:rFonts w:ascii="Times New Roman" w:hAnsi="Times New Roman"/>
        </w:rPr>
        <w:t>process</w:t>
      </w:r>
      <w:r w:rsidRPr="00496F6F">
        <w:rPr>
          <w:rFonts w:ascii="Times New Roman" w:hAnsi="Times New Roman"/>
        </w:rPr>
        <w:t xml:space="preserve"> could involve records related to</w:t>
      </w:r>
      <w:r w:rsidR="00850E55">
        <w:rPr>
          <w:rFonts w:ascii="Times New Roman" w:hAnsi="Times New Roman"/>
        </w:rPr>
        <w:t xml:space="preserve"> either</w:t>
      </w:r>
      <w:r w:rsidRPr="00496F6F">
        <w:rPr>
          <w:rFonts w:ascii="Times New Roman" w:hAnsi="Times New Roman"/>
        </w:rPr>
        <w:t xml:space="preserve"> the correspondent account or accounts held at the foreign bank.</w:t>
      </w:r>
    </w:p>
  </w:footnote>
  <w:footnote w:id="9">
    <w:p w:rsidR="00D86CED" w:rsidRPr="00850E55" w14:paraId="6977E2AC" w14:textId="1DC47753">
      <w:pPr>
        <w:pStyle w:val="FootnoteText"/>
        <w:rPr>
          <w:rFonts w:ascii="Times New Roman" w:hAnsi="Times New Roman" w:cs="Times New Roman"/>
        </w:rPr>
      </w:pPr>
      <w:r w:rsidRPr="00587A2A">
        <w:rPr>
          <w:rStyle w:val="FootnoteReference"/>
          <w:rFonts w:ascii="Times New Roman" w:hAnsi="Times New Roman" w:cs="Times New Roman"/>
          <w:vertAlign w:val="superscript"/>
        </w:rPr>
        <w:footnoteRef/>
      </w:r>
      <w:r w:rsidRPr="00587A2A">
        <w:rPr>
          <w:rFonts w:ascii="Times New Roman" w:hAnsi="Times New Roman" w:cs="Times New Roman"/>
          <w:vertAlign w:val="superscript"/>
        </w:rPr>
        <w:t xml:space="preserve"> </w:t>
      </w:r>
      <w:r w:rsidRPr="00850E55">
        <w:rPr>
          <w:rFonts w:ascii="Times New Roman" w:hAnsi="Times New Roman" w:cs="Times New Roman"/>
        </w:rPr>
        <w:t>31 U.S.C. 5318(k)(3</w:t>
      </w:r>
      <w:r w:rsidR="006423DC">
        <w:rPr>
          <w:rFonts w:ascii="Times New Roman" w:hAnsi="Times New Roman" w:cs="Times New Roman"/>
        </w:rPr>
        <w:t>)</w:t>
      </w:r>
      <w:r w:rsidRPr="00850E55">
        <w:rPr>
          <w:rFonts w:ascii="Times New Roman" w:hAnsi="Times New Roman" w:cs="Times New Roman"/>
        </w:rPr>
        <w:t>(B)(ii).  The provision was added on January 1, 2021, through section 6308 of the AML Act.</w:t>
      </w:r>
    </w:p>
  </w:footnote>
  <w:footnote w:id="10">
    <w:p w:rsidR="003B48BD" w:rsidRPr="00496F6F" w:rsidP="003B48BD" w14:paraId="1D91BD0B" w14:textId="1ED1E67C">
      <w:pPr>
        <w:pStyle w:val="FootnoteText"/>
        <w:rPr>
          <w:rFonts w:ascii="Times New Roman" w:hAnsi="Times New Roman" w:cs="Times New Roman"/>
        </w:rPr>
      </w:pPr>
      <w:r w:rsidRPr="00496F6F">
        <w:rPr>
          <w:rStyle w:val="FootnoteReference"/>
          <w:rFonts w:ascii="Times New Roman" w:hAnsi="Times New Roman" w:cs="Times New Roman"/>
          <w:vertAlign w:val="superscript"/>
        </w:rPr>
        <w:footnoteRef/>
      </w:r>
      <w:r w:rsidRPr="00496F6F">
        <w:rPr>
          <w:rFonts w:ascii="Times New Roman" w:hAnsi="Times New Roman" w:cs="Times New Roman"/>
          <w:vertAlign w:val="superscript"/>
        </w:rPr>
        <w:t xml:space="preserve"> </w:t>
      </w:r>
      <w:r w:rsidRPr="00496F6F" w:rsidR="00201FB6">
        <w:rPr>
          <w:rFonts w:ascii="Times New Roman" w:hAnsi="Times New Roman" w:cs="Times New Roman"/>
        </w:rPr>
        <w:t>A</w:t>
      </w:r>
      <w:r w:rsidRPr="00496F6F">
        <w:rPr>
          <w:rFonts w:ascii="Times New Roman" w:hAnsi="Times New Roman" w:cs="Times New Roman"/>
          <w:shd w:val="clear" w:color="auto" w:fill="FFFFFF"/>
        </w:rPr>
        <w:t xml:space="preserve"> covered financial institution for purposes of  31 CFR 1010.630 is: (i) an insured bank (as defined in section 3(h) of the Federal Deposit Insurance Act (12 U.S.C. 1813(h))); (ii) a commercial bank or trust company; (iii) a private banker; (iv) an agency or branch of a foreign bank in the United States; (v) a credit union; (vi) a savings association; (vii) a corporation acting under section 25A of the Federal Reserve Act (12 U.S.C. 611 </w:t>
      </w:r>
      <w:r w:rsidRPr="00496F6F">
        <w:rPr>
          <w:rFonts w:ascii="Times New Roman" w:hAnsi="Times New Roman" w:cs="Times New Roman"/>
          <w:i/>
          <w:shd w:val="clear" w:color="auto" w:fill="FFFFFF"/>
        </w:rPr>
        <w:t>et seq</w:t>
      </w:r>
      <w:r w:rsidRPr="00496F6F">
        <w:rPr>
          <w:rFonts w:ascii="Times New Roman" w:hAnsi="Times New Roman" w:cs="Times New Roman"/>
          <w:shd w:val="clear" w:color="auto" w:fill="FFFFFF"/>
        </w:rPr>
        <w:t xml:space="preserve">.); and (viii) a broker or dealer in securities registered, or required to be registered, with the SEC under the Securities Exchange Act of 1934 (15 U.S.C. 78a, </w:t>
      </w:r>
      <w:r w:rsidRPr="00496F6F">
        <w:rPr>
          <w:rFonts w:ascii="Times New Roman" w:hAnsi="Times New Roman" w:cs="Times New Roman"/>
          <w:i/>
          <w:shd w:val="clear" w:color="auto" w:fill="FFFFFF"/>
        </w:rPr>
        <w:t>et seq</w:t>
      </w:r>
      <w:r w:rsidRPr="00496F6F">
        <w:rPr>
          <w:rFonts w:ascii="Times New Roman" w:hAnsi="Times New Roman" w:cs="Times New Roman"/>
          <w:shd w:val="clear" w:color="auto" w:fill="FFFFFF"/>
        </w:rPr>
        <w:t>.), except persons who register pursuant to section 15(b)(11) of the Securities Exchange Act of 1934.  31 CFR 1010.605(e)(2).</w:t>
      </w:r>
    </w:p>
  </w:footnote>
  <w:footnote w:id="11">
    <w:p w:rsidR="003B48BD" w:rsidRPr="00496F6F" w:rsidP="003B48BD" w14:paraId="7B0E1294" w14:textId="77777777">
      <w:pPr>
        <w:pStyle w:val="FootnoteText"/>
        <w:rPr>
          <w:rFonts w:ascii="Times New Roman" w:hAnsi="Times New Roman" w:cs="Times New Roman"/>
        </w:rPr>
      </w:pPr>
      <w:r w:rsidRPr="00496F6F">
        <w:rPr>
          <w:rStyle w:val="FootnoteReference"/>
          <w:rFonts w:ascii="Times New Roman" w:hAnsi="Times New Roman" w:cs="Times New Roman"/>
          <w:vertAlign w:val="superscript"/>
        </w:rPr>
        <w:footnoteRef/>
      </w:r>
      <w:r w:rsidRPr="00496F6F">
        <w:rPr>
          <w:rFonts w:ascii="Times New Roman" w:hAnsi="Times New Roman" w:cs="Times New Roman"/>
        </w:rPr>
        <w:t xml:space="preserve"> For purposes of 31 CFR 1010.630, a correspondent account is defined as an account established for a foreign bank to receive deposits from, or to make payments or other disbursements on behalf of, the foreign bank, or to handle other financial transactions related to such foreign bank.  31 CFR 1010.605(c)(1)(ii).  </w:t>
      </w:r>
    </w:p>
  </w:footnote>
  <w:footnote w:id="12">
    <w:p w:rsidR="003B48BD" w:rsidRPr="00496F6F" w:rsidP="003B48BD" w14:paraId="65EBB1D2" w14:textId="77777777">
      <w:pPr>
        <w:pStyle w:val="FootnoteText"/>
        <w:rPr>
          <w:rFonts w:ascii="Times New Roman" w:hAnsi="Times New Roman" w:cs="Times New Roman"/>
        </w:rPr>
      </w:pPr>
      <w:r w:rsidRPr="00496F6F">
        <w:rPr>
          <w:rStyle w:val="FootnoteReference"/>
          <w:rFonts w:ascii="Times New Roman" w:hAnsi="Times New Roman" w:cs="Times New Roman"/>
          <w:vertAlign w:val="superscript"/>
        </w:rPr>
        <w:footnoteRef/>
      </w:r>
      <w:r w:rsidRPr="00496F6F">
        <w:rPr>
          <w:rFonts w:ascii="Times New Roman" w:hAnsi="Times New Roman" w:cs="Times New Roman"/>
        </w:rPr>
        <w:t xml:space="preserve"> </w:t>
      </w:r>
      <w:r w:rsidRPr="00496F6F">
        <w:rPr>
          <w:rStyle w:val="Emphasis"/>
          <w:rFonts w:ascii="Times New Roman" w:hAnsi="Times New Roman" w:cs="Times New Roman"/>
          <w:bCs/>
          <w:i w:val="0"/>
        </w:rPr>
        <w:t>Foreign shell bank</w:t>
      </w:r>
      <w:r w:rsidRPr="00496F6F">
        <w:rPr>
          <w:rFonts w:ascii="Times New Roman" w:hAnsi="Times New Roman" w:cs="Times New Roman"/>
        </w:rPr>
        <w:t xml:space="preserve"> means a foreign bank without a physical presence in any country.  31 CFR 1010.605(g).</w:t>
      </w:r>
    </w:p>
  </w:footnote>
  <w:footnote w:id="13">
    <w:p w:rsidR="003B48BD" w:rsidRPr="00496F6F" w:rsidP="003B48BD" w14:paraId="1E11C173" w14:textId="77777777">
      <w:pPr>
        <w:pStyle w:val="FootnoteText"/>
        <w:rPr>
          <w:rFonts w:ascii="Times New Roman" w:hAnsi="Times New Roman" w:cs="Times New Roman"/>
        </w:rPr>
      </w:pPr>
      <w:r w:rsidRPr="00496F6F">
        <w:rPr>
          <w:rStyle w:val="FootnoteReference"/>
          <w:rFonts w:ascii="Times New Roman" w:hAnsi="Times New Roman" w:cs="Times New Roman"/>
          <w:vertAlign w:val="superscript"/>
        </w:rPr>
        <w:footnoteRef/>
      </w:r>
      <w:r w:rsidRPr="00496F6F">
        <w:rPr>
          <w:rFonts w:ascii="Times New Roman" w:hAnsi="Times New Roman" w:cs="Times New Roman"/>
        </w:rPr>
        <w:t xml:space="preserve"> A foreign bank is defined as a bank organized under foreign law, or an agency, branch or office located outside the United States of a bank. The term does not include an agent, agency, branch or office within the United States of a bank organized under foreign law.  31 CFR 1010.100(u).</w:t>
      </w:r>
    </w:p>
  </w:footnote>
  <w:footnote w:id="14">
    <w:p w:rsidR="003B48BD" w:rsidRPr="00496F6F" w:rsidP="003B48BD" w14:paraId="2A370B6E" w14:textId="25547B97">
      <w:pPr>
        <w:pStyle w:val="FootnoteText"/>
        <w:rPr>
          <w:rFonts w:ascii="Times New Roman" w:hAnsi="Times New Roman" w:cs="Times New Roman"/>
        </w:rPr>
      </w:pPr>
      <w:r w:rsidRPr="00496F6F">
        <w:rPr>
          <w:rStyle w:val="FootnoteReference"/>
          <w:rFonts w:ascii="Times New Roman" w:hAnsi="Times New Roman" w:cs="Times New Roman"/>
          <w:vertAlign w:val="superscript"/>
        </w:rPr>
        <w:footnoteRef/>
      </w:r>
      <w:r w:rsidRPr="00496F6F" w:rsidR="3320454F">
        <w:rPr>
          <w:rFonts w:ascii="Times New Roman" w:hAnsi="Times New Roman" w:cs="Times New Roman"/>
        </w:rPr>
        <w:t xml:space="preserve"> Covered financial institutions are not prohibited from providing correspondent accounts or banking services to foreign shell banks that qualify as </w:t>
      </w:r>
      <w:r w:rsidRPr="00496F6F" w:rsidR="00EC0D5A">
        <w:rPr>
          <w:rFonts w:ascii="Times New Roman" w:hAnsi="Times New Roman" w:cs="Times New Roman"/>
        </w:rPr>
        <w:t>“</w:t>
      </w:r>
      <w:r w:rsidRPr="00496F6F" w:rsidR="3320454F">
        <w:rPr>
          <w:rFonts w:ascii="Times New Roman" w:hAnsi="Times New Roman" w:cs="Times New Roman"/>
        </w:rPr>
        <w:t>regulated affiliates</w:t>
      </w:r>
      <w:r w:rsidRPr="00496F6F" w:rsidR="00EC0D5A">
        <w:rPr>
          <w:rFonts w:ascii="Times New Roman" w:hAnsi="Times New Roman" w:cs="Times New Roman"/>
        </w:rPr>
        <w:t>.”</w:t>
      </w:r>
      <w:r w:rsidRPr="00496F6F" w:rsidR="3320454F">
        <w:rPr>
          <w:rFonts w:ascii="Times New Roman" w:hAnsi="Times New Roman" w:cs="Times New Roman"/>
        </w:rPr>
        <w:t xml:space="preserve">  31 CFR 1010.630(a)(1)(iii).</w:t>
      </w:r>
    </w:p>
  </w:footnote>
  <w:footnote w:id="15">
    <w:p w:rsidR="3320454F" w:rsidRPr="00496F6F" w:rsidP="3320454F" w14:paraId="74DAF552" w14:textId="288D856C">
      <w:pPr>
        <w:rPr>
          <w:rFonts w:ascii="Times New Roman" w:hAnsi="Times New Roman"/>
        </w:rPr>
      </w:pPr>
      <w:r w:rsidRPr="00496F6F">
        <w:rPr>
          <w:rFonts w:ascii="Times New Roman" w:hAnsi="Times New Roman"/>
          <w:vertAlign w:val="superscript"/>
        </w:rPr>
        <w:footnoteRef/>
      </w:r>
      <w:r w:rsidRPr="00496F6F">
        <w:rPr>
          <w:rFonts w:ascii="Times New Roman" w:hAnsi="Times New Roman"/>
          <w:vertAlign w:val="superscript"/>
        </w:rPr>
        <w:t xml:space="preserve"> </w:t>
      </w:r>
      <w:r w:rsidRPr="00496F6F" w:rsidR="005532AE">
        <w:rPr>
          <w:rFonts w:ascii="Times New Roman" w:hAnsi="Times New Roman"/>
        </w:rPr>
        <w:t>“</w:t>
      </w:r>
      <w:r w:rsidRPr="00496F6F">
        <w:rPr>
          <w:rFonts w:ascii="Times New Roman" w:hAnsi="Times New Roman"/>
        </w:rPr>
        <w:t>Owner</w:t>
      </w:r>
      <w:r w:rsidRPr="00496F6F" w:rsidR="005532AE">
        <w:rPr>
          <w:rFonts w:ascii="Times New Roman" w:hAnsi="Times New Roman"/>
        </w:rPr>
        <w:t xml:space="preserve">” </w:t>
      </w:r>
      <w:r w:rsidRPr="00496F6F">
        <w:rPr>
          <w:rFonts w:ascii="Times New Roman" w:hAnsi="Times New Roman"/>
        </w:rPr>
        <w:t>is defined at 31 CFR 1010.605(j) as any person who, directly or indirectly, owns, controls, or has the power to vote 25 percent or more of any class of voting securities or other voting interests of a foreign bank, or controls in any manner the election of a majority of the directors (or individuals exercising similar functions) of a foreign bank.</w:t>
      </w:r>
    </w:p>
  </w:footnote>
  <w:footnote w:id="16">
    <w:p w:rsidR="003B48BD" w:rsidRPr="00496F6F" w:rsidP="003B48BD" w14:paraId="1CBE4CB6" w14:textId="77777777">
      <w:pPr>
        <w:pStyle w:val="FootnoteText"/>
        <w:rPr>
          <w:rFonts w:ascii="Times New Roman" w:hAnsi="Times New Roman" w:cs="Times New Roman"/>
        </w:rPr>
      </w:pPr>
      <w:r w:rsidRPr="00496F6F">
        <w:rPr>
          <w:rStyle w:val="FootnoteReference"/>
          <w:rFonts w:ascii="Times New Roman" w:hAnsi="Times New Roman" w:cs="Times New Roman"/>
          <w:vertAlign w:val="superscript"/>
        </w:rPr>
        <w:footnoteRef/>
      </w:r>
      <w:r w:rsidRPr="00496F6F">
        <w:rPr>
          <w:rFonts w:ascii="Times New Roman" w:hAnsi="Times New Roman" w:cs="Times New Roman"/>
          <w:vertAlign w:val="superscript"/>
        </w:rPr>
        <w:t xml:space="preserve"> </w:t>
      </w:r>
      <w:r w:rsidRPr="00496F6F">
        <w:rPr>
          <w:rFonts w:ascii="Times New Roman" w:hAnsi="Times New Roman" w:cs="Times New Roman"/>
        </w:rPr>
        <w:t>The phrase “</w:t>
      </w:r>
      <w:r w:rsidRPr="00496F6F">
        <w:rPr>
          <w:rStyle w:val="Emphasis"/>
          <w:rFonts w:ascii="Times New Roman" w:hAnsi="Times New Roman" w:cs="Times New Roman"/>
          <w:i w:val="0"/>
        </w:rPr>
        <w:t>publicly traded”</w:t>
      </w:r>
      <w:r w:rsidRPr="00496F6F">
        <w:rPr>
          <w:rFonts w:ascii="Times New Roman" w:hAnsi="Times New Roman" w:cs="Times New Roman"/>
        </w:rPr>
        <w:t xml:space="preserve"> refers to shares that are traded on an exchange or on an organized over-the-counter market that is regulated by a “foreign securities authority” as defined in section 3(a)(50) of the Securities Exchange Act of 1934 (15 U.S.C. 78C(a)(50)).  31 CFR 1010.630(a)(2)(iii).</w:t>
      </w:r>
    </w:p>
  </w:footnote>
  <w:footnote w:id="17">
    <w:p w:rsidR="003B48BD" w:rsidRPr="00496F6F" w:rsidP="003B48BD" w14:paraId="4B919C1C" w14:textId="77777777">
      <w:pPr>
        <w:pStyle w:val="FootnoteText"/>
        <w:rPr>
          <w:rFonts w:ascii="Times New Roman" w:hAnsi="Times New Roman" w:cs="Times New Roman"/>
        </w:rPr>
      </w:pPr>
      <w:r w:rsidRPr="00496F6F">
        <w:rPr>
          <w:rStyle w:val="FootnoteReference"/>
          <w:rFonts w:ascii="Times New Roman" w:hAnsi="Times New Roman" w:cs="Times New Roman"/>
          <w:vertAlign w:val="superscript"/>
        </w:rPr>
        <w:footnoteRef/>
      </w:r>
      <w:r w:rsidRPr="00496F6F">
        <w:rPr>
          <w:rFonts w:ascii="Times New Roman" w:hAnsi="Times New Roman" w:cs="Times New Roman"/>
        </w:rPr>
        <w:t xml:space="preserve"> 31 CFR 1010.630(2)(ii).</w:t>
      </w:r>
    </w:p>
  </w:footnote>
  <w:footnote w:id="18">
    <w:p w:rsidR="007D5D3B" w:rsidRPr="00496F6F" w:rsidP="003B48BD" w14:paraId="2E8CF17E" w14:textId="2A2296BE">
      <w:pPr>
        <w:pStyle w:val="FootnoteText"/>
        <w:rPr>
          <w:rFonts w:ascii="Times New Roman" w:hAnsi="Times New Roman" w:cs="Times New Roman"/>
        </w:rPr>
      </w:pPr>
      <w:r w:rsidRPr="00496F6F">
        <w:rPr>
          <w:rStyle w:val="FootnoteReference"/>
          <w:rFonts w:ascii="Times New Roman" w:hAnsi="Times New Roman" w:cs="Times New Roman"/>
          <w:vertAlign w:val="superscript"/>
        </w:rPr>
        <w:footnoteRef/>
      </w:r>
      <w:r w:rsidRPr="00496F6F" w:rsidR="6AB3309C">
        <w:rPr>
          <w:rFonts w:ascii="Times New Roman" w:hAnsi="Times New Roman" w:cs="Times New Roman"/>
        </w:rPr>
        <w:t xml:space="preserve"> </w:t>
      </w:r>
      <w:r w:rsidRPr="001225AF" w:rsidR="6AB3309C">
        <w:rPr>
          <w:rFonts w:ascii="Times New Roman" w:hAnsi="Times New Roman" w:cs="Times New Roman"/>
          <w:i/>
          <w:iCs/>
        </w:rPr>
        <w:t>See</w:t>
      </w:r>
      <w:r w:rsidRPr="00496F6F" w:rsidR="6AB3309C">
        <w:rPr>
          <w:rFonts w:ascii="Times New Roman" w:hAnsi="Times New Roman" w:cs="Times New Roman"/>
        </w:rPr>
        <w:t xml:space="preserve"> </w:t>
      </w:r>
      <w:r w:rsidR="00760DF3">
        <w:rPr>
          <w:rFonts w:ascii="Times New Roman" w:hAnsi="Times New Roman" w:cs="Times New Roman"/>
        </w:rPr>
        <w:t>“</w:t>
      </w:r>
      <w:r w:rsidRPr="00496F6F" w:rsidR="6AB3309C">
        <w:rPr>
          <w:rFonts w:ascii="Times New Roman" w:hAnsi="Times New Roman" w:cs="Times New Roman"/>
        </w:rPr>
        <w:t>Certification Regarding Correspondent Accounts for Foreign Banks,</w:t>
      </w:r>
      <w:r w:rsidR="00760DF3">
        <w:rPr>
          <w:rFonts w:ascii="Times New Roman" w:hAnsi="Times New Roman" w:cs="Times New Roman"/>
        </w:rPr>
        <w:t>”</w:t>
      </w:r>
      <w:r w:rsidR="00CC6C37">
        <w:rPr>
          <w:rFonts w:ascii="Times New Roman" w:hAnsi="Times New Roman" w:cs="Times New Roman"/>
        </w:rPr>
        <w:t xml:space="preserve"> Office of Management and Budget (</w:t>
      </w:r>
      <w:r w:rsidRPr="00496F6F" w:rsidR="6AB3309C">
        <w:rPr>
          <w:rFonts w:ascii="Times New Roman" w:hAnsi="Times New Roman" w:cs="Times New Roman"/>
        </w:rPr>
        <w:t>OMB</w:t>
      </w:r>
      <w:r w:rsidR="00CC6C37">
        <w:rPr>
          <w:rFonts w:ascii="Times New Roman" w:hAnsi="Times New Roman" w:cs="Times New Roman"/>
        </w:rPr>
        <w:t>)</w:t>
      </w:r>
      <w:r w:rsidRPr="00496F6F" w:rsidR="6AB3309C">
        <w:rPr>
          <w:rFonts w:ascii="Times New Roman" w:hAnsi="Times New Roman" w:cs="Times New Roman"/>
        </w:rPr>
        <w:t xml:space="preserve"> Control Number 1506–0043, </w:t>
      </w:r>
      <w:hyperlink r:id="rId6" w:history="1">
        <w:r w:rsidRPr="00496F6F">
          <w:rPr>
            <w:rStyle w:val="Hyperlink"/>
            <w:rFonts w:ascii="Times New Roman" w:hAnsi="Times New Roman" w:cs="Times New Roman"/>
          </w:rPr>
          <w:t>https://www.fincen.gov/sites/default/files/shared/Certification%20Regarding%20Correspondent%20Accounts%20for%20Foreign%20Banks.pdf</w:t>
        </w:r>
      </w:hyperlink>
      <w:r w:rsidRPr="00496F6F">
        <w:rPr>
          <w:rFonts w:ascii="Times New Roman" w:hAnsi="Times New Roman" w:cs="Times New Roman"/>
        </w:rPr>
        <w:t>.</w:t>
      </w:r>
    </w:p>
  </w:footnote>
  <w:footnote w:id="19">
    <w:p w:rsidR="003B48BD" w:rsidRPr="00496F6F" w:rsidP="003B48BD" w14:paraId="34EA35B5" w14:textId="77777777">
      <w:pPr>
        <w:pStyle w:val="FootnoteText"/>
        <w:rPr>
          <w:rFonts w:ascii="Times New Roman" w:hAnsi="Times New Roman" w:cs="Times New Roman"/>
        </w:rPr>
      </w:pPr>
      <w:r w:rsidRPr="00496F6F">
        <w:rPr>
          <w:rStyle w:val="FootnoteReference"/>
          <w:rFonts w:ascii="Times New Roman" w:hAnsi="Times New Roman" w:cs="Times New Roman"/>
          <w:vertAlign w:val="superscript"/>
        </w:rPr>
        <w:footnoteRef/>
      </w:r>
      <w:r w:rsidRPr="00496F6F">
        <w:rPr>
          <w:rFonts w:ascii="Times New Roman" w:hAnsi="Times New Roman" w:cs="Times New Roman"/>
          <w:vertAlign w:val="superscript"/>
        </w:rPr>
        <w:t xml:space="preserve"> </w:t>
      </w:r>
      <w:r w:rsidRPr="00496F6F">
        <w:rPr>
          <w:rFonts w:ascii="Times New Roman" w:eastAsia="MS Mincho" w:hAnsi="Times New Roman" w:cs="Times New Roman"/>
          <w:bCs/>
        </w:rPr>
        <w:t>31 CFR 1010.630(d)(2).</w:t>
      </w:r>
    </w:p>
  </w:footnote>
  <w:footnote w:id="20">
    <w:p w:rsidR="003B48BD" w:rsidRPr="00496F6F" w:rsidP="003B48BD" w14:paraId="181B2936" w14:textId="77777777">
      <w:pPr>
        <w:pStyle w:val="FootnoteText"/>
        <w:rPr>
          <w:rFonts w:ascii="Times New Roman" w:hAnsi="Times New Roman" w:cs="Times New Roman"/>
        </w:rPr>
      </w:pPr>
      <w:r w:rsidRPr="00496F6F">
        <w:rPr>
          <w:rStyle w:val="FootnoteReference"/>
          <w:rFonts w:ascii="Times New Roman" w:hAnsi="Times New Roman" w:cs="Times New Roman"/>
          <w:vertAlign w:val="superscript"/>
        </w:rPr>
        <w:footnoteRef/>
      </w:r>
      <w:r w:rsidRPr="00496F6F">
        <w:rPr>
          <w:rFonts w:ascii="Times New Roman" w:hAnsi="Times New Roman" w:cs="Times New Roman"/>
          <w:vertAlign w:val="superscript"/>
        </w:rPr>
        <w:t xml:space="preserve"> </w:t>
      </w:r>
      <w:hyperlink r:id="rId7" w:anchor="p-1010.630(d)(3)" w:history="1">
        <w:r w:rsidRPr="00496F6F">
          <w:rPr>
            <w:rStyle w:val="Hyperlink"/>
            <w:rFonts w:ascii="Times New Roman" w:eastAsia="MS Mincho" w:hAnsi="Times New Roman" w:cs="Times New Roman"/>
            <w:bCs/>
            <w:color w:val="auto"/>
            <w:u w:val="none"/>
          </w:rPr>
          <w:t>31 CFR 1010.630(d)(3)</w:t>
        </w:r>
      </w:hyperlink>
      <w:r w:rsidRPr="00496F6F">
        <w:rPr>
          <w:rStyle w:val="Hyperlink"/>
          <w:rFonts w:ascii="Times New Roman" w:eastAsia="MS Mincho" w:hAnsi="Times New Roman" w:cs="Times New Roman"/>
          <w:bCs/>
          <w:color w:val="auto"/>
          <w:u w:val="none"/>
        </w:rPr>
        <w:t>.</w:t>
      </w:r>
    </w:p>
  </w:footnote>
  <w:footnote w:id="21">
    <w:p w:rsidR="002A6790" w:rsidRPr="00496F6F" w14:paraId="37557352" w14:textId="373F65F3">
      <w:pPr>
        <w:pStyle w:val="FootnoteText"/>
        <w:rPr>
          <w:rFonts w:ascii="Times New Roman" w:hAnsi="Times New Roman" w:cs="Times New Roman"/>
        </w:rPr>
      </w:pPr>
      <w:r w:rsidRPr="00496F6F">
        <w:rPr>
          <w:rStyle w:val="FootnoteReference"/>
          <w:rFonts w:ascii="Times New Roman" w:hAnsi="Times New Roman" w:cs="Times New Roman"/>
          <w:vertAlign w:val="superscript"/>
        </w:rPr>
        <w:footnoteRef/>
      </w:r>
      <w:r w:rsidRPr="00496F6F">
        <w:rPr>
          <w:rFonts w:ascii="Times New Roman" w:hAnsi="Times New Roman" w:cs="Times New Roman"/>
          <w:vertAlign w:val="superscript"/>
        </w:rPr>
        <w:t xml:space="preserve"> </w:t>
      </w:r>
      <w:r w:rsidRPr="00496F6F">
        <w:rPr>
          <w:rFonts w:ascii="Times New Roman" w:hAnsi="Times New Roman" w:cs="Times New Roman"/>
          <w:i/>
          <w:iCs/>
        </w:rPr>
        <w:t>See supra</w:t>
      </w:r>
      <w:r w:rsidRPr="00496F6F">
        <w:rPr>
          <w:rFonts w:ascii="Times New Roman" w:hAnsi="Times New Roman" w:cs="Times New Roman"/>
        </w:rPr>
        <w:t xml:space="preserve"> note 1</w:t>
      </w:r>
      <w:r w:rsidR="00BA4CB8">
        <w:rPr>
          <w:rFonts w:ascii="Times New Roman" w:hAnsi="Times New Roman" w:cs="Times New Roman"/>
        </w:rPr>
        <w:t>6</w:t>
      </w:r>
      <w:r w:rsidRPr="00496F6F">
        <w:rPr>
          <w:rFonts w:ascii="Times New Roman" w:hAnsi="Times New Roman" w:cs="Times New Roman"/>
        </w:rPr>
        <w:t>.</w:t>
      </w:r>
    </w:p>
  </w:footnote>
  <w:footnote w:id="22">
    <w:p w:rsidR="005320D9" w:rsidRPr="008015B0" w:rsidP="005320D9" w14:paraId="76F6EE92" w14:textId="37546BB9">
      <w:pPr>
        <w:pStyle w:val="FootnoteText"/>
        <w:rPr>
          <w:rFonts w:ascii="Times New Roman" w:hAnsi="Times New Roman" w:cs="Times New Roman"/>
        </w:rPr>
      </w:pPr>
      <w:r w:rsidRPr="00496F6F">
        <w:rPr>
          <w:rStyle w:val="FootnoteReference"/>
          <w:rFonts w:ascii="Times New Roman" w:hAnsi="Times New Roman" w:cs="Times New Roman"/>
          <w:vertAlign w:val="superscript"/>
        </w:rPr>
        <w:footnoteRef/>
      </w:r>
      <w:r w:rsidRPr="00496F6F">
        <w:rPr>
          <w:rFonts w:ascii="Times New Roman" w:hAnsi="Times New Roman" w:cs="Times New Roman"/>
        </w:rPr>
        <w:t xml:space="preserve"> </w:t>
      </w:r>
      <w:r w:rsidRPr="00496F6F" w:rsidR="005829E0">
        <w:rPr>
          <w:rFonts w:ascii="Times New Roman" w:hAnsi="Times New Roman" w:cs="Times New Roman"/>
          <w:i/>
          <w:iCs/>
        </w:rPr>
        <w:t xml:space="preserve">See </w:t>
      </w:r>
      <w:r w:rsidRPr="00496F6F" w:rsidR="005829E0">
        <w:rPr>
          <w:rFonts w:ascii="Times New Roman" w:hAnsi="Times New Roman" w:cs="Times New Roman"/>
        </w:rPr>
        <w:t xml:space="preserve">FinCEN, </w:t>
      </w:r>
      <w:hyperlink r:id="rId8" w:history="1">
        <w:r w:rsidRPr="008015B0" w:rsidR="00C210CB">
          <w:rPr>
            <w:rStyle w:val="Hyperlink"/>
            <w:rFonts w:ascii="Times New Roman" w:hAnsi="Times New Roman" w:cs="Times New Roman"/>
            <w:i/>
          </w:rPr>
          <w:t xml:space="preserve">Agency Information Collection Activities; Proposed Renewal; Comment Request; Renewal Without Change of </w:t>
        </w:r>
        <w:r w:rsidRPr="008015B0" w:rsidR="00497175">
          <w:rPr>
            <w:rStyle w:val="Hyperlink"/>
            <w:rFonts w:ascii="Times New Roman" w:hAnsi="Times New Roman" w:cs="Times New Roman"/>
            <w:i/>
          </w:rPr>
          <w:t>Prohibition on Correspondent Accounts for Foreign Shell Banks; Records Con</w:t>
        </w:r>
        <w:r w:rsidRPr="008015B0" w:rsidR="00EE69A6">
          <w:rPr>
            <w:rStyle w:val="Hyperlink"/>
            <w:rFonts w:ascii="Times New Roman" w:hAnsi="Times New Roman" w:cs="Times New Roman"/>
            <w:i/>
          </w:rPr>
          <w:t>cerning Owners of Foreign Bank and Agents for Service of Legal Process</w:t>
        </w:r>
      </w:hyperlink>
      <w:r w:rsidRPr="008015B0" w:rsidR="00EE69A6">
        <w:rPr>
          <w:rFonts w:ascii="Times New Roman" w:hAnsi="Times New Roman" w:cs="Times New Roman"/>
        </w:rPr>
        <w:t>,</w:t>
      </w:r>
      <w:r w:rsidRPr="008015B0" w:rsidR="00F12CB0">
        <w:rPr>
          <w:rFonts w:ascii="Times New Roman" w:hAnsi="Times New Roman" w:cs="Times New Roman"/>
        </w:rPr>
        <w:t xml:space="preserve"> </w:t>
      </w:r>
      <w:r w:rsidRPr="00675D56" w:rsidR="006C1323">
        <w:rPr>
          <w:rFonts w:ascii="Times New Roman" w:hAnsi="Times New Roman" w:cs="Times New Roman"/>
        </w:rPr>
        <w:t>90 FR 21987</w:t>
      </w:r>
      <w:r w:rsidRPr="008015B0" w:rsidR="00655368">
        <w:rPr>
          <w:rFonts w:ascii="Times New Roman" w:hAnsi="Times New Roman" w:cs="Times New Roman"/>
        </w:rPr>
        <w:t xml:space="preserve"> (May </w:t>
      </w:r>
      <w:r w:rsidRPr="008015B0" w:rsidR="003B4868">
        <w:rPr>
          <w:rFonts w:ascii="Times New Roman" w:hAnsi="Times New Roman" w:cs="Times New Roman"/>
        </w:rPr>
        <w:t>22</w:t>
      </w:r>
      <w:r w:rsidRPr="008015B0" w:rsidR="00655368">
        <w:rPr>
          <w:rFonts w:ascii="Times New Roman" w:hAnsi="Times New Roman" w:cs="Times New Roman"/>
        </w:rPr>
        <w:t>, 2025).</w:t>
      </w:r>
      <w:r w:rsidRPr="008015B0" w:rsidR="00264F4B">
        <w:rPr>
          <w:rFonts w:ascii="Times New Roman" w:hAnsi="Times New Roman" w:cs="Times New Roman"/>
        </w:rPr>
        <w:t xml:space="preserve">  </w:t>
      </w:r>
      <w:r w:rsidRPr="008015B0" w:rsidR="00264F4B">
        <w:rPr>
          <w:rFonts w:ascii="Times New Roman" w:hAnsi="Times New Roman" w:cs="Times New Roman"/>
          <w:iCs/>
        </w:rPr>
        <w:t xml:space="preserve">The comments can be found on </w:t>
      </w:r>
      <w:hyperlink r:id="rId9" w:history="1">
        <w:r w:rsidRPr="008015B0" w:rsidR="00264F4B">
          <w:rPr>
            <w:rStyle w:val="Hyperlink"/>
            <w:rFonts w:ascii="Times New Roman" w:hAnsi="Times New Roman" w:cs="Times New Roman"/>
            <w:iCs/>
          </w:rPr>
          <w:t>www.regulations.gov</w:t>
        </w:r>
      </w:hyperlink>
      <w:r w:rsidRPr="008015B0" w:rsidR="00264F4B">
        <w:rPr>
          <w:rFonts w:ascii="Times New Roman" w:hAnsi="Times New Roman" w:cs="Times New Roman"/>
          <w:iCs/>
        </w:rPr>
        <w:t xml:space="preserve"> under </w:t>
      </w:r>
      <w:hyperlink r:id="rId10" w:history="1">
        <w:r w:rsidRPr="008015B0" w:rsidR="00264F4B">
          <w:rPr>
            <w:rStyle w:val="Hyperlink"/>
            <w:rFonts w:ascii="Times New Roman" w:hAnsi="Times New Roman" w:cs="Times New Roman"/>
            <w:iCs/>
          </w:rPr>
          <w:t>docket number FINCEN-2025-0005 and OMB control number 1506-0043</w:t>
        </w:r>
      </w:hyperlink>
      <w:r w:rsidRPr="008015B0" w:rsidR="00264F4B">
        <w:rPr>
          <w:rFonts w:ascii="Times New Roman" w:hAnsi="Times New Roman" w:cs="Times New Roman"/>
          <w:iCs/>
        </w:rPr>
        <w:t>.</w:t>
      </w:r>
    </w:p>
  </w:footnote>
  <w:footnote w:id="23">
    <w:p w:rsidR="009B0659" w:rsidRPr="008015B0" w:rsidP="009B0659" w14:paraId="4D698385" w14:textId="13B805A2">
      <w:pPr>
        <w:pStyle w:val="FootnoteText"/>
        <w:rPr>
          <w:rFonts w:ascii="Times New Roman" w:hAnsi="Times New Roman" w:cs="Times New Roman"/>
          <w:b/>
        </w:rPr>
      </w:pPr>
      <w:r w:rsidRPr="008015B0">
        <w:rPr>
          <w:rStyle w:val="FootnoteReference"/>
          <w:rFonts w:ascii="Times New Roman" w:hAnsi="Times New Roman" w:eastAsiaTheme="majorEastAsia" w:cs="Times New Roman"/>
          <w:vertAlign w:val="superscript"/>
        </w:rPr>
        <w:footnoteRef/>
      </w:r>
      <w:r w:rsidRPr="008015B0">
        <w:rPr>
          <w:rFonts w:ascii="Times New Roman" w:hAnsi="Times New Roman" w:cs="Times New Roman"/>
        </w:rPr>
        <w:t xml:space="preserve"> FinCEN, </w:t>
      </w:r>
      <w:hyperlink r:id="rId11" w:history="1">
        <w:r w:rsidRPr="008015B0">
          <w:rPr>
            <w:rStyle w:val="Hyperlink"/>
            <w:rFonts w:ascii="Times New Roman" w:hAnsi="Times New Roman" w:cs="Times New Roman"/>
            <w:i/>
            <w:iCs/>
          </w:rPr>
          <w:t>Privacy Act of 1974, as Amended; System of Records Notice (FinCEN .002 - Suspicious Activity Report System)</w:t>
        </w:r>
      </w:hyperlink>
      <w:r w:rsidRPr="008015B0">
        <w:rPr>
          <w:rFonts w:ascii="Times New Roman" w:hAnsi="Times New Roman" w:cs="Times New Roman"/>
        </w:rPr>
        <w:t xml:space="preserve">, </w:t>
      </w:r>
      <w:r w:rsidRPr="00675D56" w:rsidR="006C1323">
        <w:rPr>
          <w:rFonts w:ascii="Times New Roman" w:hAnsi="Times New Roman" w:cs="Times New Roman"/>
        </w:rPr>
        <w:t>79 FR 20969</w:t>
      </w:r>
      <w:r w:rsidRPr="008015B0">
        <w:rPr>
          <w:rFonts w:ascii="Times New Roman" w:hAnsi="Times New Roman" w:cs="Times New Roman"/>
        </w:rPr>
        <w:t xml:space="preserve"> (Apr. 14, 2014); </w:t>
      </w:r>
      <w:r w:rsidRPr="008015B0">
        <w:rPr>
          <w:rFonts w:ascii="Times New Roman" w:hAnsi="Times New Roman" w:cs="Times New Roman"/>
        </w:rPr>
        <w:t xml:space="preserve">FinCEN, </w:t>
      </w:r>
      <w:hyperlink r:id="rId11" w:history="1">
        <w:r w:rsidRPr="008015B0">
          <w:rPr>
            <w:rStyle w:val="Hyperlink"/>
            <w:rFonts w:ascii="Times New Roman" w:hAnsi="Times New Roman" w:cs="Times New Roman"/>
            <w:i/>
            <w:iCs/>
          </w:rPr>
          <w:t>Privacy Act of 1974, as Amended; System of Records Notice (FinCEN .003 - Bank Secrecy Act Reports System)</w:t>
        </w:r>
      </w:hyperlink>
      <w:r w:rsidRPr="008015B0">
        <w:rPr>
          <w:rFonts w:ascii="Times New Roman" w:hAnsi="Times New Roman" w:cs="Times New Roman"/>
        </w:rPr>
        <w:t xml:space="preserve">, </w:t>
      </w:r>
      <w:r w:rsidRPr="00675D56" w:rsidR="006C1323">
        <w:rPr>
          <w:rFonts w:ascii="Times New Roman" w:hAnsi="Times New Roman" w:cs="Times New Roman"/>
        </w:rPr>
        <w:t>79 FR 20969</w:t>
      </w:r>
      <w:r w:rsidRPr="008015B0">
        <w:rPr>
          <w:rFonts w:ascii="Times New Roman" w:hAnsi="Times New Roman" w:cs="Times New Roman"/>
        </w:rPr>
        <w:t xml:space="preserve"> (Apr. 14, 2014).</w:t>
      </w:r>
    </w:p>
  </w:footnote>
  <w:footnote w:id="24">
    <w:p w:rsidR="00614E7E" w:rsidRPr="00496F6F" w:rsidP="00614E7E" w14:paraId="60B12707" w14:textId="62D0CC73">
      <w:pPr>
        <w:pStyle w:val="FootnoteText"/>
        <w:rPr>
          <w:rFonts w:ascii="Times New Roman" w:hAnsi="Times New Roman" w:cs="Times New Roman"/>
        </w:rPr>
      </w:pPr>
      <w:r w:rsidRPr="008015B0">
        <w:rPr>
          <w:rStyle w:val="FootnoteReference"/>
          <w:rFonts w:ascii="Times New Roman" w:hAnsi="Times New Roman" w:cs="Times New Roman"/>
          <w:vertAlign w:val="superscript"/>
        </w:rPr>
        <w:footnoteRef/>
      </w:r>
      <w:r w:rsidRPr="008015B0" w:rsidR="20ED4DC9">
        <w:rPr>
          <w:rFonts w:ascii="Times New Roman" w:hAnsi="Times New Roman" w:cs="Times New Roman"/>
        </w:rPr>
        <w:t xml:space="preserve"> Table 1 </w:t>
      </w:r>
      <w:r w:rsidRPr="008015B0" w:rsidR="006423DC">
        <w:rPr>
          <w:rFonts w:ascii="Times New Roman" w:hAnsi="Times New Roman" w:cs="Times New Roman"/>
        </w:rPr>
        <w:t>provides</w:t>
      </w:r>
      <w:r w:rsidRPr="008015B0" w:rsidR="20ED4DC9">
        <w:rPr>
          <w:rFonts w:ascii="Times New Roman" w:hAnsi="Times New Roman" w:cs="Times New Roman"/>
        </w:rPr>
        <w:t xml:space="preserve"> </w:t>
      </w:r>
      <w:r w:rsidRPr="008015B0" w:rsidR="00223918">
        <w:rPr>
          <w:rFonts w:ascii="Times New Roman" w:hAnsi="Times New Roman" w:cs="Times New Roman"/>
        </w:rPr>
        <w:t>population estimates</w:t>
      </w:r>
      <w:r w:rsidRPr="008015B0" w:rsidR="20ED4DC9">
        <w:rPr>
          <w:rFonts w:ascii="Times New Roman" w:hAnsi="Times New Roman" w:cs="Times New Roman"/>
        </w:rPr>
        <w:t xml:space="preserve"> of the types of covered financial institutions that are required to comply with 31 CFR 1010.630.  </w:t>
      </w:r>
      <w:r w:rsidRPr="008015B0" w:rsidR="00EE74B9">
        <w:rPr>
          <w:rFonts w:ascii="Times New Roman" w:hAnsi="Times New Roman" w:cs="Times New Roman"/>
        </w:rPr>
        <w:t>N</w:t>
      </w:r>
      <w:r w:rsidRPr="008015B0" w:rsidR="20ED4DC9">
        <w:rPr>
          <w:rFonts w:ascii="Times New Roman" w:hAnsi="Times New Roman" w:cs="Times New Roman"/>
        </w:rPr>
        <w:t xml:space="preserve">ote that not all covered financial institutions maintain correspondent accounts for foreign banks.  </w:t>
      </w:r>
      <w:r w:rsidRPr="008015B0" w:rsidR="00EE74B9">
        <w:rPr>
          <w:rFonts w:ascii="Times New Roman" w:hAnsi="Times New Roman" w:cs="Times New Roman"/>
        </w:rPr>
        <w:t>T</w:t>
      </w:r>
      <w:r w:rsidRPr="008015B0" w:rsidR="20ED4DC9">
        <w:rPr>
          <w:rFonts w:ascii="Times New Roman" w:hAnsi="Times New Roman" w:cs="Times New Roman"/>
        </w:rPr>
        <w:t>he regulation will only impact covered financial institutions that maintain correspondent accounts for</w:t>
      </w:r>
      <w:r w:rsidRPr="00496F6F" w:rsidR="20ED4DC9">
        <w:rPr>
          <w:rFonts w:ascii="Times New Roman" w:hAnsi="Times New Roman" w:cs="Times New Roman"/>
        </w:rPr>
        <w:t xml:space="preserve"> foreign banks.  </w:t>
      </w:r>
    </w:p>
  </w:footnote>
  <w:footnote w:id="25">
    <w:p w:rsidR="007F3D59" w:rsidRPr="000823D5" w:rsidP="007F3D59" w14:paraId="48D5EDC3" w14:textId="75B3B136">
      <w:pPr>
        <w:pStyle w:val="FootnoteText"/>
        <w:rPr>
          <w:rFonts w:ascii="Times New Roman" w:hAnsi="Times New Roman" w:cs="Times New Roman"/>
        </w:rPr>
      </w:pPr>
      <w:r w:rsidRPr="000823D5">
        <w:rPr>
          <w:rStyle w:val="FootnoteReference"/>
          <w:rFonts w:ascii="Times New Roman" w:hAnsi="Times New Roman" w:cs="Times New Roman"/>
          <w:vertAlign w:val="superscript"/>
        </w:rPr>
        <w:footnoteRef/>
      </w:r>
      <w:r w:rsidRPr="000823D5" w:rsidR="20ED4DC9">
        <w:rPr>
          <w:rFonts w:ascii="Times New Roman" w:hAnsi="Times New Roman" w:cs="Times New Roman"/>
        </w:rPr>
        <w:t xml:space="preserve"> </w:t>
      </w:r>
      <w:r w:rsidRPr="00496F6F" w:rsidR="20ED4DC9">
        <w:rPr>
          <w:rFonts w:ascii="Times New Roman" w:hAnsi="Times New Roman" w:cs="Times New Roman"/>
        </w:rPr>
        <w:t xml:space="preserve">Table 2 </w:t>
      </w:r>
      <w:r w:rsidR="006423DC">
        <w:rPr>
          <w:rFonts w:ascii="Times New Roman" w:hAnsi="Times New Roman" w:cs="Times New Roman"/>
        </w:rPr>
        <w:t>provides</w:t>
      </w:r>
      <w:r w:rsidRPr="00496F6F" w:rsidR="20ED4DC9">
        <w:rPr>
          <w:rFonts w:ascii="Times New Roman" w:hAnsi="Times New Roman" w:cs="Times New Roman"/>
        </w:rPr>
        <w:t xml:space="preserve"> </w:t>
      </w:r>
      <w:r w:rsidR="00223918">
        <w:rPr>
          <w:rFonts w:ascii="Times New Roman" w:hAnsi="Times New Roman" w:cs="Times New Roman"/>
        </w:rPr>
        <w:t>population estimates</w:t>
      </w:r>
      <w:r w:rsidRPr="00496F6F" w:rsidR="20ED4DC9">
        <w:rPr>
          <w:rFonts w:ascii="Times New Roman" w:hAnsi="Times New Roman" w:cs="Times New Roman"/>
        </w:rPr>
        <w:t xml:space="preserve"> of the number of </w:t>
      </w:r>
      <w:r w:rsidR="006423DC">
        <w:rPr>
          <w:rFonts w:ascii="Times New Roman" w:hAnsi="Times New Roman" w:cs="Times New Roman"/>
        </w:rPr>
        <w:t>covered financial institutions</w:t>
      </w:r>
      <w:r w:rsidRPr="00496F6F" w:rsidR="20ED4DC9">
        <w:rPr>
          <w:rFonts w:ascii="Times New Roman" w:hAnsi="Times New Roman" w:cs="Times New Roman"/>
        </w:rPr>
        <w:t xml:space="preserve"> that FinCEN estimates maintain correspondent accounts for foreign banks.</w:t>
      </w:r>
    </w:p>
  </w:footnote>
  <w:footnote w:id="26">
    <w:p w:rsidR="009175E7" w:rsidRPr="000823D5" w14:paraId="3F278097" w14:textId="4886BAC2">
      <w:pPr>
        <w:pStyle w:val="FootnoteText"/>
        <w:rPr>
          <w:rFonts w:ascii="Times New Roman" w:hAnsi="Times New Roman" w:cs="Times New Roman"/>
        </w:rPr>
      </w:pPr>
      <w:r w:rsidRPr="000823D5">
        <w:rPr>
          <w:rStyle w:val="FootnoteReference"/>
          <w:rFonts w:ascii="Times New Roman" w:hAnsi="Times New Roman" w:cs="Times New Roman"/>
          <w:vertAlign w:val="superscript"/>
        </w:rPr>
        <w:footnoteRef/>
      </w:r>
      <w:r w:rsidRPr="000823D5" w:rsidR="20ED4DC9">
        <w:rPr>
          <w:rFonts w:ascii="Times New Roman" w:hAnsi="Times New Roman" w:cs="Times New Roman"/>
        </w:rPr>
        <w:t xml:space="preserve"> </w:t>
      </w:r>
      <w:r w:rsidR="00F575CE">
        <w:rPr>
          <w:rFonts w:ascii="Times New Roman" w:hAnsi="Times New Roman" w:cs="Times New Roman"/>
          <w:i/>
          <w:iCs/>
        </w:rPr>
        <w:t xml:space="preserve">See </w:t>
      </w:r>
      <w:r w:rsidRPr="00496F6F" w:rsidR="20ED4DC9">
        <w:rPr>
          <w:rFonts w:ascii="Times New Roman" w:hAnsi="Times New Roman" w:cs="Times New Roman"/>
        </w:rPr>
        <w:t>Table 3</w:t>
      </w:r>
      <w:r w:rsidR="00F575CE">
        <w:rPr>
          <w:rFonts w:ascii="Times New Roman" w:hAnsi="Times New Roman" w:cs="Times New Roman"/>
        </w:rPr>
        <w:t>.</w:t>
      </w:r>
      <w:r w:rsidRPr="00496F6F" w:rsidR="20ED4DC9">
        <w:rPr>
          <w:rFonts w:ascii="Times New Roman" w:hAnsi="Times New Roman" w:cs="Times New Roman"/>
        </w:rPr>
        <w:t xml:space="preserve"> </w:t>
      </w:r>
    </w:p>
  </w:footnote>
  <w:footnote w:id="27">
    <w:p w:rsidR="00CA0D43" w:rsidRPr="000823D5" w14:paraId="487572E8" w14:textId="77777777">
      <w:pPr>
        <w:pStyle w:val="FootnoteText"/>
        <w:rPr>
          <w:rFonts w:ascii="Times New Roman" w:hAnsi="Times New Roman" w:cs="Times New Roman"/>
        </w:rPr>
      </w:pPr>
      <w:r w:rsidRPr="00496F6F">
        <w:rPr>
          <w:rStyle w:val="FootnoteReference"/>
          <w:rFonts w:ascii="Times New Roman" w:hAnsi="Times New Roman" w:cs="Times New Roman"/>
          <w:vertAlign w:val="superscript"/>
        </w:rPr>
        <w:footnoteRef/>
      </w:r>
      <w:r w:rsidRPr="00496F6F">
        <w:rPr>
          <w:rFonts w:ascii="Times New Roman" w:hAnsi="Times New Roman" w:cs="Times New Roman"/>
        </w:rPr>
        <w:t xml:space="preserve"> FinCEN estimated that 8,69</w:t>
      </w:r>
      <w:r w:rsidRPr="00496F6F" w:rsidR="0005171F">
        <w:rPr>
          <w:rFonts w:ascii="Times New Roman" w:hAnsi="Times New Roman" w:cs="Times New Roman"/>
        </w:rPr>
        <w:t>6</w:t>
      </w:r>
      <w:r w:rsidRPr="00496F6F">
        <w:rPr>
          <w:rFonts w:ascii="Times New Roman" w:hAnsi="Times New Roman" w:cs="Times New Roman"/>
        </w:rPr>
        <w:t xml:space="preserve"> covered financial institutions </w:t>
      </w:r>
      <w:r w:rsidRPr="00496F6F" w:rsidR="0005171F">
        <w:rPr>
          <w:rFonts w:ascii="Times New Roman" w:hAnsi="Times New Roman" w:cs="Times New Roman"/>
        </w:rPr>
        <w:t xml:space="preserve">would </w:t>
      </w:r>
      <w:r w:rsidRPr="00496F6F">
        <w:rPr>
          <w:rFonts w:ascii="Times New Roman" w:hAnsi="Times New Roman" w:cs="Times New Roman"/>
        </w:rPr>
        <w:t>obtain</w:t>
      </w:r>
      <w:r w:rsidRPr="00496F6F" w:rsidR="0005171F">
        <w:rPr>
          <w:rFonts w:ascii="Times New Roman" w:hAnsi="Times New Roman" w:cs="Times New Roman"/>
        </w:rPr>
        <w:t xml:space="preserve"> and maintain two forms per year (one certification</w:t>
      </w:r>
      <w:r w:rsidRPr="00496F6F">
        <w:rPr>
          <w:rFonts w:ascii="Times New Roman" w:hAnsi="Times New Roman" w:cs="Times New Roman"/>
        </w:rPr>
        <w:t xml:space="preserve"> form and one recertification form</w:t>
      </w:r>
      <w:r w:rsidRPr="00496F6F" w:rsidR="0005171F">
        <w:rPr>
          <w:rFonts w:ascii="Times New Roman" w:hAnsi="Times New Roman" w:cs="Times New Roman"/>
        </w:rPr>
        <w:t>)</w:t>
      </w:r>
      <w:r w:rsidRPr="00496F6F">
        <w:rPr>
          <w:rFonts w:ascii="Times New Roman" w:hAnsi="Times New Roman" w:cs="Times New Roman"/>
        </w:rPr>
        <w:t xml:space="preserve">. </w:t>
      </w:r>
      <w:r w:rsidRPr="00496F6F" w:rsidR="0005171F">
        <w:rPr>
          <w:rFonts w:ascii="Times New Roman" w:hAnsi="Times New Roman" w:cs="Times New Roman"/>
        </w:rPr>
        <w:t xml:space="preserve"> 8,696</w:t>
      </w:r>
      <w:r w:rsidRPr="00496F6F">
        <w:rPr>
          <w:rFonts w:ascii="Times New Roman" w:hAnsi="Times New Roman" w:cs="Times New Roman"/>
        </w:rPr>
        <w:t xml:space="preserve"> covered financial </w:t>
      </w:r>
      <w:r w:rsidRPr="00496F6F" w:rsidR="0005171F">
        <w:rPr>
          <w:rFonts w:ascii="Times New Roman" w:hAnsi="Times New Roman" w:cs="Times New Roman"/>
        </w:rPr>
        <w:t>institutions</w:t>
      </w:r>
      <w:r w:rsidRPr="00496F6F">
        <w:rPr>
          <w:rFonts w:ascii="Times New Roman" w:hAnsi="Times New Roman" w:cs="Times New Roman"/>
        </w:rPr>
        <w:t xml:space="preserve"> multiplied by 2 forms per </w:t>
      </w:r>
      <w:r w:rsidRPr="00496F6F" w:rsidR="0005171F">
        <w:rPr>
          <w:rFonts w:ascii="Times New Roman" w:hAnsi="Times New Roman" w:cs="Times New Roman"/>
        </w:rPr>
        <w:t>year equals 17,392 certification</w:t>
      </w:r>
      <w:r w:rsidRPr="00496F6F">
        <w:rPr>
          <w:rFonts w:ascii="Times New Roman" w:hAnsi="Times New Roman" w:cs="Times New Roman"/>
        </w:rPr>
        <w:t xml:space="preserve"> and recertification forms obtained </w:t>
      </w:r>
      <w:r w:rsidRPr="00496F6F" w:rsidR="0005171F">
        <w:rPr>
          <w:rFonts w:ascii="Times New Roman" w:hAnsi="Times New Roman" w:cs="Times New Roman"/>
        </w:rPr>
        <w:t xml:space="preserve">annually </w:t>
      </w:r>
      <w:r w:rsidRPr="00496F6F">
        <w:rPr>
          <w:rFonts w:ascii="Times New Roman" w:hAnsi="Times New Roman" w:cs="Times New Roman"/>
        </w:rPr>
        <w:t>by covered financial</w:t>
      </w:r>
      <w:r w:rsidRPr="00496F6F" w:rsidR="0005171F">
        <w:rPr>
          <w:rFonts w:ascii="Times New Roman" w:hAnsi="Times New Roman" w:cs="Times New Roman"/>
        </w:rPr>
        <w:t xml:space="preserve"> institutions</w:t>
      </w:r>
      <w:r w:rsidRPr="000823D5">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C635C" w:rsidRPr="00793C4D" w14:paraId="79568532" w14:textId="576D2D8C">
    <w:pPr>
      <w:spacing w:line="240" w:lineRule="exact"/>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7F5FC7"/>
    <w:multiLevelType w:val="hybridMultilevel"/>
    <w:tmpl w:val="F57C515A"/>
    <w:lvl w:ilvl="0">
      <w:start w:val="4"/>
      <w:numFmt w:val="decimal"/>
      <w:lvlText w:val="%1."/>
      <w:lvlJc w:val="left"/>
      <w:pPr>
        <w:tabs>
          <w:tab w:val="num" w:pos="720"/>
        </w:tabs>
        <w:ind w:left="720" w:hanging="360"/>
      </w:pPr>
      <w:rPr>
        <w:rFonts w:hint="default"/>
        <w:u w:val="singl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4946479"/>
    <w:multiLevelType w:val="hybridMultilevel"/>
    <w:tmpl w:val="A00C96CE"/>
    <w:lvl w:ilvl="0">
      <w:start w:val="5"/>
      <w:numFmt w:val="decimal"/>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060C31CC"/>
    <w:multiLevelType w:val="hybridMultilevel"/>
    <w:tmpl w:val="DF042296"/>
    <w:lvl w:ilvl="0">
      <w:start w:val="4"/>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15744825"/>
    <w:multiLevelType w:val="hybridMultilevel"/>
    <w:tmpl w:val="3DF8AD4A"/>
    <w:lvl w:ilvl="0">
      <w:start w:val="1"/>
      <w:numFmt w:val="decimal"/>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1E9F7B48"/>
    <w:multiLevelType w:val="hybridMultilevel"/>
    <w:tmpl w:val="9E6869FA"/>
    <w:lvl w:ilvl="0">
      <w:start w:val="4"/>
      <w:numFmt w:val="decimal"/>
      <w:lvlText w:val="%1."/>
      <w:lvlJc w:val="left"/>
      <w:pPr>
        <w:tabs>
          <w:tab w:val="num" w:pos="720"/>
        </w:tabs>
        <w:ind w:left="720" w:hanging="360"/>
      </w:pPr>
      <w:rPr>
        <w:rFonts w:hint="default"/>
        <w:u w:val="singl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347B134C"/>
    <w:multiLevelType w:val="hybridMultilevel"/>
    <w:tmpl w:val="CAB05602"/>
    <w:lvl w:ilvl="0">
      <w:start w:val="5"/>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4D7D7132"/>
    <w:multiLevelType w:val="hybridMultilevel"/>
    <w:tmpl w:val="EE860912"/>
    <w:lvl w:ilvl="0">
      <w:start w:val="3"/>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5029052A"/>
    <w:multiLevelType w:val="hybridMultilevel"/>
    <w:tmpl w:val="B4AA61E2"/>
    <w:lvl w:ilvl="0">
      <w:start w:val="8"/>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7A560390"/>
    <w:multiLevelType w:val="hybridMultilevel"/>
    <w:tmpl w:val="26A27390"/>
    <w:lvl w:ilvl="0">
      <w:start w:val="10"/>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1762410169">
    <w:abstractNumId w:val="1"/>
  </w:num>
  <w:num w:numId="2" w16cid:durableId="230621788">
    <w:abstractNumId w:val="2"/>
  </w:num>
  <w:num w:numId="3" w16cid:durableId="307782815">
    <w:abstractNumId w:val="4"/>
  </w:num>
  <w:num w:numId="4" w16cid:durableId="2083523957">
    <w:abstractNumId w:val="0"/>
  </w:num>
  <w:num w:numId="5" w16cid:durableId="753815676">
    <w:abstractNumId w:val="3"/>
  </w:num>
  <w:num w:numId="6" w16cid:durableId="110245979">
    <w:abstractNumId w:val="7"/>
  </w:num>
  <w:num w:numId="7" w16cid:durableId="1766030132">
    <w:abstractNumId w:val="5"/>
  </w:num>
  <w:num w:numId="8" w16cid:durableId="1366515832">
    <w:abstractNumId w:val="8"/>
  </w:num>
  <w:num w:numId="9" w16cid:durableId="4510216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0"/>
    <w:footnote w:id="1"/>
    <w:footnote w:id="2"/>
  </w:footnotePr>
  <w:endnotePr>
    <w:numFmt w:val="decimal"/>
    <w:endnote w:id="0"/>
    <w:endnote w:id="1"/>
    <w:endnote w:id="2"/>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60BA"/>
    <w:rsid w:val="000025A1"/>
    <w:rsid w:val="00003FF7"/>
    <w:rsid w:val="00004044"/>
    <w:rsid w:val="00012CDD"/>
    <w:rsid w:val="000134E6"/>
    <w:rsid w:val="000140C0"/>
    <w:rsid w:val="00017A06"/>
    <w:rsid w:val="00030F66"/>
    <w:rsid w:val="00034256"/>
    <w:rsid w:val="0005171F"/>
    <w:rsid w:val="000701C3"/>
    <w:rsid w:val="000722AF"/>
    <w:rsid w:val="000823D5"/>
    <w:rsid w:val="00086DAA"/>
    <w:rsid w:val="000900B1"/>
    <w:rsid w:val="00091812"/>
    <w:rsid w:val="00091A34"/>
    <w:rsid w:val="00091C22"/>
    <w:rsid w:val="00093ED9"/>
    <w:rsid w:val="000B1283"/>
    <w:rsid w:val="000B1C1B"/>
    <w:rsid w:val="000C2DDB"/>
    <w:rsid w:val="000C6227"/>
    <w:rsid w:val="000C6DAD"/>
    <w:rsid w:val="000D643F"/>
    <w:rsid w:val="000D73A4"/>
    <w:rsid w:val="000E265D"/>
    <w:rsid w:val="000E68C0"/>
    <w:rsid w:val="000F2DE0"/>
    <w:rsid w:val="00100740"/>
    <w:rsid w:val="001029D9"/>
    <w:rsid w:val="00110485"/>
    <w:rsid w:val="00111D2A"/>
    <w:rsid w:val="00114C50"/>
    <w:rsid w:val="00114D7C"/>
    <w:rsid w:val="00117669"/>
    <w:rsid w:val="001225AF"/>
    <w:rsid w:val="00131563"/>
    <w:rsid w:val="0013195E"/>
    <w:rsid w:val="0013605A"/>
    <w:rsid w:val="00137687"/>
    <w:rsid w:val="0014016F"/>
    <w:rsid w:val="00140460"/>
    <w:rsid w:val="001413DD"/>
    <w:rsid w:val="00143EF9"/>
    <w:rsid w:val="00145290"/>
    <w:rsid w:val="00146584"/>
    <w:rsid w:val="00155EAB"/>
    <w:rsid w:val="00155EB1"/>
    <w:rsid w:val="00156F5A"/>
    <w:rsid w:val="001605EA"/>
    <w:rsid w:val="00160A31"/>
    <w:rsid w:val="00161450"/>
    <w:rsid w:val="0016283F"/>
    <w:rsid w:val="001649F1"/>
    <w:rsid w:val="00164EF5"/>
    <w:rsid w:val="00170434"/>
    <w:rsid w:val="00174A54"/>
    <w:rsid w:val="0017539F"/>
    <w:rsid w:val="00175D4D"/>
    <w:rsid w:val="001774BE"/>
    <w:rsid w:val="00180A7D"/>
    <w:rsid w:val="00184088"/>
    <w:rsid w:val="00186671"/>
    <w:rsid w:val="0018710C"/>
    <w:rsid w:val="00191E80"/>
    <w:rsid w:val="001941DE"/>
    <w:rsid w:val="001A2187"/>
    <w:rsid w:val="001A44F8"/>
    <w:rsid w:val="001A6840"/>
    <w:rsid w:val="001B275B"/>
    <w:rsid w:val="001B2E92"/>
    <w:rsid w:val="001B698C"/>
    <w:rsid w:val="001C6F21"/>
    <w:rsid w:val="001D1779"/>
    <w:rsid w:val="001D28B7"/>
    <w:rsid w:val="001E439E"/>
    <w:rsid w:val="001E6736"/>
    <w:rsid w:val="001E7980"/>
    <w:rsid w:val="001F2307"/>
    <w:rsid w:val="00201FB6"/>
    <w:rsid w:val="002022AD"/>
    <w:rsid w:val="002022C3"/>
    <w:rsid w:val="002071CB"/>
    <w:rsid w:val="00207A9D"/>
    <w:rsid w:val="00213004"/>
    <w:rsid w:val="002153AE"/>
    <w:rsid w:val="002217E7"/>
    <w:rsid w:val="00223918"/>
    <w:rsid w:val="00227C2C"/>
    <w:rsid w:val="00232FAF"/>
    <w:rsid w:val="00233049"/>
    <w:rsid w:val="00240AB4"/>
    <w:rsid w:val="002416B3"/>
    <w:rsid w:val="002417E4"/>
    <w:rsid w:val="00241B59"/>
    <w:rsid w:val="00244191"/>
    <w:rsid w:val="00244F3F"/>
    <w:rsid w:val="00247F7E"/>
    <w:rsid w:val="0025248B"/>
    <w:rsid w:val="00253091"/>
    <w:rsid w:val="00253694"/>
    <w:rsid w:val="00255CD1"/>
    <w:rsid w:val="00256840"/>
    <w:rsid w:val="0025748E"/>
    <w:rsid w:val="002575CF"/>
    <w:rsid w:val="00260203"/>
    <w:rsid w:val="002621C5"/>
    <w:rsid w:val="00264F4B"/>
    <w:rsid w:val="00265749"/>
    <w:rsid w:val="00285760"/>
    <w:rsid w:val="00285E4C"/>
    <w:rsid w:val="002870D5"/>
    <w:rsid w:val="00287A98"/>
    <w:rsid w:val="00290ACB"/>
    <w:rsid w:val="002A16F7"/>
    <w:rsid w:val="002A27FD"/>
    <w:rsid w:val="002A6790"/>
    <w:rsid w:val="002B27FA"/>
    <w:rsid w:val="002B5EF1"/>
    <w:rsid w:val="002B6E32"/>
    <w:rsid w:val="002B6EE1"/>
    <w:rsid w:val="002C1953"/>
    <w:rsid w:val="002C21A4"/>
    <w:rsid w:val="002C76F0"/>
    <w:rsid w:val="002C7E89"/>
    <w:rsid w:val="002D28F5"/>
    <w:rsid w:val="002D2F32"/>
    <w:rsid w:val="002D5A21"/>
    <w:rsid w:val="002E0399"/>
    <w:rsid w:val="002E4ECD"/>
    <w:rsid w:val="002F2C98"/>
    <w:rsid w:val="002F4C9A"/>
    <w:rsid w:val="00303184"/>
    <w:rsid w:val="00303563"/>
    <w:rsid w:val="0030376F"/>
    <w:rsid w:val="00305D0A"/>
    <w:rsid w:val="00314B38"/>
    <w:rsid w:val="003178CA"/>
    <w:rsid w:val="003234C0"/>
    <w:rsid w:val="003266A8"/>
    <w:rsid w:val="003300C5"/>
    <w:rsid w:val="003302C2"/>
    <w:rsid w:val="003311CA"/>
    <w:rsid w:val="00332080"/>
    <w:rsid w:val="00337122"/>
    <w:rsid w:val="0034371E"/>
    <w:rsid w:val="00343D3B"/>
    <w:rsid w:val="003448EB"/>
    <w:rsid w:val="00347A3C"/>
    <w:rsid w:val="0035191E"/>
    <w:rsid w:val="00352DFC"/>
    <w:rsid w:val="00353DA5"/>
    <w:rsid w:val="00353F78"/>
    <w:rsid w:val="00354BFE"/>
    <w:rsid w:val="00355F6A"/>
    <w:rsid w:val="003602FA"/>
    <w:rsid w:val="00360E1C"/>
    <w:rsid w:val="00362878"/>
    <w:rsid w:val="0036481D"/>
    <w:rsid w:val="00367D22"/>
    <w:rsid w:val="00371333"/>
    <w:rsid w:val="003718C9"/>
    <w:rsid w:val="003731BE"/>
    <w:rsid w:val="00374CD1"/>
    <w:rsid w:val="0037671E"/>
    <w:rsid w:val="0038075C"/>
    <w:rsid w:val="00384EB4"/>
    <w:rsid w:val="00393F92"/>
    <w:rsid w:val="00394A20"/>
    <w:rsid w:val="003A0883"/>
    <w:rsid w:val="003A3762"/>
    <w:rsid w:val="003A6CD8"/>
    <w:rsid w:val="003B1F04"/>
    <w:rsid w:val="003B4868"/>
    <w:rsid w:val="003B48BD"/>
    <w:rsid w:val="003B4C5A"/>
    <w:rsid w:val="003C10A3"/>
    <w:rsid w:val="003C4B78"/>
    <w:rsid w:val="003D0990"/>
    <w:rsid w:val="003D49B1"/>
    <w:rsid w:val="003D4B1B"/>
    <w:rsid w:val="003D5989"/>
    <w:rsid w:val="003D78C7"/>
    <w:rsid w:val="003E37ED"/>
    <w:rsid w:val="003E3E18"/>
    <w:rsid w:val="003E4F4F"/>
    <w:rsid w:val="003E6788"/>
    <w:rsid w:val="003F47D1"/>
    <w:rsid w:val="004003B5"/>
    <w:rsid w:val="004028F7"/>
    <w:rsid w:val="00403F61"/>
    <w:rsid w:val="00411DB0"/>
    <w:rsid w:val="00420870"/>
    <w:rsid w:val="004237CD"/>
    <w:rsid w:val="0042511A"/>
    <w:rsid w:val="00435F9B"/>
    <w:rsid w:val="00436F9E"/>
    <w:rsid w:val="004378F1"/>
    <w:rsid w:val="00437C46"/>
    <w:rsid w:val="004458CC"/>
    <w:rsid w:val="00447E84"/>
    <w:rsid w:val="00452A81"/>
    <w:rsid w:val="00452D23"/>
    <w:rsid w:val="00455DC2"/>
    <w:rsid w:val="00457779"/>
    <w:rsid w:val="00460F75"/>
    <w:rsid w:val="004658B5"/>
    <w:rsid w:val="004666E9"/>
    <w:rsid w:val="004678AD"/>
    <w:rsid w:val="00472F9C"/>
    <w:rsid w:val="00474EC5"/>
    <w:rsid w:val="0047741C"/>
    <w:rsid w:val="004823FB"/>
    <w:rsid w:val="00490DAB"/>
    <w:rsid w:val="004940E4"/>
    <w:rsid w:val="00494DA1"/>
    <w:rsid w:val="00496181"/>
    <w:rsid w:val="00496F6F"/>
    <w:rsid w:val="00497175"/>
    <w:rsid w:val="004A21C8"/>
    <w:rsid w:val="004A357E"/>
    <w:rsid w:val="004A42A8"/>
    <w:rsid w:val="004A4A5E"/>
    <w:rsid w:val="004A5D5E"/>
    <w:rsid w:val="004B02D6"/>
    <w:rsid w:val="004B2016"/>
    <w:rsid w:val="004B6D33"/>
    <w:rsid w:val="004C0101"/>
    <w:rsid w:val="004C2B85"/>
    <w:rsid w:val="004C67F4"/>
    <w:rsid w:val="004E5C26"/>
    <w:rsid w:val="004F0C4F"/>
    <w:rsid w:val="004F1CC2"/>
    <w:rsid w:val="004F1E9C"/>
    <w:rsid w:val="00502283"/>
    <w:rsid w:val="005026FB"/>
    <w:rsid w:val="00504AF8"/>
    <w:rsid w:val="00505D59"/>
    <w:rsid w:val="00505D8C"/>
    <w:rsid w:val="00516171"/>
    <w:rsid w:val="00521D53"/>
    <w:rsid w:val="005226A3"/>
    <w:rsid w:val="00522794"/>
    <w:rsid w:val="00524D91"/>
    <w:rsid w:val="005320D9"/>
    <w:rsid w:val="005325B3"/>
    <w:rsid w:val="00537CEA"/>
    <w:rsid w:val="005403A2"/>
    <w:rsid w:val="00543C53"/>
    <w:rsid w:val="00551C90"/>
    <w:rsid w:val="005532AE"/>
    <w:rsid w:val="00555EB6"/>
    <w:rsid w:val="00557E0B"/>
    <w:rsid w:val="005608D3"/>
    <w:rsid w:val="005638B2"/>
    <w:rsid w:val="0056392F"/>
    <w:rsid w:val="00565F27"/>
    <w:rsid w:val="005829E0"/>
    <w:rsid w:val="005855A3"/>
    <w:rsid w:val="00586DA8"/>
    <w:rsid w:val="00587A2A"/>
    <w:rsid w:val="00590031"/>
    <w:rsid w:val="005937B2"/>
    <w:rsid w:val="00596CBA"/>
    <w:rsid w:val="005A095E"/>
    <w:rsid w:val="005A1D98"/>
    <w:rsid w:val="005A2455"/>
    <w:rsid w:val="005A728B"/>
    <w:rsid w:val="005B4C19"/>
    <w:rsid w:val="005B5FAE"/>
    <w:rsid w:val="005C2676"/>
    <w:rsid w:val="005C4BEE"/>
    <w:rsid w:val="005C698B"/>
    <w:rsid w:val="005D1015"/>
    <w:rsid w:val="005D7EB9"/>
    <w:rsid w:val="005E5015"/>
    <w:rsid w:val="00611C78"/>
    <w:rsid w:val="00614E7E"/>
    <w:rsid w:val="00615C07"/>
    <w:rsid w:val="00621010"/>
    <w:rsid w:val="00631E59"/>
    <w:rsid w:val="00632333"/>
    <w:rsid w:val="006356FD"/>
    <w:rsid w:val="006423DC"/>
    <w:rsid w:val="00645829"/>
    <w:rsid w:val="0065382A"/>
    <w:rsid w:val="00655368"/>
    <w:rsid w:val="00667473"/>
    <w:rsid w:val="00672435"/>
    <w:rsid w:val="00673C17"/>
    <w:rsid w:val="00675D56"/>
    <w:rsid w:val="006773B3"/>
    <w:rsid w:val="00680EF6"/>
    <w:rsid w:val="00684710"/>
    <w:rsid w:val="00694F47"/>
    <w:rsid w:val="00697296"/>
    <w:rsid w:val="00697B51"/>
    <w:rsid w:val="006A021D"/>
    <w:rsid w:val="006A08F8"/>
    <w:rsid w:val="006A0BD7"/>
    <w:rsid w:val="006A2040"/>
    <w:rsid w:val="006A2F5D"/>
    <w:rsid w:val="006A4AA3"/>
    <w:rsid w:val="006A5986"/>
    <w:rsid w:val="006A64E7"/>
    <w:rsid w:val="006B1284"/>
    <w:rsid w:val="006B186B"/>
    <w:rsid w:val="006B2873"/>
    <w:rsid w:val="006B3429"/>
    <w:rsid w:val="006B606A"/>
    <w:rsid w:val="006C1323"/>
    <w:rsid w:val="006C3B9F"/>
    <w:rsid w:val="006C7B17"/>
    <w:rsid w:val="006D187E"/>
    <w:rsid w:val="006D2F29"/>
    <w:rsid w:val="006D3593"/>
    <w:rsid w:val="006D7777"/>
    <w:rsid w:val="006E6552"/>
    <w:rsid w:val="00711A2C"/>
    <w:rsid w:val="00712712"/>
    <w:rsid w:val="0072421B"/>
    <w:rsid w:val="00730B15"/>
    <w:rsid w:val="0073427C"/>
    <w:rsid w:val="0074105D"/>
    <w:rsid w:val="00741D4C"/>
    <w:rsid w:val="00746463"/>
    <w:rsid w:val="007540D6"/>
    <w:rsid w:val="00756A27"/>
    <w:rsid w:val="00760DF3"/>
    <w:rsid w:val="00761FD1"/>
    <w:rsid w:val="00780944"/>
    <w:rsid w:val="00793C4D"/>
    <w:rsid w:val="00797EC7"/>
    <w:rsid w:val="007A06F4"/>
    <w:rsid w:val="007A390A"/>
    <w:rsid w:val="007B71B9"/>
    <w:rsid w:val="007B7D9D"/>
    <w:rsid w:val="007D0281"/>
    <w:rsid w:val="007D35CB"/>
    <w:rsid w:val="007D508B"/>
    <w:rsid w:val="007D5D3B"/>
    <w:rsid w:val="007D660B"/>
    <w:rsid w:val="007D76CA"/>
    <w:rsid w:val="007E20FD"/>
    <w:rsid w:val="007E346B"/>
    <w:rsid w:val="007E6D88"/>
    <w:rsid w:val="007F14CE"/>
    <w:rsid w:val="007F2C65"/>
    <w:rsid w:val="007F368C"/>
    <w:rsid w:val="007F3D59"/>
    <w:rsid w:val="007F474B"/>
    <w:rsid w:val="007F7084"/>
    <w:rsid w:val="00800B99"/>
    <w:rsid w:val="008015B0"/>
    <w:rsid w:val="00813863"/>
    <w:rsid w:val="00816117"/>
    <w:rsid w:val="00816553"/>
    <w:rsid w:val="00823798"/>
    <w:rsid w:val="00827ECB"/>
    <w:rsid w:val="00831806"/>
    <w:rsid w:val="00832B6C"/>
    <w:rsid w:val="00833621"/>
    <w:rsid w:val="008339FE"/>
    <w:rsid w:val="008354E4"/>
    <w:rsid w:val="00841EFC"/>
    <w:rsid w:val="008425B9"/>
    <w:rsid w:val="00845A19"/>
    <w:rsid w:val="00850E55"/>
    <w:rsid w:val="008516EB"/>
    <w:rsid w:val="008525D5"/>
    <w:rsid w:val="0085585E"/>
    <w:rsid w:val="00856F4D"/>
    <w:rsid w:val="00857DE1"/>
    <w:rsid w:val="008673E3"/>
    <w:rsid w:val="00874DF8"/>
    <w:rsid w:val="0087709F"/>
    <w:rsid w:val="00877B78"/>
    <w:rsid w:val="00880430"/>
    <w:rsid w:val="00881FE5"/>
    <w:rsid w:val="008901B8"/>
    <w:rsid w:val="00890821"/>
    <w:rsid w:val="0089385F"/>
    <w:rsid w:val="00893D29"/>
    <w:rsid w:val="00893EFE"/>
    <w:rsid w:val="008960FA"/>
    <w:rsid w:val="0089720E"/>
    <w:rsid w:val="00897B34"/>
    <w:rsid w:val="008B4632"/>
    <w:rsid w:val="008B4B0A"/>
    <w:rsid w:val="008B5B8A"/>
    <w:rsid w:val="008B6898"/>
    <w:rsid w:val="008C19A7"/>
    <w:rsid w:val="008C1C98"/>
    <w:rsid w:val="008D1702"/>
    <w:rsid w:val="008E253C"/>
    <w:rsid w:val="008F2203"/>
    <w:rsid w:val="009000B1"/>
    <w:rsid w:val="00904F61"/>
    <w:rsid w:val="00905F23"/>
    <w:rsid w:val="00906899"/>
    <w:rsid w:val="0091543F"/>
    <w:rsid w:val="00916F04"/>
    <w:rsid w:val="009175E7"/>
    <w:rsid w:val="009176D0"/>
    <w:rsid w:val="00930A52"/>
    <w:rsid w:val="009424C0"/>
    <w:rsid w:val="00945669"/>
    <w:rsid w:val="0094627C"/>
    <w:rsid w:val="009467D9"/>
    <w:rsid w:val="0095027B"/>
    <w:rsid w:val="009521E0"/>
    <w:rsid w:val="009523E6"/>
    <w:rsid w:val="009524A9"/>
    <w:rsid w:val="00952FFA"/>
    <w:rsid w:val="00954A5C"/>
    <w:rsid w:val="009568C8"/>
    <w:rsid w:val="00957F24"/>
    <w:rsid w:val="009623BD"/>
    <w:rsid w:val="009660FB"/>
    <w:rsid w:val="00976B66"/>
    <w:rsid w:val="009838FE"/>
    <w:rsid w:val="00985631"/>
    <w:rsid w:val="0098598F"/>
    <w:rsid w:val="00985B4F"/>
    <w:rsid w:val="00986F85"/>
    <w:rsid w:val="0099409D"/>
    <w:rsid w:val="009969C0"/>
    <w:rsid w:val="009A107F"/>
    <w:rsid w:val="009A5716"/>
    <w:rsid w:val="009A6573"/>
    <w:rsid w:val="009B0659"/>
    <w:rsid w:val="009B6406"/>
    <w:rsid w:val="009B67ED"/>
    <w:rsid w:val="009B6D7A"/>
    <w:rsid w:val="009C0964"/>
    <w:rsid w:val="009C25CA"/>
    <w:rsid w:val="009C29CA"/>
    <w:rsid w:val="009C5ECD"/>
    <w:rsid w:val="009D09F1"/>
    <w:rsid w:val="009D11CE"/>
    <w:rsid w:val="009D298A"/>
    <w:rsid w:val="009D2BA2"/>
    <w:rsid w:val="009E365C"/>
    <w:rsid w:val="009F0AF1"/>
    <w:rsid w:val="009F3EE0"/>
    <w:rsid w:val="00A24BFB"/>
    <w:rsid w:val="00A27C93"/>
    <w:rsid w:val="00A27EB1"/>
    <w:rsid w:val="00A34821"/>
    <w:rsid w:val="00A41995"/>
    <w:rsid w:val="00A50743"/>
    <w:rsid w:val="00A52AEE"/>
    <w:rsid w:val="00A62C92"/>
    <w:rsid w:val="00A641D3"/>
    <w:rsid w:val="00A66235"/>
    <w:rsid w:val="00A74C70"/>
    <w:rsid w:val="00A8050F"/>
    <w:rsid w:val="00A81492"/>
    <w:rsid w:val="00A82A4C"/>
    <w:rsid w:val="00A83682"/>
    <w:rsid w:val="00A86A18"/>
    <w:rsid w:val="00A87755"/>
    <w:rsid w:val="00A9369A"/>
    <w:rsid w:val="00A955A5"/>
    <w:rsid w:val="00AA16BE"/>
    <w:rsid w:val="00AA456E"/>
    <w:rsid w:val="00AA733B"/>
    <w:rsid w:val="00AB19B7"/>
    <w:rsid w:val="00AB26A3"/>
    <w:rsid w:val="00AB4422"/>
    <w:rsid w:val="00AB6C91"/>
    <w:rsid w:val="00AB73D0"/>
    <w:rsid w:val="00AC1748"/>
    <w:rsid w:val="00AC2637"/>
    <w:rsid w:val="00AC6FDF"/>
    <w:rsid w:val="00AD033B"/>
    <w:rsid w:val="00AD3157"/>
    <w:rsid w:val="00AD6B53"/>
    <w:rsid w:val="00AE5D57"/>
    <w:rsid w:val="00AF5C3B"/>
    <w:rsid w:val="00AF6F0A"/>
    <w:rsid w:val="00B00942"/>
    <w:rsid w:val="00B01B28"/>
    <w:rsid w:val="00B07C22"/>
    <w:rsid w:val="00B10C43"/>
    <w:rsid w:val="00B136BA"/>
    <w:rsid w:val="00B22214"/>
    <w:rsid w:val="00B23CAA"/>
    <w:rsid w:val="00B25244"/>
    <w:rsid w:val="00B30FFB"/>
    <w:rsid w:val="00B42861"/>
    <w:rsid w:val="00B541B9"/>
    <w:rsid w:val="00B5746E"/>
    <w:rsid w:val="00B6473A"/>
    <w:rsid w:val="00B648D9"/>
    <w:rsid w:val="00B679AA"/>
    <w:rsid w:val="00B70E81"/>
    <w:rsid w:val="00B714EF"/>
    <w:rsid w:val="00B72D81"/>
    <w:rsid w:val="00B76F46"/>
    <w:rsid w:val="00B90D55"/>
    <w:rsid w:val="00B95353"/>
    <w:rsid w:val="00B95688"/>
    <w:rsid w:val="00BA4CB8"/>
    <w:rsid w:val="00BB05C5"/>
    <w:rsid w:val="00BB5087"/>
    <w:rsid w:val="00BD12F6"/>
    <w:rsid w:val="00BD2CD1"/>
    <w:rsid w:val="00BD4345"/>
    <w:rsid w:val="00BD463F"/>
    <w:rsid w:val="00BE0A2E"/>
    <w:rsid w:val="00BE43FC"/>
    <w:rsid w:val="00BE7BDE"/>
    <w:rsid w:val="00BF30EC"/>
    <w:rsid w:val="00BF3FCD"/>
    <w:rsid w:val="00C01840"/>
    <w:rsid w:val="00C060BA"/>
    <w:rsid w:val="00C0716F"/>
    <w:rsid w:val="00C147CB"/>
    <w:rsid w:val="00C159D4"/>
    <w:rsid w:val="00C210CB"/>
    <w:rsid w:val="00C2227A"/>
    <w:rsid w:val="00C22571"/>
    <w:rsid w:val="00C2390D"/>
    <w:rsid w:val="00C26A03"/>
    <w:rsid w:val="00C26C2D"/>
    <w:rsid w:val="00C355CA"/>
    <w:rsid w:val="00C42992"/>
    <w:rsid w:val="00C43584"/>
    <w:rsid w:val="00C46678"/>
    <w:rsid w:val="00C56959"/>
    <w:rsid w:val="00C623E5"/>
    <w:rsid w:val="00C7063F"/>
    <w:rsid w:val="00C745AE"/>
    <w:rsid w:val="00C81F8F"/>
    <w:rsid w:val="00C874D0"/>
    <w:rsid w:val="00C87659"/>
    <w:rsid w:val="00C926CE"/>
    <w:rsid w:val="00C92B02"/>
    <w:rsid w:val="00C930C8"/>
    <w:rsid w:val="00CA0D43"/>
    <w:rsid w:val="00CA4F99"/>
    <w:rsid w:val="00CB43A0"/>
    <w:rsid w:val="00CC11CC"/>
    <w:rsid w:val="00CC5E37"/>
    <w:rsid w:val="00CC635C"/>
    <w:rsid w:val="00CC6C37"/>
    <w:rsid w:val="00CD14B4"/>
    <w:rsid w:val="00CD5919"/>
    <w:rsid w:val="00CD629E"/>
    <w:rsid w:val="00CD6322"/>
    <w:rsid w:val="00CD6604"/>
    <w:rsid w:val="00CE1E20"/>
    <w:rsid w:val="00CE52B1"/>
    <w:rsid w:val="00D00718"/>
    <w:rsid w:val="00D010F4"/>
    <w:rsid w:val="00D12D22"/>
    <w:rsid w:val="00D14084"/>
    <w:rsid w:val="00D2074B"/>
    <w:rsid w:val="00D237AB"/>
    <w:rsid w:val="00D24D5D"/>
    <w:rsid w:val="00D26456"/>
    <w:rsid w:val="00D26AAB"/>
    <w:rsid w:val="00D319A7"/>
    <w:rsid w:val="00D33448"/>
    <w:rsid w:val="00D34DC5"/>
    <w:rsid w:val="00D35C1E"/>
    <w:rsid w:val="00D3740F"/>
    <w:rsid w:val="00D453CB"/>
    <w:rsid w:val="00D466F1"/>
    <w:rsid w:val="00D5063F"/>
    <w:rsid w:val="00D50DC6"/>
    <w:rsid w:val="00D54483"/>
    <w:rsid w:val="00D60842"/>
    <w:rsid w:val="00D66E5E"/>
    <w:rsid w:val="00D716A2"/>
    <w:rsid w:val="00D839D9"/>
    <w:rsid w:val="00D84658"/>
    <w:rsid w:val="00D84A3E"/>
    <w:rsid w:val="00D86CED"/>
    <w:rsid w:val="00D900A6"/>
    <w:rsid w:val="00D923DF"/>
    <w:rsid w:val="00D92E4A"/>
    <w:rsid w:val="00DB0AA1"/>
    <w:rsid w:val="00DB4A20"/>
    <w:rsid w:val="00DC34C4"/>
    <w:rsid w:val="00DC3892"/>
    <w:rsid w:val="00DC455A"/>
    <w:rsid w:val="00DC699E"/>
    <w:rsid w:val="00DD2F25"/>
    <w:rsid w:val="00DD6AB4"/>
    <w:rsid w:val="00DD76B1"/>
    <w:rsid w:val="00DE1FEE"/>
    <w:rsid w:val="00DF0104"/>
    <w:rsid w:val="00DF0477"/>
    <w:rsid w:val="00DF4EC8"/>
    <w:rsid w:val="00DF5597"/>
    <w:rsid w:val="00E01B0E"/>
    <w:rsid w:val="00E02E1A"/>
    <w:rsid w:val="00E1192F"/>
    <w:rsid w:val="00E11D70"/>
    <w:rsid w:val="00E132A6"/>
    <w:rsid w:val="00E151D2"/>
    <w:rsid w:val="00E15F50"/>
    <w:rsid w:val="00E24899"/>
    <w:rsid w:val="00E368FA"/>
    <w:rsid w:val="00E37D01"/>
    <w:rsid w:val="00E42133"/>
    <w:rsid w:val="00E4498C"/>
    <w:rsid w:val="00E5234A"/>
    <w:rsid w:val="00E52748"/>
    <w:rsid w:val="00E547AC"/>
    <w:rsid w:val="00E552D9"/>
    <w:rsid w:val="00E61F20"/>
    <w:rsid w:val="00E64E0F"/>
    <w:rsid w:val="00E83FDB"/>
    <w:rsid w:val="00E84EA4"/>
    <w:rsid w:val="00E944CF"/>
    <w:rsid w:val="00EA3E34"/>
    <w:rsid w:val="00EB351C"/>
    <w:rsid w:val="00EB6244"/>
    <w:rsid w:val="00EB7FAB"/>
    <w:rsid w:val="00EC0D5A"/>
    <w:rsid w:val="00EC47B4"/>
    <w:rsid w:val="00ED111F"/>
    <w:rsid w:val="00ED67D7"/>
    <w:rsid w:val="00EE0F9B"/>
    <w:rsid w:val="00EE4177"/>
    <w:rsid w:val="00EE50A3"/>
    <w:rsid w:val="00EE69A6"/>
    <w:rsid w:val="00EE74B9"/>
    <w:rsid w:val="00EF63A4"/>
    <w:rsid w:val="00F00BC5"/>
    <w:rsid w:val="00F0601B"/>
    <w:rsid w:val="00F063C9"/>
    <w:rsid w:val="00F11DF2"/>
    <w:rsid w:val="00F12CB0"/>
    <w:rsid w:val="00F167FE"/>
    <w:rsid w:val="00F16AF4"/>
    <w:rsid w:val="00F20509"/>
    <w:rsid w:val="00F2628A"/>
    <w:rsid w:val="00F271A2"/>
    <w:rsid w:val="00F309F5"/>
    <w:rsid w:val="00F31B42"/>
    <w:rsid w:val="00F33D7D"/>
    <w:rsid w:val="00F36948"/>
    <w:rsid w:val="00F371C6"/>
    <w:rsid w:val="00F40A84"/>
    <w:rsid w:val="00F41812"/>
    <w:rsid w:val="00F41CD6"/>
    <w:rsid w:val="00F438A6"/>
    <w:rsid w:val="00F45C9E"/>
    <w:rsid w:val="00F4766C"/>
    <w:rsid w:val="00F50645"/>
    <w:rsid w:val="00F50FAD"/>
    <w:rsid w:val="00F558B5"/>
    <w:rsid w:val="00F5741A"/>
    <w:rsid w:val="00F575CE"/>
    <w:rsid w:val="00F61D1C"/>
    <w:rsid w:val="00F710CA"/>
    <w:rsid w:val="00F71136"/>
    <w:rsid w:val="00F7348E"/>
    <w:rsid w:val="00F74CE8"/>
    <w:rsid w:val="00F77EBB"/>
    <w:rsid w:val="00F91F1A"/>
    <w:rsid w:val="00FA27A4"/>
    <w:rsid w:val="00FA3795"/>
    <w:rsid w:val="00FA4469"/>
    <w:rsid w:val="00FA6849"/>
    <w:rsid w:val="00FA6DBC"/>
    <w:rsid w:val="00FB1F37"/>
    <w:rsid w:val="00FB3CEF"/>
    <w:rsid w:val="00FB4E1D"/>
    <w:rsid w:val="00FB54F4"/>
    <w:rsid w:val="00FC1258"/>
    <w:rsid w:val="00FC321E"/>
    <w:rsid w:val="00FC5353"/>
    <w:rsid w:val="00FD1993"/>
    <w:rsid w:val="00FD3C98"/>
    <w:rsid w:val="00FE08F3"/>
    <w:rsid w:val="00FE0968"/>
    <w:rsid w:val="00FE3D92"/>
    <w:rsid w:val="00FF1ABD"/>
    <w:rsid w:val="00FF1E73"/>
    <w:rsid w:val="00FF7095"/>
    <w:rsid w:val="00FF716F"/>
    <w:rsid w:val="0134B7A1"/>
    <w:rsid w:val="01924F2C"/>
    <w:rsid w:val="01B5AF0E"/>
    <w:rsid w:val="01C3B16B"/>
    <w:rsid w:val="01E5445C"/>
    <w:rsid w:val="020B24E2"/>
    <w:rsid w:val="021CFD37"/>
    <w:rsid w:val="022DC680"/>
    <w:rsid w:val="024C0A2C"/>
    <w:rsid w:val="025B9C4F"/>
    <w:rsid w:val="0270302E"/>
    <w:rsid w:val="02BF4915"/>
    <w:rsid w:val="0324591C"/>
    <w:rsid w:val="034144A9"/>
    <w:rsid w:val="0348C978"/>
    <w:rsid w:val="034F65E8"/>
    <w:rsid w:val="035FEA32"/>
    <w:rsid w:val="04099327"/>
    <w:rsid w:val="044D6ACA"/>
    <w:rsid w:val="04FD55E8"/>
    <w:rsid w:val="050F27CD"/>
    <w:rsid w:val="051DA693"/>
    <w:rsid w:val="056B6C9E"/>
    <w:rsid w:val="05793480"/>
    <w:rsid w:val="0640EC05"/>
    <w:rsid w:val="067CD8E5"/>
    <w:rsid w:val="0682AE7A"/>
    <w:rsid w:val="06843629"/>
    <w:rsid w:val="06DE47EF"/>
    <w:rsid w:val="073BD2CD"/>
    <w:rsid w:val="082F991B"/>
    <w:rsid w:val="090C5560"/>
    <w:rsid w:val="096C0F1B"/>
    <w:rsid w:val="0AE9B082"/>
    <w:rsid w:val="0B486C8D"/>
    <w:rsid w:val="0B631922"/>
    <w:rsid w:val="0B77515E"/>
    <w:rsid w:val="0BAA80F8"/>
    <w:rsid w:val="0C0AE7E5"/>
    <w:rsid w:val="0C2767B3"/>
    <w:rsid w:val="0C41EFC6"/>
    <w:rsid w:val="0C6CF479"/>
    <w:rsid w:val="0DDF43D7"/>
    <w:rsid w:val="0E6405AD"/>
    <w:rsid w:val="0ECB5847"/>
    <w:rsid w:val="0F17410C"/>
    <w:rsid w:val="0F6A8E18"/>
    <w:rsid w:val="0FD78E64"/>
    <w:rsid w:val="100C7EB0"/>
    <w:rsid w:val="105F656D"/>
    <w:rsid w:val="106A81CD"/>
    <w:rsid w:val="1112044B"/>
    <w:rsid w:val="118D5B7E"/>
    <w:rsid w:val="11970B8D"/>
    <w:rsid w:val="11EA1B93"/>
    <w:rsid w:val="12C7FC64"/>
    <w:rsid w:val="1300161E"/>
    <w:rsid w:val="131FA65A"/>
    <w:rsid w:val="13D8A15D"/>
    <w:rsid w:val="14008745"/>
    <w:rsid w:val="141E0EA5"/>
    <w:rsid w:val="14331FBE"/>
    <w:rsid w:val="1440C1E4"/>
    <w:rsid w:val="1467BBA3"/>
    <w:rsid w:val="14C6FB8C"/>
    <w:rsid w:val="153A1E91"/>
    <w:rsid w:val="15E45536"/>
    <w:rsid w:val="16B19CBC"/>
    <w:rsid w:val="16FE2464"/>
    <w:rsid w:val="17196D17"/>
    <w:rsid w:val="17534D37"/>
    <w:rsid w:val="17814D80"/>
    <w:rsid w:val="18122AAA"/>
    <w:rsid w:val="181FBF83"/>
    <w:rsid w:val="188E2F81"/>
    <w:rsid w:val="18D87D3B"/>
    <w:rsid w:val="18E1CB4A"/>
    <w:rsid w:val="1AA5A7F2"/>
    <w:rsid w:val="1B86765A"/>
    <w:rsid w:val="1BE2A59D"/>
    <w:rsid w:val="1C020D75"/>
    <w:rsid w:val="1C3F769F"/>
    <w:rsid w:val="1C4DF3AC"/>
    <w:rsid w:val="1CE359D5"/>
    <w:rsid w:val="1DBEB9FD"/>
    <w:rsid w:val="1E2C4B78"/>
    <w:rsid w:val="1EE4251F"/>
    <w:rsid w:val="1F79259F"/>
    <w:rsid w:val="1FA70F0C"/>
    <w:rsid w:val="2082DBEA"/>
    <w:rsid w:val="20C7CF56"/>
    <w:rsid w:val="20ED4DC9"/>
    <w:rsid w:val="210CEE68"/>
    <w:rsid w:val="22CB843E"/>
    <w:rsid w:val="22D630B5"/>
    <w:rsid w:val="2363E7D5"/>
    <w:rsid w:val="2374BF71"/>
    <w:rsid w:val="23C8802A"/>
    <w:rsid w:val="242AFB1A"/>
    <w:rsid w:val="2544CAE8"/>
    <w:rsid w:val="260C2325"/>
    <w:rsid w:val="269597A5"/>
    <w:rsid w:val="2772DF63"/>
    <w:rsid w:val="27B27A73"/>
    <w:rsid w:val="286DA6A6"/>
    <w:rsid w:val="28976FF5"/>
    <w:rsid w:val="28C25EEB"/>
    <w:rsid w:val="28DAD9CB"/>
    <w:rsid w:val="29DBC046"/>
    <w:rsid w:val="29DC4A82"/>
    <w:rsid w:val="2A393417"/>
    <w:rsid w:val="2A583D6F"/>
    <w:rsid w:val="2AF42CAD"/>
    <w:rsid w:val="2AF93E3F"/>
    <w:rsid w:val="2B3D20DD"/>
    <w:rsid w:val="2B6D0C46"/>
    <w:rsid w:val="2C2CB511"/>
    <w:rsid w:val="2C51CC6C"/>
    <w:rsid w:val="2CEB5A72"/>
    <w:rsid w:val="2CF3202F"/>
    <w:rsid w:val="2DA2EC73"/>
    <w:rsid w:val="2DD85E8F"/>
    <w:rsid w:val="2E993CBC"/>
    <w:rsid w:val="2EB66675"/>
    <w:rsid w:val="2ED7FDF2"/>
    <w:rsid w:val="2EEC9621"/>
    <w:rsid w:val="2EF71DB3"/>
    <w:rsid w:val="2F3274AB"/>
    <w:rsid w:val="2F85C459"/>
    <w:rsid w:val="2FA275A5"/>
    <w:rsid w:val="3038A270"/>
    <w:rsid w:val="307FF291"/>
    <w:rsid w:val="30876A30"/>
    <w:rsid w:val="3095D94F"/>
    <w:rsid w:val="3097F2D4"/>
    <w:rsid w:val="31494B3A"/>
    <w:rsid w:val="3155D24C"/>
    <w:rsid w:val="31C63BC0"/>
    <w:rsid w:val="3203282D"/>
    <w:rsid w:val="327ACB31"/>
    <w:rsid w:val="327CDE51"/>
    <w:rsid w:val="330E62FF"/>
    <w:rsid w:val="3320454F"/>
    <w:rsid w:val="3323BA69"/>
    <w:rsid w:val="33FC5F24"/>
    <w:rsid w:val="34382733"/>
    <w:rsid w:val="348DDE6D"/>
    <w:rsid w:val="358D867E"/>
    <w:rsid w:val="36096326"/>
    <w:rsid w:val="36A1128D"/>
    <w:rsid w:val="372158B2"/>
    <w:rsid w:val="373DC3B3"/>
    <w:rsid w:val="37C2BF80"/>
    <w:rsid w:val="38E0C87A"/>
    <w:rsid w:val="396DBF2D"/>
    <w:rsid w:val="39E489D1"/>
    <w:rsid w:val="39EEF400"/>
    <w:rsid w:val="3A10A9E2"/>
    <w:rsid w:val="3A74803D"/>
    <w:rsid w:val="3AA1636F"/>
    <w:rsid w:val="3ABEAB0A"/>
    <w:rsid w:val="3B368518"/>
    <w:rsid w:val="3C514D18"/>
    <w:rsid w:val="3C574D97"/>
    <w:rsid w:val="3D1D2B78"/>
    <w:rsid w:val="3E9B4A18"/>
    <w:rsid w:val="3F26F0A7"/>
    <w:rsid w:val="40446225"/>
    <w:rsid w:val="405E839F"/>
    <w:rsid w:val="40AAEE67"/>
    <w:rsid w:val="4142D1FA"/>
    <w:rsid w:val="426A2DA2"/>
    <w:rsid w:val="4373485F"/>
    <w:rsid w:val="43BD84CF"/>
    <w:rsid w:val="4414A5B6"/>
    <w:rsid w:val="4448CC14"/>
    <w:rsid w:val="44ACA99C"/>
    <w:rsid w:val="451147AC"/>
    <w:rsid w:val="45DC863B"/>
    <w:rsid w:val="46C2D1D2"/>
    <w:rsid w:val="472D8564"/>
    <w:rsid w:val="4807A29C"/>
    <w:rsid w:val="48997122"/>
    <w:rsid w:val="494E4750"/>
    <w:rsid w:val="496D420C"/>
    <w:rsid w:val="49C5A468"/>
    <w:rsid w:val="49EB3875"/>
    <w:rsid w:val="4A40F034"/>
    <w:rsid w:val="4AF72F2B"/>
    <w:rsid w:val="4B392A8E"/>
    <w:rsid w:val="4B6781EE"/>
    <w:rsid w:val="4D5C456E"/>
    <w:rsid w:val="4D82AB8B"/>
    <w:rsid w:val="4E4675E7"/>
    <w:rsid w:val="4E99764F"/>
    <w:rsid w:val="4EF848DE"/>
    <w:rsid w:val="4F23D5CF"/>
    <w:rsid w:val="4F484E0B"/>
    <w:rsid w:val="5038E263"/>
    <w:rsid w:val="50FCB015"/>
    <w:rsid w:val="52FC43F0"/>
    <w:rsid w:val="53008154"/>
    <w:rsid w:val="535606DC"/>
    <w:rsid w:val="535B6AA7"/>
    <w:rsid w:val="53A262B2"/>
    <w:rsid w:val="53B6C88B"/>
    <w:rsid w:val="53C9F11D"/>
    <w:rsid w:val="53D228CB"/>
    <w:rsid w:val="54A7EAB2"/>
    <w:rsid w:val="54F7A2BF"/>
    <w:rsid w:val="5573C6E1"/>
    <w:rsid w:val="56398E56"/>
    <w:rsid w:val="563E956C"/>
    <w:rsid w:val="564335EC"/>
    <w:rsid w:val="57307FAC"/>
    <w:rsid w:val="575EEEB5"/>
    <w:rsid w:val="57860FA4"/>
    <w:rsid w:val="57E14813"/>
    <w:rsid w:val="59047C7E"/>
    <w:rsid w:val="594CA0CA"/>
    <w:rsid w:val="59E3DFAC"/>
    <w:rsid w:val="5A3FC0AE"/>
    <w:rsid w:val="5A670BEE"/>
    <w:rsid w:val="5BF37698"/>
    <w:rsid w:val="5E0D79B3"/>
    <w:rsid w:val="5E2F4E47"/>
    <w:rsid w:val="5F5D0A11"/>
    <w:rsid w:val="5FE59540"/>
    <w:rsid w:val="6017B970"/>
    <w:rsid w:val="61496336"/>
    <w:rsid w:val="619726C7"/>
    <w:rsid w:val="61E21B0C"/>
    <w:rsid w:val="61FBEF52"/>
    <w:rsid w:val="62E880FE"/>
    <w:rsid w:val="62F22A41"/>
    <w:rsid w:val="635462A4"/>
    <w:rsid w:val="6381D216"/>
    <w:rsid w:val="6405E8B4"/>
    <w:rsid w:val="64580CBB"/>
    <w:rsid w:val="64FBB152"/>
    <w:rsid w:val="66513EC8"/>
    <w:rsid w:val="66AE68F5"/>
    <w:rsid w:val="66FC2DE4"/>
    <w:rsid w:val="6781EC13"/>
    <w:rsid w:val="678C7E8E"/>
    <w:rsid w:val="67958F06"/>
    <w:rsid w:val="67A5FF55"/>
    <w:rsid w:val="67FF59C4"/>
    <w:rsid w:val="698FC6EC"/>
    <w:rsid w:val="6A1D9CCD"/>
    <w:rsid w:val="6A81E70D"/>
    <w:rsid w:val="6AB3309C"/>
    <w:rsid w:val="6BA67391"/>
    <w:rsid w:val="6BEC65BA"/>
    <w:rsid w:val="6C01A43F"/>
    <w:rsid w:val="6C9BEFFA"/>
    <w:rsid w:val="6CAAECBD"/>
    <w:rsid w:val="6CB93159"/>
    <w:rsid w:val="6D137F34"/>
    <w:rsid w:val="6D1F51C2"/>
    <w:rsid w:val="6DDAEDB5"/>
    <w:rsid w:val="6E310059"/>
    <w:rsid w:val="6E3A5841"/>
    <w:rsid w:val="6E3BE691"/>
    <w:rsid w:val="6F5A9E63"/>
    <w:rsid w:val="6F7315A5"/>
    <w:rsid w:val="6FBEE37D"/>
    <w:rsid w:val="6FE8CCA1"/>
    <w:rsid w:val="70680725"/>
    <w:rsid w:val="7087D290"/>
    <w:rsid w:val="7133D3C5"/>
    <w:rsid w:val="7171AD04"/>
    <w:rsid w:val="7361E6BE"/>
    <w:rsid w:val="746914CA"/>
    <w:rsid w:val="74DECC89"/>
    <w:rsid w:val="752BA1C0"/>
    <w:rsid w:val="75B4A8BB"/>
    <w:rsid w:val="762DBFD3"/>
    <w:rsid w:val="7637656D"/>
    <w:rsid w:val="763C53A7"/>
    <w:rsid w:val="7734F10E"/>
    <w:rsid w:val="77581C60"/>
    <w:rsid w:val="77D91EAF"/>
    <w:rsid w:val="78728662"/>
    <w:rsid w:val="795E2B4C"/>
    <w:rsid w:val="7965F402"/>
    <w:rsid w:val="79CDC33D"/>
    <w:rsid w:val="79F863F6"/>
    <w:rsid w:val="7A080711"/>
    <w:rsid w:val="7A336C6B"/>
    <w:rsid w:val="7A3D9E0C"/>
    <w:rsid w:val="7A4C9379"/>
    <w:rsid w:val="7A4FDFE3"/>
    <w:rsid w:val="7A9D89EC"/>
    <w:rsid w:val="7B15FC90"/>
    <w:rsid w:val="7C53C365"/>
    <w:rsid w:val="7D017C68"/>
    <w:rsid w:val="7DD7C29A"/>
    <w:rsid w:val="7E593826"/>
    <w:rsid w:val="7E6959F6"/>
    <w:rsid w:val="7EC88B5D"/>
    <w:rsid w:val="7EEA1C18"/>
    <w:rsid w:val="7F7D60CF"/>
    <w:rsid w:val="7FB2FB39"/>
    <w:rsid w:val="7FEC391A"/>
  </w:rsids>
  <m:mathPr>
    <m:mathFont m:val="Cambria Math"/>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14:docId w14:val="1EBCF22A"/>
  <w15:docId w15:val="{753CFC81-0689-4852-BEE2-A5C079D6C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autoSpaceDE w:val="0"/>
      <w:autoSpaceDN w:val="0"/>
      <w:adjustRightInd w:val="0"/>
    </w:pPr>
    <w:rPr>
      <w:rFonts w:ascii="Courier" w:hAnsi="Courier"/>
      <w:szCs w:val="24"/>
      <w:lang w:eastAsia="en-US"/>
    </w:rPr>
  </w:style>
  <w:style w:type="paragraph" w:styleId="Heading1">
    <w:name w:val="heading 1"/>
    <w:basedOn w:val="Normal"/>
    <w:next w:val="Normal"/>
    <w:link w:val="Heading1Char"/>
    <w:qFormat/>
    <w:rsid w:val="002417E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semiHidden/>
    <w:unhideWhenUsed/>
    <w:qFormat/>
    <w:rsid w:val="002417E4"/>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Footnote Reference),12,BVI fnr,EN Footnote Reference,Exposant 3 Point,Footnote,Footnote Reference Superscript,Footnote reference number,Footnote symbol,SUPERS,Style 16,Style 19,Style 35,Times 10 Point,Voetnootverwijzing,fr,note TESI"/>
    <w:uiPriority w:val="99"/>
    <w:qFormat/>
  </w:style>
  <w:style w:type="paragraph" w:styleId="BodyTextIndent">
    <w:name w:val="Body Text Indent"/>
    <w:basedOn w:val="Normal"/>
    <w:pPr>
      <w:spacing w:line="229" w:lineRule="exact"/>
    </w:pPr>
    <w:rPr>
      <w:color w:val="00FFFF"/>
      <w:sz w:val="24"/>
    </w:rPr>
  </w:style>
  <w:style w:type="paragraph" w:styleId="BodyTextIndent2">
    <w:name w:val="Body Text Indent 2"/>
    <w:basedOn w:val="Normal"/>
    <w:pPr>
      <w:ind w:firstLine="720"/>
    </w:pPr>
    <w:rPr>
      <w:rFonts w:ascii="Times New Roman" w:hAnsi="Times New Roman"/>
    </w:rPr>
  </w:style>
  <w:style w:type="paragraph" w:styleId="BodyText">
    <w:name w:val="Body Text"/>
    <w:basedOn w:val="Normal"/>
    <w:pPr>
      <w:jc w:val="center"/>
    </w:pPr>
    <w:rPr>
      <w:rFonts w:ascii="Times New Roman" w:hAnsi="Times New Roman"/>
      <w:sz w:val="24"/>
      <w:u w:val="single"/>
    </w:rPr>
  </w:style>
  <w:style w:type="paragraph" w:styleId="BodyText2">
    <w:name w:val="Body Text 2"/>
    <w:basedOn w:val="Normal"/>
    <w:rPr>
      <w:rFonts w:ascii="Times New Roman" w:hAnsi="Times New Roman"/>
      <w:sz w:val="24"/>
    </w:rPr>
  </w:style>
  <w:style w:type="paragraph" w:styleId="BodyText3">
    <w:name w:val="Body Text 3"/>
    <w:basedOn w:val="Normal"/>
    <w:pPr>
      <w:jc w:val="center"/>
    </w:pPr>
    <w:rPr>
      <w:rFonts w:ascii="Times New Roman" w:hAnsi="Times New Roman"/>
      <w:b/>
      <w:i/>
      <w:sz w:val="24"/>
      <w:u w:val="single"/>
    </w:rPr>
  </w:style>
  <w:style w:type="paragraph" w:styleId="Header">
    <w:name w:val="header"/>
    <w:basedOn w:val="Normal"/>
    <w:link w:val="HeaderChar"/>
    <w:uiPriority w:val="99"/>
    <w:rsid w:val="002B27FA"/>
    <w:pPr>
      <w:tabs>
        <w:tab w:val="center" w:pos="4680"/>
        <w:tab w:val="right" w:pos="9360"/>
      </w:tabs>
    </w:pPr>
  </w:style>
  <w:style w:type="character" w:customStyle="1" w:styleId="HeaderChar">
    <w:name w:val="Header Char"/>
    <w:link w:val="Header"/>
    <w:uiPriority w:val="99"/>
    <w:rsid w:val="002B27FA"/>
    <w:rPr>
      <w:rFonts w:ascii="Courier" w:hAnsi="Courier"/>
      <w:szCs w:val="24"/>
    </w:rPr>
  </w:style>
  <w:style w:type="paragraph" w:styleId="Footer">
    <w:name w:val="footer"/>
    <w:basedOn w:val="Normal"/>
    <w:link w:val="FooterChar"/>
    <w:uiPriority w:val="99"/>
    <w:rsid w:val="002B27FA"/>
    <w:pPr>
      <w:tabs>
        <w:tab w:val="center" w:pos="4680"/>
        <w:tab w:val="right" w:pos="9360"/>
      </w:tabs>
    </w:pPr>
  </w:style>
  <w:style w:type="character" w:customStyle="1" w:styleId="FooterChar">
    <w:name w:val="Footer Char"/>
    <w:link w:val="Footer"/>
    <w:uiPriority w:val="99"/>
    <w:rsid w:val="002B27FA"/>
    <w:rPr>
      <w:rFonts w:ascii="Courier" w:hAnsi="Courier"/>
      <w:szCs w:val="24"/>
    </w:rPr>
  </w:style>
  <w:style w:type="character" w:styleId="Hyperlink">
    <w:name w:val="Hyperlink"/>
    <w:uiPriority w:val="99"/>
    <w:rsid w:val="00CC635C"/>
    <w:rPr>
      <w:color w:val="0000FF"/>
      <w:u w:val="single"/>
    </w:rPr>
  </w:style>
  <w:style w:type="paragraph" w:customStyle="1" w:styleId="Default">
    <w:name w:val="Default"/>
    <w:rsid w:val="00CC635C"/>
    <w:pPr>
      <w:autoSpaceDE w:val="0"/>
      <w:autoSpaceDN w:val="0"/>
      <w:adjustRightInd w:val="0"/>
    </w:pPr>
    <w:rPr>
      <w:color w:val="000000"/>
      <w:sz w:val="24"/>
      <w:szCs w:val="24"/>
      <w:lang w:eastAsia="en-US"/>
    </w:rPr>
  </w:style>
  <w:style w:type="paragraph" w:styleId="BalloonText">
    <w:name w:val="Balloon Text"/>
    <w:basedOn w:val="Normal"/>
    <w:link w:val="BalloonTextChar"/>
    <w:rsid w:val="00BB5087"/>
    <w:rPr>
      <w:rFonts w:ascii="Tahoma" w:hAnsi="Tahoma" w:cs="Tahoma"/>
      <w:sz w:val="16"/>
      <w:szCs w:val="16"/>
    </w:rPr>
  </w:style>
  <w:style w:type="character" w:customStyle="1" w:styleId="BalloonTextChar">
    <w:name w:val="Balloon Text Char"/>
    <w:link w:val="BalloonText"/>
    <w:rsid w:val="00BB5087"/>
    <w:rPr>
      <w:rFonts w:ascii="Tahoma" w:hAnsi="Tahoma" w:cs="Tahoma"/>
      <w:sz w:val="16"/>
      <w:szCs w:val="16"/>
    </w:rPr>
  </w:style>
  <w:style w:type="character" w:styleId="FollowedHyperlink">
    <w:name w:val="FollowedHyperlink"/>
    <w:rsid w:val="009568C8"/>
    <w:rPr>
      <w:color w:val="954F72"/>
      <w:u w:val="single"/>
    </w:rPr>
  </w:style>
  <w:style w:type="paragraph" w:styleId="FootnoteText">
    <w:name w:val="footnote text"/>
    <w:aliases w:val=" Char,ALTS FOOTNOTE,Car,Char,Footnote Text Char Char,Footnote Text Char Char Char Char,Footnote Text Char Char Char Char Char Char Char Char Char Char Char Char Char Char Char Char Char,Footnote Text Char1 Char Char,Fußnote,Style 15,fn,ft"/>
    <w:basedOn w:val="Normal"/>
    <w:link w:val="FootnoteTextChar"/>
    <w:uiPriority w:val="99"/>
    <w:qFormat/>
    <w:rsid w:val="00174A54"/>
    <w:rPr>
      <w:rFonts w:ascii="Arial" w:hAnsi="Arial" w:cs="Arial"/>
      <w:szCs w:val="20"/>
    </w:rPr>
  </w:style>
  <w:style w:type="character" w:customStyle="1" w:styleId="FootnoteTextChar">
    <w:name w:val="Footnote Text Char"/>
    <w:aliases w:val="Car Char,Footnote Text Char Char Char,Footnote Text Char Char Char Char Char,Footnote Text Char Char Char Char Char Char Char Char Char Char Char Char Char Char Char Char Char Char,Footnote Text Char1 Char Char Char,fn Char,ft Char"/>
    <w:link w:val="FootnoteText"/>
    <w:uiPriority w:val="99"/>
    <w:rsid w:val="00174A54"/>
    <w:rPr>
      <w:rFonts w:ascii="Arial" w:hAnsi="Arial" w:cs="Arial"/>
      <w:lang w:eastAsia="en-US"/>
    </w:rPr>
  </w:style>
  <w:style w:type="character" w:styleId="CommentReference">
    <w:name w:val="annotation reference"/>
    <w:basedOn w:val="DefaultParagraphFont"/>
    <w:uiPriority w:val="99"/>
    <w:rsid w:val="00CC11CC"/>
    <w:rPr>
      <w:sz w:val="16"/>
      <w:szCs w:val="16"/>
    </w:rPr>
  </w:style>
  <w:style w:type="paragraph" w:styleId="CommentText">
    <w:name w:val="annotation text"/>
    <w:basedOn w:val="Normal"/>
    <w:link w:val="CommentTextChar"/>
    <w:uiPriority w:val="99"/>
    <w:rsid w:val="00CC11CC"/>
    <w:rPr>
      <w:szCs w:val="20"/>
    </w:rPr>
  </w:style>
  <w:style w:type="character" w:customStyle="1" w:styleId="CommentTextChar">
    <w:name w:val="Comment Text Char"/>
    <w:basedOn w:val="DefaultParagraphFont"/>
    <w:link w:val="CommentText"/>
    <w:uiPriority w:val="99"/>
    <w:rsid w:val="00CC11CC"/>
    <w:rPr>
      <w:rFonts w:ascii="Courier" w:hAnsi="Courier"/>
      <w:lang w:eastAsia="en-US"/>
    </w:rPr>
  </w:style>
  <w:style w:type="paragraph" w:styleId="CommentSubject">
    <w:name w:val="annotation subject"/>
    <w:basedOn w:val="CommentText"/>
    <w:next w:val="CommentText"/>
    <w:link w:val="CommentSubjectChar"/>
    <w:rsid w:val="00CC11CC"/>
    <w:rPr>
      <w:b/>
      <w:bCs/>
    </w:rPr>
  </w:style>
  <w:style w:type="character" w:customStyle="1" w:styleId="CommentSubjectChar">
    <w:name w:val="Comment Subject Char"/>
    <w:basedOn w:val="CommentTextChar"/>
    <w:link w:val="CommentSubject"/>
    <w:rsid w:val="00CC11CC"/>
    <w:rPr>
      <w:rFonts w:ascii="Courier" w:hAnsi="Courier"/>
      <w:b/>
      <w:bCs/>
      <w:lang w:eastAsia="en-US"/>
    </w:rPr>
  </w:style>
  <w:style w:type="paragraph" w:styleId="PlainText">
    <w:name w:val="Plain Text"/>
    <w:basedOn w:val="Normal"/>
    <w:link w:val="PlainTextChar"/>
    <w:rsid w:val="004F1E9C"/>
    <w:pPr>
      <w:widowControl/>
      <w:autoSpaceDE/>
      <w:autoSpaceDN/>
      <w:adjustRightInd/>
    </w:pPr>
    <w:rPr>
      <w:rFonts w:ascii="Courier New" w:hAnsi="Courier New" w:cs="Courier New"/>
      <w:szCs w:val="20"/>
    </w:rPr>
  </w:style>
  <w:style w:type="character" w:customStyle="1" w:styleId="PlainTextChar">
    <w:name w:val="Plain Text Char"/>
    <w:basedOn w:val="DefaultParagraphFont"/>
    <w:link w:val="PlainText"/>
    <w:rsid w:val="004F1E9C"/>
    <w:rPr>
      <w:rFonts w:ascii="Courier New" w:hAnsi="Courier New" w:cs="Courier New"/>
      <w:lang w:eastAsia="en-US"/>
    </w:rPr>
  </w:style>
  <w:style w:type="character" w:customStyle="1" w:styleId="Heading1Char">
    <w:name w:val="Heading 1 Char"/>
    <w:basedOn w:val="DefaultParagraphFont"/>
    <w:link w:val="Heading1"/>
    <w:rsid w:val="002417E4"/>
    <w:rPr>
      <w:rFonts w:asciiTheme="majorHAnsi" w:eastAsiaTheme="majorEastAsia" w:hAnsiTheme="majorHAnsi" w:cstheme="majorBidi"/>
      <w:color w:val="2E74B5" w:themeColor="accent1" w:themeShade="BF"/>
      <w:sz w:val="32"/>
      <w:szCs w:val="32"/>
      <w:lang w:eastAsia="en-US"/>
    </w:rPr>
  </w:style>
  <w:style w:type="character" w:customStyle="1" w:styleId="Heading2Char">
    <w:name w:val="Heading 2 Char"/>
    <w:basedOn w:val="DefaultParagraphFont"/>
    <w:link w:val="Heading2"/>
    <w:semiHidden/>
    <w:rsid w:val="002417E4"/>
    <w:rPr>
      <w:rFonts w:asciiTheme="majorHAnsi" w:eastAsiaTheme="majorEastAsia" w:hAnsiTheme="majorHAnsi" w:cstheme="majorBidi"/>
      <w:color w:val="2E74B5" w:themeColor="accent1" w:themeShade="BF"/>
      <w:sz w:val="26"/>
      <w:szCs w:val="26"/>
      <w:lang w:eastAsia="en-US"/>
    </w:rPr>
  </w:style>
  <w:style w:type="table" w:customStyle="1" w:styleId="TableGrid1">
    <w:name w:val="Table Grid1"/>
    <w:basedOn w:val="TableNormal"/>
    <w:next w:val="TableGrid"/>
    <w:uiPriority w:val="39"/>
    <w:rsid w:val="005325B3"/>
    <w:rPr>
      <w:rFonts w:asciiTheme="minorHAnsi" w:eastAsiaTheme="minorHAnsi" w:hAnsiTheme="minorHAnsi" w:cstheme="minorBidi"/>
      <w:sz w:val="22"/>
      <w:szCs w:val="22"/>
      <w:lang w:val="es-A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5325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5325B3"/>
    <w:rPr>
      <w:rFonts w:asciiTheme="minorHAnsi" w:eastAsiaTheme="minorHAnsi" w:hAnsiTheme="minorHAnsi" w:cstheme="minorBidi"/>
      <w:sz w:val="22"/>
      <w:szCs w:val="22"/>
      <w:lang w:val="es-A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184088"/>
    <w:rPr>
      <w:i/>
      <w:iCs/>
    </w:rPr>
  </w:style>
  <w:style w:type="character" w:styleId="Mention">
    <w:name w:val="Mention"/>
    <w:basedOn w:val="DefaultParagraphFont"/>
    <w:uiPriority w:val="99"/>
    <w:unhideWhenUsed/>
    <w:rsid w:val="00AB4422"/>
    <w:rPr>
      <w:color w:val="2B579A"/>
      <w:shd w:val="clear" w:color="auto" w:fill="E1DFDD"/>
    </w:rPr>
  </w:style>
  <w:style w:type="paragraph" w:styleId="Revision">
    <w:name w:val="Revision"/>
    <w:hidden/>
    <w:uiPriority w:val="99"/>
    <w:semiHidden/>
    <w:rsid w:val="006A4AA3"/>
    <w:rPr>
      <w:rFonts w:ascii="Courier" w:hAnsi="Courier"/>
      <w:szCs w:val="24"/>
      <w:lang w:eastAsia="en-US"/>
    </w:rPr>
  </w:style>
  <w:style w:type="character" w:styleId="UnresolvedMention">
    <w:name w:val="Unresolved Mention"/>
    <w:basedOn w:val="DefaultParagraphFont"/>
    <w:uiPriority w:val="99"/>
    <w:semiHidden/>
    <w:unhideWhenUsed/>
    <w:rsid w:val="00F12C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ecfr.gov/current/title-31/subtitle-B/chapter-X/part-1010/subpart-F/subject-group-ECFR38b4e037e434276/section-1010.630" TargetMode="External" /><Relationship Id="rId11" Type="http://schemas.openxmlformats.org/officeDocument/2006/relationships/hyperlink" Target="https://www.federalregister.gov/documents/2025/03/28/2025-05349/agency-information-collection-activities-proposed-renewal-comment-request-renewal-without-change-of" TargetMode="External" /><Relationship Id="rId12" Type="http://schemas.openxmlformats.org/officeDocument/2006/relationships/header" Target="header1.xml" /><Relationship Id="rId13" Type="http://schemas.openxmlformats.org/officeDocument/2006/relationships/footer" Target="footer1.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notes.xml.rels><?xml version="1.0" encoding="utf-8" standalone="yes"?><Relationships xmlns="http://schemas.openxmlformats.org/package/2006/relationships"><Relationship Id="rId1" Type="http://schemas.openxmlformats.org/officeDocument/2006/relationships/hyperlink" Target="https://www.law.cornell.edu/topn/bank_deposit_insurance_act" TargetMode="External" /><Relationship Id="rId10" Type="http://schemas.openxmlformats.org/officeDocument/2006/relationships/hyperlink" Target="https://www.regulations.gov/document/FINCEN-2025-0005-0001" TargetMode="External" /><Relationship Id="rId11" Type="http://schemas.openxmlformats.org/officeDocument/2006/relationships/hyperlink" Target="https://www.federalregister.gov/documents/2014/04/14/2014-08254/privacy-act-of-1974-as-amended-system-of-records-notice" TargetMode="External" /><Relationship Id="rId2" Type="http://schemas.openxmlformats.org/officeDocument/2006/relationships/hyperlink" Target="https://www.law.cornell.edu/uscode/text/12/1813" TargetMode="External" /><Relationship Id="rId3" Type="http://schemas.openxmlformats.org/officeDocument/2006/relationships/hyperlink" Target="https://www.law.cornell.edu/definitions/uscode.php?width=840&amp;height=800&amp;iframe=true&amp;def_id=31-USC-2032517217-190712316&amp;term_occur=999&amp;term_src=" TargetMode="External" /><Relationship Id="rId4" Type="http://schemas.openxmlformats.org/officeDocument/2006/relationships/hyperlink" Target="https://www.law.cornell.edu/topn/securities_exchange_act_of_1934" TargetMode="External" /><Relationship Id="rId5" Type="http://schemas.openxmlformats.org/officeDocument/2006/relationships/hyperlink" Target="https://www.law.cornell.edu/uscode/text/15/78a" TargetMode="External" /><Relationship Id="rId6" Type="http://schemas.openxmlformats.org/officeDocument/2006/relationships/hyperlink" Target="https://www.fincen.gov/sites/default/files/shared/Certification%20Regarding%20Correspondent%20Accounts%20for%20Foreign%20Banks.pdf" TargetMode="External" /><Relationship Id="rId7" Type="http://schemas.openxmlformats.org/officeDocument/2006/relationships/hyperlink" Target="https://www.ecfr.gov/current/title-31/subtitle-B/chapter-X/part-1010/subpart-F/subject-group-ECFR38b4e037e434276/section-1010.630" TargetMode="External" /><Relationship Id="rId8" Type="http://schemas.openxmlformats.org/officeDocument/2006/relationships/hyperlink" Target="https://www.federalregister.gov/documents/2025/05/22/2025-09162/agency-information-collection-activities-proposed-renewal-comment-request-renewal-without-change-of" TargetMode="External" /><Relationship Id="rId9" Type="http://schemas.openxmlformats.org/officeDocument/2006/relationships/hyperlink" Target="http://www.regulations.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C0A87BD21367469807203F34C4F55A" ma:contentTypeVersion="4" ma:contentTypeDescription="Create a new document." ma:contentTypeScope="" ma:versionID="05076395ffbe90407608547fbf8310de">
  <xsd:schema xmlns:xsd="http://www.w3.org/2001/XMLSchema" xmlns:xs="http://www.w3.org/2001/XMLSchema" xmlns:p="http://schemas.microsoft.com/office/2006/metadata/properties" xmlns:ns2="2b0c51cf-318f-4ea8-a53a-7afd5ac1027b" xmlns:ns3="91882c98-ad7c-457b-bb99-16138be0c2aa" targetNamespace="http://schemas.microsoft.com/office/2006/metadata/properties" ma:root="true" ma:fieldsID="2f477489c2b7b2e7b040396d4b134ea2" ns2:_="" ns3:_="">
    <xsd:import namespace="2b0c51cf-318f-4ea8-a53a-7afd5ac1027b"/>
    <xsd:import namespace="91882c98-ad7c-457b-bb99-16138be0c2aa"/>
    <xsd:element name="properties">
      <xsd:complexType>
        <xsd:sequence>
          <xsd:element name="documentManagement">
            <xsd:complexType>
              <xsd:all>
                <xsd:element ref="ns2:Category" minOccurs="0"/>
                <xsd:element ref="ns2:DocID" minOccurs="0"/>
                <xsd:element ref="ns2:Case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0c51cf-318f-4ea8-a53a-7afd5ac1027b" elementFormDefault="qualified">
    <xsd:import namespace="http://schemas.microsoft.com/office/2006/documentManagement/types"/>
    <xsd:import namespace="http://schemas.microsoft.com/office/infopath/2007/PartnerControls"/>
    <xsd:element name="Category" ma:index="8" nillable="true" ma:displayName="Category" ma:internalName="Category">
      <xsd:simpleType>
        <xsd:restriction base="dms:Choice">
          <xsd:enumeration value="Final"/>
          <xsd:enumeration value="Draft"/>
          <xsd:enumeration value="IC"/>
        </xsd:restriction>
      </xsd:simpleType>
    </xsd:element>
    <xsd:element name="DocID" ma:index="9" nillable="true" ma:displayName="DocID" ma:internalName="DocID">
      <xsd:simpleType>
        <xsd:restriction base="dms:Text"/>
      </xsd:simpleType>
    </xsd:element>
    <xsd:element name="CaseID" ma:index="10" nillable="true" ma:displayName="CaseID" ma:internalName="Case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882c98-ad7c-457b-bb99-16138be0c2a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seID xmlns="2b0c51cf-318f-4ea8-a53a-7afd5ac1027b">20257-TFI-8812</CaseID>
    <Category xmlns="2b0c51cf-318f-4ea8-a53a-7afd5ac1027b">Final</Category>
    <DocID xmlns="2b0c51cf-318f-4ea8-a53a-7afd5ac1027b">5aa1b614-3f4a-4560-96fa-546feb7943a1</DocID>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7F1C6C-4194-4864-89A6-707DBCD562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0c51cf-318f-4ea8-a53a-7afd5ac1027b"/>
    <ds:schemaRef ds:uri="91882c98-ad7c-457b-bb99-16138be0c2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38160B-8536-4974-B3ED-0608D8D26F3B}">
  <ds:schemaRefs>
    <ds:schemaRef ds:uri="http://schemas.microsoft.com/sharepoint/v3/contenttype/forms"/>
  </ds:schemaRefs>
</ds:datastoreItem>
</file>

<file path=customXml/itemProps3.xml><?xml version="1.0" encoding="utf-8"?>
<ds:datastoreItem xmlns:ds="http://schemas.openxmlformats.org/officeDocument/2006/customXml" ds:itemID="{77DCB270-DF5F-4304-AF9D-E3970698D6E7}">
  <ds:schemaRefs>
    <ds:schemaRef ds:uri="http://schemas.microsoft.com/office/2006/metadata/properties"/>
    <ds:schemaRef ds:uri="http://schemas.microsoft.com/office/infopath/2007/PartnerControls"/>
    <ds:schemaRef ds:uri="2b0c51cf-318f-4ea8-a53a-7afd5ac1027b"/>
  </ds:schemaRefs>
</ds:datastoreItem>
</file>

<file path=customXml/itemProps4.xml><?xml version="1.0" encoding="utf-8"?>
<ds:datastoreItem xmlns:ds="http://schemas.openxmlformats.org/officeDocument/2006/customXml" ds:itemID="{BB331931-670C-4424-BB37-E9F7ADA037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3753</Words>
  <Characters>21395</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Information Technology</Company>
  <LinksUpToDate>false</LinksUpToDate>
  <CharactersWithSpaces>25098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Information Technology</dc:creator>
  <cp:lastModifiedBy>Stewart, Jaclyn</cp:lastModifiedBy>
  <cp:revision>4</cp:revision>
  <cp:lastPrinted>2018-10-01T08:23:00Z</cp:lastPrinted>
  <dcterms:created xsi:type="dcterms:W3CDTF">2025-07-31T12:08:00Z</dcterms:created>
  <dcterms:modified xsi:type="dcterms:W3CDTF">2025-07-31T12:13:00Z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0x0101000BC0A87BD21367469807203F34C4F55A</vt:lpwstr>
  </property>
</Properties>
</file>