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6578" w:rsidRPr="00310694" w:rsidP="000828AC" w14:paraId="17ED6182" w14:textId="77777777">
      <w:pPr>
        <w:pStyle w:val="Title"/>
        <w:ind w:left="720"/>
        <w:rPr>
          <w:vertAlign w:val="subscript"/>
        </w:rPr>
      </w:pPr>
    </w:p>
    <w:p w:rsidR="00366578" w14:paraId="08C28927" w14:textId="77777777">
      <w:pPr>
        <w:pStyle w:val="Title"/>
      </w:pPr>
    </w:p>
    <w:p w:rsidR="005C7CE9" w:rsidP="00953580" w14:paraId="2A14573D" w14:textId="77777777">
      <w:pPr>
        <w:pStyle w:val="Title"/>
      </w:pPr>
      <w:r w:rsidRPr="005C7CE9">
        <w:rPr>
          <w:caps/>
        </w:rPr>
        <w:t>S</w:t>
      </w:r>
      <w:r w:rsidRPr="005C7CE9">
        <w:rPr>
          <w:caps/>
        </w:rPr>
        <w:t>upporting Statement</w:t>
      </w:r>
      <w:r w:rsidR="00953580">
        <w:t xml:space="preserve"> </w:t>
      </w:r>
      <w:r>
        <w:t>FOR</w:t>
      </w:r>
    </w:p>
    <w:p w:rsidR="00FD0BBF" w:rsidRPr="005C7CE9" w:rsidP="00953580" w14:paraId="6963903B" w14:textId="77777777">
      <w:pPr>
        <w:pStyle w:val="Title"/>
        <w:rPr>
          <w:caps/>
        </w:rPr>
      </w:pPr>
      <w:r w:rsidRPr="005C7CE9">
        <w:rPr>
          <w:caps/>
        </w:rPr>
        <w:t xml:space="preserve"> Paperwork Reduction Act Submission</w:t>
      </w:r>
      <w:r>
        <w:rPr>
          <w:caps/>
        </w:rPr>
        <w:t>S</w:t>
      </w:r>
    </w:p>
    <w:p w:rsidR="00DB6F72" w:rsidRPr="003B48A9" w:rsidP="00DB6F72" w14:paraId="2BA115CE" w14:textId="77777777">
      <w:pPr>
        <w:pStyle w:val="Title"/>
        <w:rPr>
          <w:vertAlign w:val="subscript"/>
        </w:rPr>
      </w:pPr>
      <w:r>
        <w:t>OMB No. 1530-0014</w:t>
      </w:r>
    </w:p>
    <w:p w:rsidR="00366578" w:rsidP="00DB6F72" w14:paraId="5DCE48AA" w14:textId="77777777">
      <w:pPr>
        <w:pStyle w:val="Title"/>
      </w:pPr>
      <w:r>
        <w:t>“</w:t>
      </w:r>
      <w:r w:rsidR="008F5BFF">
        <w:t>Annual Letters – Certificate of Authority (A) and Admitted Reinsurer (B)</w:t>
      </w:r>
      <w:r>
        <w:t>”</w:t>
      </w:r>
    </w:p>
    <w:p w:rsidR="00366578" w14:paraId="4DC690E0" w14:textId="77777777">
      <w:pPr>
        <w:rPr>
          <w:b/>
        </w:rPr>
      </w:pPr>
    </w:p>
    <w:p w:rsidR="00366578" w14:paraId="55B0C986" w14:textId="77777777">
      <w:pPr>
        <w:numPr>
          <w:ilvl w:val="0"/>
          <w:numId w:val="1"/>
        </w:numPr>
        <w:rPr>
          <w:b/>
          <w:u w:val="single"/>
        </w:rPr>
      </w:pPr>
      <w:r>
        <w:rPr>
          <w:b/>
          <w:u w:val="single"/>
        </w:rPr>
        <w:t>Justifications.</w:t>
      </w:r>
    </w:p>
    <w:p w:rsidR="00366578" w14:paraId="7A3005F3" w14:textId="77777777">
      <w:pPr>
        <w:rPr>
          <w:b/>
          <w:u w:val="single"/>
        </w:rPr>
      </w:pPr>
    </w:p>
    <w:p w:rsidR="00C10CAA" w:rsidP="00C10CAA" w14:paraId="1F61272D" w14:textId="77777777">
      <w:r w:rsidRPr="00DB2D60">
        <w:rPr>
          <w:b/>
        </w:rPr>
        <w:t>1.  Explain the circumstances that make the collection of information necessary.  Identify any legal or administrative requirement</w:t>
      </w:r>
      <w:r>
        <w:rPr>
          <w:b/>
        </w:rPr>
        <w:t>s</w:t>
      </w:r>
      <w:r w:rsidRPr="00DB2D60">
        <w:rPr>
          <w:b/>
        </w:rPr>
        <w:t xml:space="preserve"> that necessitate the collection.  </w:t>
      </w:r>
    </w:p>
    <w:p w:rsidR="008F5BFF" w:rsidP="00C10CAA" w14:paraId="6D28B266" w14:textId="77777777"/>
    <w:p w:rsidR="008F5BFF" w:rsidP="00C10CAA" w14:paraId="4D50F714" w14:textId="77777777">
      <w:r>
        <w:t>The information is collected so that Treasury can make the appropriate determinations as to the renewal of the Certificates of Authority of currently certified companies and the renewal of companies currently recognized by Treasury as Admitted Reinsurers.  Included in the package is the Annual Letter to Executive Officers of Surety Companies Reporting to the Treasury (A) and the Annual Letter to Executive Officers of Companies Recognized by the Treasury as Admitted Reinsurers</w:t>
      </w:r>
      <w:r w:rsidR="00E64A69">
        <w:t xml:space="preserve"> of Surety Companies Doing Business with the United States Government</w:t>
      </w:r>
      <w:r>
        <w:t xml:space="preserve"> (B).  The Secretary of the Treasury has been given authority pursuant to 31 USC, 9304 – 9308 to certify insurance companies wishing to write or reinsure federal surety bonds.  The authority has been further codified at 31 CFR, Part 223.9 which specifies guidelines applicable to companies seeking certification while Part 223.12 specifies requirements applicable to companies seeking recognition as an Admitted Reinsurer.</w:t>
      </w:r>
    </w:p>
    <w:p w:rsidR="00366578" w:rsidRPr="008F5BFF" w:rsidP="008F5BFF" w14:paraId="36239634" w14:textId="77777777">
      <w:pPr>
        <w:rPr>
          <w:b/>
          <w:u w:val="single"/>
        </w:rPr>
      </w:pPr>
      <w:r>
        <w:rPr>
          <w:b/>
          <w:u w:val="single"/>
        </w:rPr>
        <w:t xml:space="preserve"> </w:t>
      </w:r>
    </w:p>
    <w:p w:rsidR="00C10CAA" w:rsidP="009F0DA8" w14:paraId="0E461DDD" w14:textId="77777777">
      <w:r w:rsidRPr="00DB2D60">
        <w:rPr>
          <w:b/>
        </w:rPr>
        <w:t>2.  Indicate how, by whom, and for what purpose the information is to be used.  Except for a new collection, indicate the actual use the agency has made of the information received from the current collection</w:t>
      </w:r>
      <w:r>
        <w:t xml:space="preserve">. </w:t>
      </w:r>
    </w:p>
    <w:p w:rsidR="00B05534" w:rsidP="00B05534" w14:paraId="32F45A03" w14:textId="77777777"/>
    <w:p w:rsidR="00B05534" w:rsidP="00B05534" w14:paraId="632DFDCE" w14:textId="59EE01E1">
      <w:r>
        <w:t>Personnel of the Surety Bond Branch (SBB)</w:t>
      </w:r>
      <w:r w:rsidR="00C313D9">
        <w:t xml:space="preserve"> </w:t>
      </w:r>
      <w:r>
        <w:t>use the submitted information to make the appropriate determinations as to the financial and otherwise acceptability of insurance companies wishing to have their current Certificates of Authority renewed or their recognition as Admitted Reinsurers renewed.  All submitted information is collected to assure that both certified companies and admitted reinsurers are in compliance with federal regulations mentioned above, as well as the guidelines established within the respective portions of the applicable Annual Letter.</w:t>
      </w:r>
    </w:p>
    <w:p w:rsidR="00B05534" w:rsidP="00B05534" w14:paraId="766EA412" w14:textId="77777777"/>
    <w:p w:rsidR="00B05534" w:rsidP="00B05534" w14:paraId="0D993762" w14:textId="77777777">
      <w:r>
        <w:t xml:space="preserve">Based on the information submitted, the SBB makes the appropriate determinations for renewal of certified companies, sets an underwriting limitation for each certified company and publishes a list of acceptable sureties (Treasury Circular 570) for use by Federal bond approving officers.  Similarly, based on the information submitted by companies seeking renewal of their recognition by Treasury as Admitted Reinsurers, the SBB makes the appropriate determinations for renewal and </w:t>
      </w:r>
      <w:r w:rsidR="0018117A">
        <w:t>disseminates, via SBB’s website,</w:t>
      </w:r>
      <w:r>
        <w:t xml:space="preserve"> a separate list of companies </w:t>
      </w:r>
      <w:r w:rsidR="00613DC0">
        <w:t xml:space="preserve">that have been accepted </w:t>
      </w:r>
      <w:r>
        <w:t>as</w:t>
      </w:r>
      <w:r w:rsidR="00613DC0">
        <w:t xml:space="preserve"> </w:t>
      </w:r>
      <w:r>
        <w:t>Admitted Reinsurers.</w:t>
      </w:r>
    </w:p>
    <w:p w:rsidR="00B05534" w:rsidP="00B05534" w14:paraId="49EE735B" w14:textId="77777777"/>
    <w:p w:rsidR="00B05534" w:rsidP="00B05534" w14:paraId="5BCC5235" w14:textId="77777777">
      <w:r>
        <w:t>Absent the required information, the SBB would be unable to make the appropriate renewal determinations and, therefore, unable to publish its List of Acceptable Sureties as mandated at 31 CFR, Part 223.16.  Similarly, the SBB would be unable to make the appropriate renewal determinations for companies seeking renewal of their recognition by Treasury as Admitted Reinsurers, and, therefore, unable to publish its separate list of companies recognized as</w:t>
      </w:r>
      <w:r w:rsidR="0082751D">
        <w:t xml:space="preserve"> Admitted Reinsurers.  Federal bond approving officers would have no source to confirm that their surety bonds are underwritten by financially capable insurance companies.  Therefore, the Federal Government could conceivably lose a substantial amount of monies, should defaults occur where the bond was underwritten by a questionable insurance company.</w:t>
      </w:r>
    </w:p>
    <w:p w:rsidR="00366578" w14:paraId="487AA786" w14:textId="77777777"/>
    <w:p w:rsidR="00C10CAA" w:rsidP="00C10CAA" w14:paraId="2479AB94" w14:textId="77777777">
      <w:pPr>
        <w:rPr>
          <w:b/>
        </w:rPr>
      </w:pPr>
      <w:r w:rsidRPr="00DB2D60">
        <w:rPr>
          <w:b/>
        </w:rPr>
        <w:t>3.  Describe whether, and to what extent, the collection of information involves the use of automated, electronic, mechanical, or other technological collection techniques or other f</w:t>
      </w:r>
      <w:r w:rsidR="00A66E6E">
        <w:rPr>
          <w:b/>
        </w:rPr>
        <w:t xml:space="preserve">orms of information technology? </w:t>
      </w:r>
      <w:r w:rsidR="00A66E6E">
        <w:rPr>
          <w:b/>
          <w:bCs/>
        </w:rPr>
        <w:t>What consideration is given to use information technology to reduce burden?</w:t>
      </w:r>
    </w:p>
    <w:p w:rsidR="00A66E6E" w:rsidP="00C10CAA" w14:paraId="6AB815D2" w14:textId="77777777"/>
    <w:p w:rsidR="0082751D" w:rsidP="00C10CAA" w14:paraId="3329F6F3" w14:textId="77777777">
      <w:r>
        <w:t>Insurance companies submit some similar information annually to their respective State Insurance Departments.  Annual financial statement CDs are required, along with hard copies of the financial statements.  Therefore, most of the information requested is readily available.</w:t>
      </w:r>
    </w:p>
    <w:p w:rsidR="0082751D" w:rsidP="00C10CAA" w14:paraId="6BF3A410" w14:textId="77777777"/>
    <w:p w:rsidR="0082751D" w:rsidP="00C10CAA" w14:paraId="7CE9E734" w14:textId="77777777">
      <w:r>
        <w:t xml:space="preserve">Automation techniques are utilized wherever feasible.  </w:t>
      </w:r>
      <w:r w:rsidR="009D1F8E">
        <w:t>T</w:t>
      </w:r>
      <w:r>
        <w:t xml:space="preserve">he Annual Letter, the Schedule of Excess Risks (TFS 285A) and Schedule F (TFS 6314), are currently available on-line on our website.  We also provide an automated Microsoft Excel version of Treasury Schedule F for insurance companies to use to facilitate their completion of this form. </w:t>
      </w:r>
    </w:p>
    <w:p w:rsidR="00983D8B" w:rsidP="00C10CAA" w14:paraId="3457BD96" w14:textId="77777777"/>
    <w:p w:rsidR="00983D8B" w:rsidRPr="0082751D" w:rsidP="00C10CAA" w14:paraId="2510FB89" w14:textId="77777777">
      <w:r>
        <w:t>The IRIS ratio results mentioned in the Annual Letter are computer generated.  This information is available through the National Association of Insurance Commissioners (NAIC).</w:t>
      </w:r>
    </w:p>
    <w:p w:rsidR="00366578" w14:paraId="178E7AA8" w14:textId="77777777"/>
    <w:p w:rsidR="00C10CAA" w:rsidP="00C10CAA" w14:paraId="5004483C" w14:textId="77777777">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 xml:space="preserve">poses described in Item 2 above. </w:t>
      </w:r>
    </w:p>
    <w:p w:rsidR="00983D8B" w:rsidP="00C10CAA" w14:paraId="4F541165" w14:textId="77777777">
      <w:pPr>
        <w:tabs>
          <w:tab w:val="left" w:pos="-1440"/>
        </w:tabs>
        <w:rPr>
          <w:b/>
        </w:rPr>
      </w:pPr>
    </w:p>
    <w:p w:rsidR="00983D8B" w:rsidRPr="00983D8B" w:rsidP="00C10CAA" w14:paraId="672C233C" w14:textId="77777777">
      <w:pPr>
        <w:tabs>
          <w:tab w:val="left" w:pos="-1440"/>
        </w:tabs>
      </w:pPr>
      <w:r>
        <w:t>The Secretary of the Treasury, through the SBB, is the only entity responsible for the accumulation of this type of data and the subsequent publication of Treasury Circular 570 and the separate list of companies recognized by Treasury as Admitted Reinsurers.  No other federal governmental agency collects this type of information, therefore, no duplication exists.</w:t>
      </w:r>
    </w:p>
    <w:p w:rsidR="00366578" w14:paraId="2350A2F2" w14:textId="77777777">
      <w:r>
        <w:t xml:space="preserve"> </w:t>
      </w:r>
    </w:p>
    <w:p w:rsidR="00C10CAA" w:rsidP="00C10CAA" w14:paraId="6787D1D6" w14:textId="77777777">
      <w:pPr>
        <w:rPr>
          <w:b/>
        </w:rPr>
      </w:pPr>
      <w:r w:rsidRPr="00047210">
        <w:rPr>
          <w:b/>
        </w:rPr>
        <w:t>5.  If the collection of information impacts small businesses or other small entities</w:t>
      </w:r>
      <w:r w:rsidR="00A66E6E">
        <w:rPr>
          <w:b/>
        </w:rPr>
        <w:t xml:space="preserve">, </w:t>
      </w:r>
      <w:r w:rsidR="00A66E6E">
        <w:rPr>
          <w:b/>
          <w:bCs/>
        </w:rPr>
        <w:t>what methods are used to minimize burden?</w:t>
      </w:r>
    </w:p>
    <w:p w:rsidR="00983D8B" w:rsidP="00C10CAA" w14:paraId="6089FA39" w14:textId="77777777">
      <w:pPr>
        <w:rPr>
          <w:b/>
        </w:rPr>
      </w:pPr>
    </w:p>
    <w:p w:rsidR="00983D8B" w:rsidRPr="00983D8B" w:rsidP="00C10CAA" w14:paraId="285143BC" w14:textId="77777777">
      <w:r>
        <w:t>As indicated in Item 3, insurance companies submit annually essentially identical information to State Insurance Departments, thus minimizing the burden for small companies.  Most of the information requested is readily available and does not adversely impact small businesses or other small entities.  Any burden that might impact small businesses is minimized through the use of computer generated documents at little or no additional expense to the respondents.</w:t>
      </w:r>
    </w:p>
    <w:p w:rsidR="009F0DA8" w:rsidP="00C10CAA" w14:paraId="50A053C5" w14:textId="77777777">
      <w:pPr>
        <w:rPr>
          <w:b/>
        </w:rPr>
      </w:pPr>
    </w:p>
    <w:p w:rsidR="00C10CAA" w:rsidRPr="00047210" w:rsidP="00C10CAA" w14:paraId="31BA898E" w14:textId="77777777">
      <w:pPr>
        <w:rPr>
          <w:b/>
        </w:rPr>
      </w:pPr>
      <w:r w:rsidRPr="00047210">
        <w:rPr>
          <w:b/>
        </w:rPr>
        <w:t>6.</w:t>
      </w:r>
      <w:r>
        <w:rPr>
          <w:b/>
        </w:rPr>
        <w:t xml:space="preserve">  </w:t>
      </w:r>
      <w:r w:rsidR="00A66E6E">
        <w:rPr>
          <w:b/>
          <w:bCs/>
        </w:rPr>
        <w:t>What consequences to Federal program or policy activities and what, if any, technical or legal obstacles to reducing burden will occur if this collection is not conducted or is conducted less frequently?</w:t>
      </w:r>
    </w:p>
    <w:p w:rsidR="00366578" w14:paraId="5C3BD005" w14:textId="77777777">
      <w:r>
        <w:t xml:space="preserve"> </w:t>
      </w:r>
    </w:p>
    <w:p w:rsidR="00983D8B" w14:paraId="7DA83BEF" w14:textId="77777777">
      <w:r>
        <w:t>These filings are made once a year for renewal purposes.  The impact of a less frequent filing would be the same as mentioned in Item 2 above.</w:t>
      </w:r>
    </w:p>
    <w:p w:rsidR="00983D8B" w14:paraId="3A104426" w14:textId="77777777"/>
    <w:p w:rsidR="00983D8B" w14:paraId="1D133741" w14:textId="77777777">
      <w:r>
        <w:t>Instruction VIII in the Annual Letter to Executive Officers of Surety Companies Reporting to the Treasury (A) requires that certified companies submit quarterly filings of excess risks and financial statements.  These quarterly filings are reviewed as part of the SBB’s continuing analysis of its certified companies’ solvency.  A borderline insurance company’s financial health could show a quick deterioration in a quarterly report that would alert the SBB of the necessity to take action.  Financially strong companies could even show adverse development in any one quarter.  It is therefore critical that this filing not be made any less frequent.</w:t>
      </w:r>
    </w:p>
    <w:p w:rsidR="00983D8B" w14:paraId="053B7D1A" w14:textId="77777777"/>
    <w:p w:rsidR="00106793" w:rsidP="00106793" w14:paraId="563B02AB" w14:textId="77777777">
      <w:pPr>
        <w:rPr>
          <w:b/>
          <w:bCs/>
        </w:rPr>
      </w:pPr>
      <w:r w:rsidRPr="00047210">
        <w:rPr>
          <w:b/>
        </w:rPr>
        <w:t xml:space="preserve">7.  </w:t>
      </w:r>
      <w:r>
        <w:rPr>
          <w:b/>
          <w:bCs/>
        </w:rPr>
        <w:t>Is this collection of information conducted in a manner consistent with the guidelines of 5 CFR 1320.6?</w:t>
      </w:r>
    </w:p>
    <w:p w:rsidR="00106793" w:rsidP="00106793" w14:paraId="30E24B1D" w14:textId="77777777"/>
    <w:p w:rsidR="00106793" w:rsidP="00106793" w14:paraId="74686E13" w14:textId="4A964547">
      <w:pPr>
        <w:tabs>
          <w:tab w:val="left" w:pos="900"/>
        </w:tabs>
        <w:autoSpaceDE w:val="0"/>
        <w:autoSpaceDN w:val="0"/>
        <w:adjustRightInd w:val="0"/>
      </w:pPr>
      <w:r w:rsidRPr="008D36B1">
        <w:t>There are no special circumstances.  The collection of information is conducted in a manner consistent with the guidelines in 5 CFR 1320.6.</w:t>
      </w:r>
    </w:p>
    <w:p w:rsidR="00D11AE3" w:rsidP="00D11AE3" w14:paraId="6553C73C" w14:textId="77777777"/>
    <w:p w:rsidR="00C10CAA" w:rsidRPr="00047210" w:rsidP="00C10CAA" w14:paraId="5A0F3E35" w14:textId="77777777">
      <w:pPr>
        <w:rPr>
          <w:b/>
        </w:rPr>
      </w:pPr>
      <w:r w:rsidRPr="00047210">
        <w:rPr>
          <w:b/>
        </w:rPr>
        <w:t xml:space="preserve">8.  </w:t>
      </w:r>
      <w:r w:rsidR="00106793">
        <w:rPr>
          <w:b/>
          <w:bCs/>
        </w:rPr>
        <w:t>What effort was made to notify the general public about this collection of information?</w:t>
      </w:r>
      <w:r w:rsidRPr="00047210">
        <w:rPr>
          <w:b/>
        </w:rPr>
        <w:t xml:space="preserve"> </w:t>
      </w:r>
      <w:r w:rsidR="00775D6B">
        <w:rPr>
          <w:b/>
        </w:rPr>
        <w:t xml:space="preserve">  Summarize public comments received in response to that notice and describe actions taken by the agency in response to these comments.  Specifically address comments received on cost and hour burden.</w:t>
      </w:r>
    </w:p>
    <w:p w:rsidR="00C10CAA" w14:paraId="15D2694C" w14:textId="77777777">
      <w:r>
        <w:t xml:space="preserve"> </w:t>
      </w:r>
    </w:p>
    <w:p w:rsidR="00193D2E" w14:paraId="441E4D9E" w14:textId="74E9FF92">
      <w:r w:rsidRPr="002619EB">
        <w:t>The Bureau published a 60-day notice in the Federal Register on October 23, 2024, Volume 89, Page 8467</w:t>
      </w:r>
      <w:r>
        <w:t>2</w:t>
      </w:r>
      <w:r w:rsidRPr="002619EB">
        <w:t xml:space="preserve"> to solicit comments from the public on the extension of this collection of information; no comments were received.</w:t>
      </w:r>
    </w:p>
    <w:p w:rsidR="00106793" w14:paraId="59948B67" w14:textId="77777777"/>
    <w:p w:rsidR="00C10CAA" w:rsidRPr="00047210" w:rsidP="00C10CAA" w14:paraId="32B4C290" w14:textId="77777777">
      <w:pPr>
        <w:rPr>
          <w:b/>
        </w:rPr>
      </w:pPr>
      <w:r>
        <w:t xml:space="preserve"> </w:t>
      </w:r>
      <w:r w:rsidRPr="00047210">
        <w:rPr>
          <w:b/>
        </w:rPr>
        <w:t xml:space="preserve">9.  Explain any decision to provide any payment or gift to respondents, other than reenumeration of contractors or grantees. </w:t>
      </w:r>
    </w:p>
    <w:p w:rsidR="00C10CAA" w14:paraId="5B98E77A" w14:textId="77777777">
      <w:r>
        <w:t xml:space="preserve"> </w:t>
      </w:r>
    </w:p>
    <w:p w:rsidR="00193D2E" w14:paraId="13F51302" w14:textId="77777777">
      <w:r>
        <w:t>There are no payments or gifts made to respondents.</w:t>
      </w:r>
    </w:p>
    <w:p w:rsidR="00366578" w14:paraId="3BE6E57B" w14:textId="77777777"/>
    <w:p w:rsidR="00C10CAA" w:rsidRPr="005A59A1" w:rsidP="00C10CAA" w14:paraId="23FE6A8A" w14:textId="77777777">
      <w:pPr>
        <w:rPr>
          <w:b/>
        </w:rPr>
      </w:pPr>
      <w:r w:rsidRPr="005A59A1">
        <w:rPr>
          <w:b/>
        </w:rPr>
        <w:t xml:space="preserve">10.  Describe any assurance of confidentiality provided to respondents and the basis for the assurance in statute, regulation, or agency policy. </w:t>
      </w:r>
    </w:p>
    <w:p w:rsidR="00391B98" w14:paraId="7249F537" w14:textId="77777777"/>
    <w:p w:rsidR="00391B98" w14:paraId="1A512AF4" w14:textId="77777777">
      <w:r w:rsidRPr="006738A2">
        <w:t>Aside from protections contained in the Privacy Act, there is no guarantee of confidentiality</w:t>
      </w:r>
      <w:r>
        <w:t>.</w:t>
      </w:r>
    </w:p>
    <w:p w:rsidR="00C10CAA" w14:paraId="36E9A2BD" w14:textId="77777777">
      <w:r>
        <w:t xml:space="preserve"> </w:t>
      </w:r>
    </w:p>
    <w:p w:rsidR="00514EB4" w:rsidP="00514EB4" w14:paraId="3C150D2B" w14:textId="77777777">
      <w:pPr>
        <w:rPr>
          <w:b/>
          <w:bCs/>
        </w:rPr>
      </w:pPr>
      <w:r w:rsidRPr="005A59A1">
        <w:rPr>
          <w:b/>
        </w:rPr>
        <w:t xml:space="preserve">11.  </w:t>
      </w:r>
      <w:r>
        <w:rPr>
          <w:b/>
          <w:bCs/>
        </w:rPr>
        <w:t>What justification is there for questions of a sensitive nature?</w:t>
      </w:r>
    </w:p>
    <w:p w:rsidR="00C10CAA" w14:paraId="0EA702AA" w14:textId="77777777"/>
    <w:p w:rsidR="00514EB4" w:rsidRPr="0059171D" w:rsidP="00514EB4" w14:paraId="381DF7A5" w14:textId="77777777">
      <w:r>
        <w:t>A biographical affidavit submitted by the applicant company includes a request for limited personal information including applicant’s full name, social security number, address, date of birth, and telephone numbers. This is a standard state mandated form and is subject to public disclosure, subject to and limited by an individual’s stated request for confidentiality of specified data.  However, no personal questions of the nature under question are contained on the biographical affidavit.</w:t>
      </w:r>
    </w:p>
    <w:p w:rsidR="00514EB4" w:rsidP="00514EB4" w14:paraId="70B23E25" w14:textId="77777777"/>
    <w:p w:rsidR="00344EED" w14:paraId="0106FD0B" w14:textId="77777777">
      <w:r w:rsidRPr="005A59A1">
        <w:rPr>
          <w:b/>
        </w:rPr>
        <w:t xml:space="preserve">12.  </w:t>
      </w:r>
      <w:r w:rsidR="00514EB4">
        <w:rPr>
          <w:b/>
          <w:bCs/>
        </w:rPr>
        <w:t>What is the estimated hour burden of this collection of information?</w:t>
      </w:r>
    </w:p>
    <w:p w:rsidR="00344EED" w14:paraId="04263C2F" w14:textId="77777777"/>
    <w:p w:rsidR="00344EED" w14:paraId="49DF787E" w14:textId="77777777">
      <w:r>
        <w:t xml:space="preserve"> </w:t>
      </w:r>
      <w:r>
        <w:t>Number of Respondents:</w:t>
      </w:r>
      <w:r>
        <w:tab/>
      </w:r>
      <w:r>
        <w:tab/>
        <w:t>26</w:t>
      </w:r>
      <w:r w:rsidR="00E0514D">
        <w:t>1</w:t>
      </w:r>
      <w:r>
        <w:t xml:space="preserve">   current certified companies</w:t>
      </w:r>
    </w:p>
    <w:p w:rsidR="00344EED" w14:paraId="1D1E5F90" w14:textId="77777777">
      <w:r>
        <w:tab/>
      </w:r>
      <w:r>
        <w:tab/>
      </w:r>
      <w:r>
        <w:tab/>
      </w:r>
      <w:r>
        <w:tab/>
      </w:r>
      <w:r w:rsidR="00E0514D">
        <w:t xml:space="preserve"> </w:t>
      </w:r>
      <w:r w:rsidRPr="00344EED">
        <w:t xml:space="preserve"> </w:t>
      </w:r>
      <w:r w:rsidR="00E0514D">
        <w:rPr>
          <w:u w:val="single"/>
        </w:rPr>
        <w:t>80</w:t>
      </w:r>
      <w:r w:rsidRPr="00344EED">
        <w:t xml:space="preserve"> </w:t>
      </w:r>
      <w:r>
        <w:t xml:space="preserve">  </w:t>
      </w:r>
      <w:r w:rsidRPr="00344EED">
        <w:t>current</w:t>
      </w:r>
      <w:r>
        <w:t xml:space="preserve"> admitted reinsure</w:t>
      </w:r>
      <w:r w:rsidR="008F41AD">
        <w:t>r</w:t>
      </w:r>
      <w:r>
        <w:t>s</w:t>
      </w:r>
      <w:r w:rsidR="00366578">
        <w:t xml:space="preserve">   </w:t>
      </w:r>
    </w:p>
    <w:p w:rsidR="00344EED" w14:paraId="3144CD1D" w14:textId="77777777">
      <w:r>
        <w:tab/>
      </w:r>
      <w:r>
        <w:tab/>
        <w:t xml:space="preserve">  Total:</w:t>
      </w:r>
      <w:r>
        <w:tab/>
      </w:r>
      <w:r>
        <w:tab/>
      </w:r>
      <w:r w:rsidRPr="00344EED">
        <w:rPr>
          <w:u w:val="single"/>
        </w:rPr>
        <w:t>34</w:t>
      </w:r>
      <w:r w:rsidR="00E0514D">
        <w:rPr>
          <w:u w:val="single"/>
        </w:rPr>
        <w:t>1</w:t>
      </w:r>
    </w:p>
    <w:p w:rsidR="00953580" w14:paraId="377D950C" w14:textId="77777777">
      <w:r>
        <w:t xml:space="preserve"> </w:t>
      </w:r>
    </w:p>
    <w:p w:rsidR="00344EED" w14:paraId="67CBBA15" w14:textId="77777777">
      <w:r>
        <w:t>Frequency of Response:</w:t>
      </w:r>
      <w:r>
        <w:tab/>
      </w:r>
      <w:r>
        <w:tab/>
        <w:t>Annual</w:t>
      </w:r>
    </w:p>
    <w:p w:rsidR="00344EED" w14:paraId="0DAEB7D6" w14:textId="77777777"/>
    <w:p w:rsidR="00344EED" w14:paraId="02CF380E" w14:textId="77777777">
      <w:r>
        <w:t xml:space="preserve">Annual Burden: </w:t>
      </w:r>
      <w:r w:rsidR="00672688">
        <w:t>6,393.75</w:t>
      </w:r>
      <w:r w:rsidR="001E3233">
        <w:t xml:space="preserve"> </w:t>
      </w:r>
      <w:r>
        <w:t xml:space="preserve">Hours; Estimated </w:t>
      </w:r>
      <w:r w:rsidR="00706F64">
        <w:t>18.</w:t>
      </w:r>
      <w:r w:rsidR="008B6003">
        <w:t>75</w:t>
      </w:r>
      <w:r>
        <w:t xml:space="preserve"> hours per Respondent (See Attachment)</w:t>
      </w:r>
    </w:p>
    <w:p w:rsidR="00344EED" w14:paraId="62A6241C" w14:textId="77777777">
      <w:r>
        <w:t>(Burden hours were taken from estimations furnished by a major insurance group having both certified companies and admitted reinsurers.)</w:t>
      </w:r>
    </w:p>
    <w:p w:rsidR="00321E69" w14:paraId="1AC43AC4" w14:textId="77777777"/>
    <w:p w:rsidR="00321E69" w14:paraId="750F2D98" w14:textId="77777777">
      <w:r>
        <w:t>Respondent Cost:</w:t>
      </w:r>
      <w:r>
        <w:tab/>
      </w:r>
      <w:r w:rsidR="008F41AD">
        <w:t xml:space="preserve"> </w:t>
      </w:r>
      <w:r>
        <w:t>Estimated at $</w:t>
      </w:r>
      <w:r w:rsidR="00672688">
        <w:t>1,470</w:t>
      </w:r>
      <w:r>
        <w:t xml:space="preserve"> per Respondent (See Attachment)</w:t>
      </w:r>
    </w:p>
    <w:p w:rsidR="00321E69" w14:paraId="6255097E" w14:textId="77777777">
      <w:r>
        <w:t>(Cost estimates were furnished by a major insurance group having both certified companies and admitted reinsurers.)</w:t>
      </w:r>
    </w:p>
    <w:p w:rsidR="00321E69" w14:paraId="735A088D" w14:textId="77777777"/>
    <w:p w:rsidR="00321E69" w14:paraId="60070AFF" w14:textId="77777777">
      <w:r>
        <w:t>The information requested does not impose any start-up or capital costs, nor does it generate maintenance or additional operational costs.  The information is available from financial documents maintained by the companies.</w:t>
      </w:r>
    </w:p>
    <w:p w:rsidR="00344EED" w14:paraId="093DC98F" w14:textId="77777777"/>
    <w:p w:rsidR="00514EB4" w:rsidP="00514EB4" w14:paraId="226A1C29" w14:textId="77777777">
      <w:pPr>
        <w:rPr>
          <w:b/>
          <w:bCs/>
        </w:rPr>
      </w:pPr>
      <w:r w:rsidRPr="005A59A1">
        <w:rPr>
          <w:b/>
        </w:rPr>
        <w:t xml:space="preserve">13.  </w:t>
      </w:r>
      <w:r>
        <w:rPr>
          <w:b/>
          <w:bCs/>
        </w:rPr>
        <w:t>What is the estimated total annual cost burden to respondents or recordkeepers resulting from this collection of information?</w:t>
      </w:r>
    </w:p>
    <w:p w:rsidR="00366578" w14:paraId="5BC726FC" w14:textId="77777777">
      <w:r>
        <w:t xml:space="preserve">  </w:t>
      </w:r>
    </w:p>
    <w:p w:rsidR="00366578" w14:paraId="022F8670" w14:textId="77777777">
      <w:r w:rsidRPr="004553C6">
        <w:rPr>
          <w:color w:val="000000"/>
        </w:rPr>
        <w:t>There are no capital/start-up or ongoing operation/maintenance costs associated with this information collection</w:t>
      </w:r>
      <w:r w:rsidRPr="00672688">
        <w:t xml:space="preserve"> </w:t>
      </w:r>
    </w:p>
    <w:p w:rsidR="004553C6" w14:paraId="744537F2" w14:textId="77777777"/>
    <w:p w:rsidR="00953580" w:rsidRPr="005A59A1" w:rsidP="00953580" w14:paraId="1E804723" w14:textId="77777777">
      <w:pPr>
        <w:rPr>
          <w:b/>
        </w:rPr>
      </w:pPr>
      <w:r w:rsidRPr="005A59A1">
        <w:rPr>
          <w:b/>
        </w:rPr>
        <w:t xml:space="preserve">14.   </w:t>
      </w:r>
      <w:r w:rsidR="00514EB4">
        <w:rPr>
          <w:b/>
        </w:rPr>
        <w:t xml:space="preserve">What is the annualized cost </w:t>
      </w:r>
      <w:r w:rsidRPr="005A59A1">
        <w:rPr>
          <w:b/>
        </w:rPr>
        <w:t>to the Federal government</w:t>
      </w:r>
      <w:r w:rsidR="00514EB4">
        <w:rPr>
          <w:b/>
        </w:rPr>
        <w:t>?</w:t>
      </w:r>
      <w:r w:rsidRPr="005A59A1">
        <w:rPr>
          <w:b/>
        </w:rPr>
        <w:t xml:space="preserve">  </w:t>
      </w:r>
    </w:p>
    <w:p w:rsidR="00953580" w14:paraId="3A35DCD0" w14:textId="77777777">
      <w:r>
        <w:t xml:space="preserve"> </w:t>
      </w:r>
    </w:p>
    <w:p w:rsidR="005C2223" w14:paraId="3F64DBE6" w14:textId="25838C24">
      <w:r>
        <w:t>Federal Government Costs:  User fees of $</w:t>
      </w:r>
      <w:r w:rsidR="001E3233">
        <w:t>5,</w:t>
      </w:r>
      <w:r w:rsidR="00C07139">
        <w:t>50</w:t>
      </w:r>
      <w:r w:rsidR="001E3233">
        <w:t>0</w:t>
      </w:r>
      <w:r>
        <w:t xml:space="preserve"> and $</w:t>
      </w:r>
      <w:r w:rsidR="00C07139">
        <w:t>3,500</w:t>
      </w:r>
      <w:r>
        <w:t>, respectively, have been established to cover the cost of processing renewals of certified companies and admitted reinsurers.  These fees are based upon an analysis of the SBB operating budget and expenses, which includes such components as personnel costs, paperwork, overhead, etc.</w:t>
      </w:r>
    </w:p>
    <w:p w:rsidR="00366578" w:rsidP="00DB6F72" w14:paraId="1B54D335" w14:textId="77777777">
      <w:r>
        <w:t xml:space="preserve">      </w:t>
      </w:r>
      <w:r>
        <w:tab/>
      </w:r>
    </w:p>
    <w:p w:rsidR="00953580" w:rsidRPr="005A59A1" w:rsidP="00953580" w14:paraId="20376B20" w14:textId="77777777">
      <w:pPr>
        <w:rPr>
          <w:b/>
        </w:rPr>
      </w:pPr>
      <w:r w:rsidRPr="005A59A1">
        <w:rPr>
          <w:b/>
        </w:rPr>
        <w:t xml:space="preserve">15.  </w:t>
      </w:r>
      <w:r w:rsidR="00514EB4">
        <w:rPr>
          <w:b/>
          <w:bCs/>
        </w:rPr>
        <w:t>What is the reason for any program changes or adjustments?</w:t>
      </w:r>
    </w:p>
    <w:p w:rsidR="00953580" w:rsidP="00C10CAA" w14:paraId="0915806C" w14:textId="77777777">
      <w:pPr>
        <w:ind w:left="360"/>
      </w:pPr>
      <w:r>
        <w:t xml:space="preserve"> </w:t>
      </w:r>
    </w:p>
    <w:p w:rsidR="00366578" w14:paraId="18EC61E3" w14:textId="77777777">
      <w:r>
        <w:t>No adjustments are reported for this renewal period.</w:t>
      </w:r>
    </w:p>
    <w:p w:rsidR="0050537F" w14:paraId="3F741336" w14:textId="77777777"/>
    <w:p w:rsidR="00953580" w:rsidRPr="000F3F93" w:rsidP="00953580" w14:paraId="6311DEF9" w14:textId="77777777">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14:paraId="3FA3E6ED" w14:textId="77777777">
      <w:r>
        <w:t xml:space="preserve"> </w:t>
      </w:r>
    </w:p>
    <w:p w:rsidR="00906248" w14:paraId="0DDEDE3A" w14:textId="77777777">
      <w:r>
        <w:t>A financial and analytical review of the information collected is performed annually, from March 1</w:t>
      </w:r>
      <w:r w:rsidRPr="00906248">
        <w:rPr>
          <w:vertAlign w:val="superscript"/>
        </w:rPr>
        <w:t>st</w:t>
      </w:r>
      <w:r>
        <w:t xml:space="preserve"> through the month of June, according to Treasury regulations.  A list of surety companies which are certified by the Treasury will then be published in the July 1</w:t>
      </w:r>
      <w:r w:rsidRPr="00906248">
        <w:rPr>
          <w:vertAlign w:val="superscript"/>
        </w:rPr>
        <w:t>st</w:t>
      </w:r>
      <w:r>
        <w:t xml:space="preserve"> Federal Register (Circular 570) and </w:t>
      </w:r>
      <w:r w:rsidR="008F41AD">
        <w:t>a separate list of companies recognized by Treasury as</w:t>
      </w:r>
      <w:r w:rsidR="00F76C67">
        <w:t xml:space="preserve"> Admitted Reinsurers will be made available to the public via SBB’s website</w:t>
      </w:r>
      <w:r>
        <w:t>.</w:t>
      </w:r>
    </w:p>
    <w:p w:rsidR="00366578" w14:paraId="3A001F87" w14:textId="77777777"/>
    <w:p w:rsidR="00953580" w:rsidRPr="000F3F93" w:rsidP="00953580" w14:paraId="31C64A52" w14:textId="77777777">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953580" w14:paraId="1F1E022F" w14:textId="77777777">
      <w:r>
        <w:t xml:space="preserve"> </w:t>
      </w:r>
    </w:p>
    <w:p w:rsidR="00A25B3E" w14:paraId="5D46891C" w14:textId="77777777">
      <w:r>
        <w:t>It is requested not to display the expiration date of the OMB approval because it may cause confusion as to the due dates(s) identified in the Annual Letter</w:t>
      </w:r>
      <w:r w:rsidR="00FE48D8">
        <w:t>s</w:t>
      </w:r>
      <w:r>
        <w:t>.</w:t>
      </w:r>
    </w:p>
    <w:p w:rsidR="00366578" w14:paraId="7606CE4F" w14:textId="77777777"/>
    <w:p w:rsidR="00953580" w:rsidRPr="000F3F93" w:rsidP="00953580" w14:paraId="7E25B66A" w14:textId="77777777">
      <w:pPr>
        <w:rPr>
          <w:b/>
        </w:rPr>
      </w:pPr>
      <w:r w:rsidRPr="000F3F93">
        <w:rPr>
          <w:b/>
        </w:rPr>
        <w:t>18.</w:t>
      </w:r>
      <w:r>
        <w:rPr>
          <w:b/>
        </w:rPr>
        <w:t xml:space="preserve">  </w:t>
      </w:r>
      <w:r w:rsidRPr="000F3F93">
        <w:rPr>
          <w:b/>
        </w:rPr>
        <w:t>Explain each exception to the certification statement.</w:t>
      </w:r>
    </w:p>
    <w:p w:rsidR="00953580" w14:paraId="07D3FB52" w14:textId="77777777">
      <w:r>
        <w:t xml:space="preserve"> </w:t>
      </w:r>
    </w:p>
    <w:p w:rsidR="00366578" w14:paraId="6A5D212C" w14:textId="77777777">
      <w:r>
        <w:t>There are no exceptions to the certification statement.</w:t>
      </w:r>
    </w:p>
    <w:p w:rsidR="00A25B3E" w14:paraId="11CE9185" w14:textId="77777777"/>
    <w:p w:rsidR="00953580" w:rsidRPr="00974EF6" w:rsidP="00953580" w14:paraId="3CB14A72" w14:textId="77777777">
      <w:r>
        <w:rPr>
          <w:b/>
        </w:rPr>
        <w:t xml:space="preserve">B.  </w:t>
      </w:r>
      <w:r w:rsidRPr="009F0DA8">
        <w:rPr>
          <w:b/>
          <w:u w:val="single"/>
        </w:rPr>
        <w:t>Collections of Information Employing Statistical Methods</w:t>
      </w:r>
      <w:r w:rsidRPr="000F3F93">
        <w:rPr>
          <w:b/>
        </w:rPr>
        <w:t xml:space="preserve"> </w:t>
      </w:r>
    </w:p>
    <w:p w:rsidR="00953580" w:rsidP="00953580" w14:paraId="7881DAEA" w14:textId="77777777">
      <w:pPr>
        <w:ind w:left="360"/>
        <w:rPr>
          <w:b/>
        </w:rPr>
      </w:pPr>
    </w:p>
    <w:p w:rsidR="00366578" w:rsidP="00953580" w14:paraId="28B84B9B" w14:textId="77777777">
      <w:pPr>
        <w:rPr>
          <w:b/>
        </w:rPr>
      </w:pPr>
      <w:r>
        <w:rPr>
          <w:b/>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A25B3E" w:rsidP="00953580" w14:paraId="413931E1" w14:textId="77777777">
      <w:pPr>
        <w:rPr>
          <w:b/>
        </w:rPr>
      </w:pPr>
    </w:p>
    <w:p w:rsidR="00A25B3E" w:rsidRPr="00A25B3E" w:rsidP="00953580" w14:paraId="4A3B63E6" w14:textId="77777777">
      <w:r>
        <w:t>The information collected was not accomplished using statistical methods.  The result of the collection of this information is not for statistical use.</w:t>
      </w:r>
    </w:p>
    <w:p w:rsidR="00366578" w14:paraId="63743C41" w14:textId="77777777"/>
    <w:p w:rsidR="00706F64" w:rsidP="00AA5A13" w14:paraId="7D387150" w14:textId="77777777">
      <w:pPr>
        <w:jc w:val="right"/>
      </w:pPr>
      <w:r>
        <w:br w:type="page"/>
      </w:r>
      <w:r w:rsidR="00AA5A13">
        <w:t>ATTACHMENT</w:t>
      </w:r>
    </w:p>
    <w:tbl>
      <w:tblPr>
        <w:tblW w:w="8881" w:type="dxa"/>
        <w:tblInd w:w="93" w:type="dxa"/>
        <w:tblLook w:val="04A0"/>
      </w:tblPr>
      <w:tblGrid>
        <w:gridCol w:w="3206"/>
        <w:gridCol w:w="1636"/>
        <w:gridCol w:w="1233"/>
        <w:gridCol w:w="1117"/>
        <w:gridCol w:w="911"/>
        <w:gridCol w:w="820"/>
      </w:tblGrid>
      <w:tr w14:paraId="20BEA253" w14:textId="77777777" w:rsidTr="00706F64">
        <w:tblPrEx>
          <w:tblW w:w="8881" w:type="dxa"/>
          <w:tblInd w:w="93" w:type="dxa"/>
          <w:tblLook w:val="04A0"/>
        </w:tblPrEx>
        <w:trPr>
          <w:trHeight w:val="300"/>
        </w:trPr>
        <w:tc>
          <w:tcPr>
            <w:tcW w:w="8061" w:type="dxa"/>
            <w:gridSpan w:val="5"/>
            <w:tcBorders>
              <w:top w:val="nil"/>
              <w:left w:val="nil"/>
              <w:bottom w:val="nil"/>
              <w:right w:val="nil"/>
            </w:tcBorders>
            <w:shd w:val="clear" w:color="auto" w:fill="auto"/>
            <w:noWrap/>
            <w:vAlign w:val="bottom"/>
            <w:hideMark/>
          </w:tcPr>
          <w:p w:rsidR="00706F64" w:rsidRPr="00706F64" w:rsidP="00706F64" w14:paraId="795FF2E2" w14:textId="77777777">
            <w:pPr>
              <w:jc w:val="center"/>
              <w:rPr>
                <w:rFonts w:ascii="Arial Rounded MT Bold" w:hAnsi="Arial Rounded MT Bold" w:cs="Arial"/>
                <w:color w:val="000000"/>
              </w:rPr>
            </w:pPr>
            <w:r w:rsidRPr="00706F64">
              <w:rPr>
                <w:rFonts w:ascii="Arial Rounded MT Bold" w:hAnsi="Arial Rounded MT Bold" w:cs="Arial"/>
                <w:color w:val="000000"/>
              </w:rPr>
              <w:t>BURDEN HOUR AND COST CALCULATION</w:t>
            </w:r>
          </w:p>
        </w:tc>
        <w:tc>
          <w:tcPr>
            <w:tcW w:w="820" w:type="dxa"/>
            <w:tcBorders>
              <w:top w:val="nil"/>
              <w:left w:val="nil"/>
              <w:bottom w:val="nil"/>
              <w:right w:val="nil"/>
            </w:tcBorders>
            <w:shd w:val="clear" w:color="auto" w:fill="auto"/>
            <w:noWrap/>
            <w:vAlign w:val="bottom"/>
            <w:hideMark/>
          </w:tcPr>
          <w:p w:rsidR="00706F64" w:rsidRPr="00706F64" w:rsidP="00706F64" w14:paraId="70F5CCCC" w14:textId="77777777">
            <w:pPr>
              <w:rPr>
                <w:rFonts w:ascii="Arial" w:hAnsi="Arial" w:cs="Arial"/>
                <w:color w:val="000000"/>
              </w:rPr>
            </w:pPr>
          </w:p>
        </w:tc>
      </w:tr>
      <w:tr w14:paraId="3C996C9C" w14:textId="77777777" w:rsidTr="00706F64">
        <w:tblPrEx>
          <w:tblW w:w="8881" w:type="dxa"/>
          <w:tblInd w:w="93" w:type="dxa"/>
          <w:tblLook w:val="04A0"/>
        </w:tblPrEx>
        <w:trPr>
          <w:trHeight w:val="300"/>
        </w:trPr>
        <w:tc>
          <w:tcPr>
            <w:tcW w:w="8061" w:type="dxa"/>
            <w:gridSpan w:val="5"/>
            <w:tcBorders>
              <w:top w:val="nil"/>
              <w:left w:val="nil"/>
              <w:bottom w:val="single" w:sz="4" w:space="0" w:color="auto"/>
              <w:right w:val="nil"/>
            </w:tcBorders>
            <w:shd w:val="clear" w:color="auto" w:fill="auto"/>
            <w:noWrap/>
            <w:vAlign w:val="bottom"/>
            <w:hideMark/>
          </w:tcPr>
          <w:p w:rsidR="00706F64" w:rsidRPr="00706F64" w:rsidP="00706F64" w14:paraId="4C661980" w14:textId="77777777">
            <w:pPr>
              <w:jc w:val="center"/>
              <w:rPr>
                <w:rFonts w:ascii="Arial Rounded MT Bold" w:hAnsi="Arial Rounded MT Bold" w:cs="Arial"/>
                <w:color w:val="000000"/>
              </w:rPr>
            </w:pPr>
            <w:r w:rsidRPr="00706F64">
              <w:rPr>
                <w:rFonts w:ascii="Arial Rounded MT Bold" w:hAnsi="Arial Rounded MT Bold" w:cs="Arial"/>
                <w:color w:val="000000"/>
              </w:rPr>
              <w:t>ANNUAL LETTER-CERTIFICATE OF AUTHORITY</w:t>
            </w:r>
          </w:p>
        </w:tc>
        <w:tc>
          <w:tcPr>
            <w:tcW w:w="820" w:type="dxa"/>
            <w:tcBorders>
              <w:top w:val="nil"/>
              <w:left w:val="nil"/>
              <w:bottom w:val="nil"/>
              <w:right w:val="nil"/>
            </w:tcBorders>
            <w:shd w:val="clear" w:color="auto" w:fill="auto"/>
            <w:noWrap/>
            <w:vAlign w:val="bottom"/>
            <w:hideMark/>
          </w:tcPr>
          <w:p w:rsidR="00706F64" w:rsidRPr="00706F64" w:rsidP="00706F64" w14:paraId="03ED2B0E" w14:textId="77777777">
            <w:pPr>
              <w:rPr>
                <w:rFonts w:ascii="Arial" w:hAnsi="Arial" w:cs="Arial"/>
                <w:color w:val="000000"/>
              </w:rPr>
            </w:pPr>
          </w:p>
        </w:tc>
      </w:tr>
      <w:tr w14:paraId="0BD94F09" w14:textId="77777777" w:rsidTr="00706F64">
        <w:tblPrEx>
          <w:tblW w:w="8881" w:type="dxa"/>
          <w:tblInd w:w="93" w:type="dxa"/>
          <w:tblLook w:val="04A0"/>
        </w:tblPrEx>
        <w:trPr>
          <w:trHeight w:val="51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64E8832C" w14:textId="77777777">
            <w:pPr>
              <w:jc w:val="center"/>
              <w:rPr>
                <w:rFonts w:ascii="Arial" w:hAnsi="Arial" w:cs="Arial"/>
                <w:color w:val="000000"/>
              </w:rPr>
            </w:pPr>
            <w:r w:rsidRPr="00706F64">
              <w:rPr>
                <w:rFonts w:ascii="Arial" w:hAnsi="Arial" w:cs="Arial"/>
                <w:color w:val="000000"/>
              </w:rPr>
              <w:t>Item</w:t>
            </w:r>
          </w:p>
        </w:tc>
        <w:tc>
          <w:tcPr>
            <w:tcW w:w="1636"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46FD1B68" w14:textId="77777777">
            <w:pPr>
              <w:jc w:val="center"/>
              <w:rPr>
                <w:rFonts w:ascii="Arial" w:hAnsi="Arial" w:cs="Arial"/>
                <w:color w:val="000000"/>
              </w:rPr>
            </w:pPr>
            <w:r w:rsidRPr="00706F64">
              <w:rPr>
                <w:rFonts w:ascii="Arial" w:hAnsi="Arial" w:cs="Arial"/>
                <w:color w:val="000000"/>
              </w:rPr>
              <w:t>Location</w:t>
            </w:r>
          </w:p>
        </w:tc>
        <w:tc>
          <w:tcPr>
            <w:tcW w:w="119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7113840" w14:textId="77777777">
            <w:pPr>
              <w:jc w:val="center"/>
              <w:rPr>
                <w:rFonts w:ascii="Arial" w:hAnsi="Arial" w:cs="Arial"/>
                <w:color w:val="000000"/>
              </w:rPr>
            </w:pPr>
            <w:r w:rsidRPr="00706F64">
              <w:rPr>
                <w:rFonts w:ascii="Arial" w:hAnsi="Arial" w:cs="Arial"/>
                <w:color w:val="000000"/>
              </w:rPr>
              <w:t>OMB #</w:t>
            </w:r>
          </w:p>
        </w:tc>
        <w:tc>
          <w:tcPr>
            <w:tcW w:w="1117" w:type="dxa"/>
            <w:tcBorders>
              <w:top w:val="nil"/>
              <w:left w:val="nil"/>
              <w:bottom w:val="single" w:sz="4" w:space="0" w:color="auto"/>
              <w:right w:val="single" w:sz="4" w:space="0" w:color="auto"/>
            </w:tcBorders>
            <w:shd w:val="clear" w:color="auto" w:fill="auto"/>
            <w:vAlign w:val="center"/>
            <w:hideMark/>
          </w:tcPr>
          <w:p w:rsidR="00706F64" w:rsidRPr="00706F64" w:rsidP="00706F64" w14:paraId="6AA7D66D" w14:textId="77777777">
            <w:pPr>
              <w:jc w:val="center"/>
              <w:rPr>
                <w:rFonts w:ascii="Arial" w:hAnsi="Arial" w:cs="Arial"/>
                <w:color w:val="000000"/>
              </w:rPr>
            </w:pPr>
            <w:r w:rsidRPr="00706F64">
              <w:rPr>
                <w:rFonts w:ascii="Arial" w:hAnsi="Arial" w:cs="Arial"/>
                <w:color w:val="000000"/>
              </w:rPr>
              <w:t>Burden (Minutes)</w:t>
            </w:r>
          </w:p>
        </w:tc>
        <w:tc>
          <w:tcPr>
            <w:tcW w:w="911" w:type="dxa"/>
            <w:tcBorders>
              <w:top w:val="nil"/>
              <w:left w:val="nil"/>
              <w:bottom w:val="single" w:sz="4" w:space="0" w:color="auto"/>
              <w:right w:val="single" w:sz="4" w:space="0" w:color="auto"/>
            </w:tcBorders>
            <w:shd w:val="clear" w:color="auto" w:fill="auto"/>
            <w:vAlign w:val="center"/>
            <w:hideMark/>
          </w:tcPr>
          <w:p w:rsidR="00706F64" w:rsidRPr="00706F64" w:rsidP="00706F64" w14:paraId="43D9F215" w14:textId="77777777">
            <w:pPr>
              <w:jc w:val="center"/>
              <w:rPr>
                <w:rFonts w:ascii="Arial" w:hAnsi="Arial" w:cs="Arial"/>
                <w:color w:val="000000"/>
              </w:rPr>
            </w:pPr>
            <w:r w:rsidRPr="00706F64">
              <w:rPr>
                <w:rFonts w:ascii="Arial" w:hAnsi="Arial" w:cs="Arial"/>
                <w:color w:val="000000"/>
              </w:rPr>
              <w:t>COST (EST.)</w:t>
            </w:r>
          </w:p>
        </w:tc>
        <w:tc>
          <w:tcPr>
            <w:tcW w:w="820" w:type="dxa"/>
            <w:tcBorders>
              <w:top w:val="nil"/>
              <w:left w:val="nil"/>
              <w:bottom w:val="nil"/>
              <w:right w:val="nil"/>
            </w:tcBorders>
            <w:shd w:val="clear" w:color="auto" w:fill="auto"/>
            <w:noWrap/>
            <w:vAlign w:val="bottom"/>
            <w:hideMark/>
          </w:tcPr>
          <w:p w:rsidR="00706F64" w:rsidRPr="00706F64" w:rsidP="00706F64" w14:paraId="1B28EB58" w14:textId="77777777">
            <w:pPr>
              <w:rPr>
                <w:rFonts w:ascii="Arial" w:hAnsi="Arial" w:cs="Arial"/>
                <w:color w:val="000000"/>
              </w:rPr>
            </w:pPr>
          </w:p>
        </w:tc>
      </w:tr>
      <w:tr w14:paraId="1B8D49D8" w14:textId="77777777" w:rsidTr="00706F64">
        <w:tblPrEx>
          <w:tblW w:w="8881" w:type="dxa"/>
          <w:tblInd w:w="93" w:type="dxa"/>
          <w:tblLook w:val="04A0"/>
        </w:tblPrEx>
        <w:trPr>
          <w:trHeight w:val="525"/>
        </w:trPr>
        <w:tc>
          <w:tcPr>
            <w:tcW w:w="32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6F64" w:rsidRPr="00706F64" w:rsidP="00706F64" w14:paraId="2AB9CB5C" w14:textId="77777777">
            <w:pPr>
              <w:rPr>
                <w:rFonts w:ascii="Arial" w:hAnsi="Arial" w:cs="Arial"/>
                <w:color w:val="000000"/>
              </w:rPr>
            </w:pPr>
            <w:r w:rsidRPr="00706F64">
              <w:rPr>
                <w:rFonts w:ascii="Arial" w:hAnsi="Arial" w:cs="Arial"/>
                <w:color w:val="000000"/>
              </w:rPr>
              <w:t>Financial Statement</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34BB6004" w14:textId="77777777">
            <w:pPr>
              <w:rPr>
                <w:rFonts w:ascii="Arial" w:hAnsi="Arial" w:cs="Arial"/>
                <w:color w:val="000000"/>
              </w:rPr>
            </w:pPr>
            <w:r w:rsidRPr="00706F64">
              <w:rPr>
                <w:rFonts w:ascii="Arial" w:hAnsi="Arial" w:cs="Arial"/>
                <w:color w:val="000000"/>
              </w:rPr>
              <w:t xml:space="preserve">Annual Letter (AL) Supplement </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135F39E5"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473CC1C2" w14:textId="77777777">
            <w:pPr>
              <w:jc w:val="right"/>
              <w:rPr>
                <w:rFonts w:ascii="Arial" w:hAnsi="Arial" w:cs="Arial"/>
                <w:color w:val="000000"/>
              </w:rPr>
            </w:pPr>
            <w:r w:rsidRPr="00706F64">
              <w:rPr>
                <w:rFonts w:ascii="Arial" w:hAnsi="Arial" w:cs="Arial"/>
                <w:color w:val="000000"/>
              </w:rPr>
              <w:t>45</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0E218D4" w14:textId="77777777">
            <w:pPr>
              <w:jc w:val="right"/>
              <w:rPr>
                <w:rFonts w:ascii="Arial" w:hAnsi="Arial" w:cs="Arial"/>
                <w:color w:val="000000"/>
              </w:rPr>
            </w:pPr>
            <w:r w:rsidRPr="00706F64">
              <w:rPr>
                <w:rFonts w:ascii="Arial" w:hAnsi="Arial" w:cs="Arial"/>
                <w:color w:val="000000"/>
              </w:rPr>
              <w:t>$125</w:t>
            </w:r>
          </w:p>
        </w:tc>
        <w:tc>
          <w:tcPr>
            <w:tcW w:w="820" w:type="dxa"/>
            <w:tcBorders>
              <w:top w:val="nil"/>
              <w:left w:val="nil"/>
              <w:bottom w:val="nil"/>
              <w:right w:val="nil"/>
            </w:tcBorders>
            <w:shd w:val="clear" w:color="auto" w:fill="auto"/>
            <w:noWrap/>
            <w:vAlign w:val="bottom"/>
            <w:hideMark/>
          </w:tcPr>
          <w:p w:rsidR="00706F64" w:rsidRPr="00706F64" w:rsidP="00706F64" w14:paraId="7CDF3F53" w14:textId="77777777">
            <w:pPr>
              <w:rPr>
                <w:rFonts w:ascii="Arial" w:hAnsi="Arial" w:cs="Arial"/>
                <w:color w:val="000000"/>
              </w:rPr>
            </w:pPr>
          </w:p>
        </w:tc>
      </w:tr>
      <w:tr w14:paraId="2402BB5B" w14:textId="77777777" w:rsidTr="00706F64">
        <w:tblPrEx>
          <w:tblW w:w="8881" w:type="dxa"/>
          <w:tblInd w:w="93" w:type="dxa"/>
          <w:tblLook w:val="04A0"/>
        </w:tblPrEx>
        <w:trPr>
          <w:trHeight w:val="525"/>
        </w:trPr>
        <w:tc>
          <w:tcPr>
            <w:tcW w:w="3206" w:type="dxa"/>
            <w:vMerge/>
            <w:tcBorders>
              <w:top w:val="nil"/>
              <w:left w:val="single" w:sz="4" w:space="0" w:color="auto"/>
              <w:bottom w:val="single" w:sz="4" w:space="0" w:color="000000"/>
              <w:right w:val="single" w:sz="4" w:space="0" w:color="auto"/>
            </w:tcBorders>
            <w:vAlign w:val="center"/>
            <w:hideMark/>
          </w:tcPr>
          <w:p w:rsidR="00706F64" w:rsidRPr="00706F64" w:rsidP="00706F64" w14:paraId="165697B2" w14:textId="77777777">
            <w:pPr>
              <w:rPr>
                <w:rFonts w:ascii="Arial" w:hAnsi="Arial" w:cs="Arial"/>
                <w:color w:val="000000"/>
              </w:rPr>
            </w:pP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1306524C" w14:textId="77777777">
            <w:pPr>
              <w:rPr>
                <w:rFonts w:ascii="Arial" w:hAnsi="Arial" w:cs="Arial"/>
                <w:color w:val="000000"/>
              </w:rPr>
            </w:pPr>
            <w:r w:rsidRPr="00706F64">
              <w:rPr>
                <w:rFonts w:ascii="Arial" w:hAnsi="Arial" w:cs="Arial"/>
                <w:color w:val="000000"/>
              </w:rPr>
              <w:t>Info. Auditor Request</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748FDDC9"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4E3C605B" w14:textId="77777777">
            <w:pPr>
              <w:jc w:val="right"/>
              <w:rPr>
                <w:rFonts w:ascii="Arial" w:hAnsi="Arial" w:cs="Arial"/>
                <w:color w:val="000000"/>
              </w:rPr>
            </w:pPr>
            <w:r w:rsidRPr="00706F64">
              <w:rPr>
                <w:rFonts w:ascii="Arial" w:hAnsi="Arial" w:cs="Arial"/>
                <w:color w:val="000000"/>
              </w:rPr>
              <w:t>120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D49521B" w14:textId="77777777">
            <w:pPr>
              <w:jc w:val="right"/>
              <w:rPr>
                <w:rFonts w:ascii="Arial" w:hAnsi="Arial" w:cs="Arial"/>
                <w:color w:val="000000"/>
              </w:rPr>
            </w:pPr>
            <w:r w:rsidRPr="00706F64">
              <w:rPr>
                <w:rFonts w:ascii="Arial" w:hAnsi="Arial" w:cs="Arial"/>
                <w:color w:val="000000"/>
              </w:rPr>
              <w:t>$150</w:t>
            </w:r>
          </w:p>
        </w:tc>
        <w:tc>
          <w:tcPr>
            <w:tcW w:w="820" w:type="dxa"/>
            <w:tcBorders>
              <w:top w:val="nil"/>
              <w:left w:val="nil"/>
              <w:bottom w:val="nil"/>
              <w:right w:val="nil"/>
            </w:tcBorders>
            <w:shd w:val="clear" w:color="auto" w:fill="auto"/>
            <w:noWrap/>
            <w:vAlign w:val="bottom"/>
            <w:hideMark/>
          </w:tcPr>
          <w:p w:rsidR="00706F64" w:rsidRPr="00706F64" w:rsidP="00706F64" w14:paraId="00DFC7DB" w14:textId="77777777">
            <w:pPr>
              <w:rPr>
                <w:rFonts w:ascii="Arial" w:hAnsi="Arial" w:cs="Arial"/>
                <w:color w:val="000000"/>
              </w:rPr>
            </w:pPr>
          </w:p>
        </w:tc>
      </w:tr>
      <w:tr w14:paraId="1E4A2472" w14:textId="77777777" w:rsidTr="00706F64">
        <w:tblPrEx>
          <w:tblW w:w="8881" w:type="dxa"/>
          <w:tblInd w:w="93" w:type="dxa"/>
          <w:tblLook w:val="04A0"/>
        </w:tblPrEx>
        <w:trPr>
          <w:trHeight w:val="525"/>
        </w:trPr>
        <w:tc>
          <w:tcPr>
            <w:tcW w:w="3206" w:type="dxa"/>
            <w:tcBorders>
              <w:top w:val="nil"/>
              <w:left w:val="single" w:sz="4" w:space="0" w:color="auto"/>
              <w:bottom w:val="single" w:sz="4" w:space="0" w:color="auto"/>
              <w:right w:val="single" w:sz="4" w:space="0" w:color="auto"/>
            </w:tcBorders>
            <w:shd w:val="clear" w:color="auto" w:fill="auto"/>
            <w:vAlign w:val="bottom"/>
            <w:hideMark/>
          </w:tcPr>
          <w:p w:rsidR="00706F64" w:rsidRPr="00706F64" w:rsidP="00706F64" w14:paraId="17DA5EA4" w14:textId="77777777">
            <w:pPr>
              <w:rPr>
                <w:rFonts w:ascii="Arial" w:hAnsi="Arial" w:cs="Arial"/>
                <w:color w:val="000000"/>
              </w:rPr>
            </w:pPr>
            <w:r w:rsidRPr="00706F64">
              <w:rPr>
                <w:rFonts w:ascii="Arial" w:hAnsi="Arial" w:cs="Arial"/>
                <w:color w:val="000000"/>
              </w:rPr>
              <w:t>Excess risk Schedule (4 Quarters)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2F6D6A9F" w14:textId="77777777">
            <w:pPr>
              <w:rPr>
                <w:rFonts w:ascii="Arial" w:hAnsi="Arial" w:cs="Arial"/>
                <w:color w:val="000000"/>
              </w:rPr>
            </w:pPr>
            <w:r w:rsidRPr="00706F64">
              <w:rPr>
                <w:rFonts w:ascii="Arial" w:hAnsi="Arial" w:cs="Arial"/>
                <w:color w:val="000000"/>
              </w:rPr>
              <w:t>AL Ins. VIII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13A017F7"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FC4116A" w14:textId="77777777">
            <w:pPr>
              <w:jc w:val="right"/>
              <w:rPr>
                <w:rFonts w:ascii="Arial" w:hAnsi="Arial" w:cs="Arial"/>
                <w:color w:val="000000"/>
              </w:rPr>
            </w:pPr>
            <w:r w:rsidRPr="00706F64">
              <w:rPr>
                <w:rFonts w:ascii="Arial" w:hAnsi="Arial" w:cs="Arial"/>
                <w:color w:val="000000"/>
              </w:rPr>
              <w:t>240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FDD1E49" w14:textId="77777777">
            <w:pPr>
              <w:jc w:val="right"/>
              <w:rPr>
                <w:rFonts w:ascii="Arial" w:hAnsi="Arial" w:cs="Arial"/>
                <w:color w:val="000000"/>
              </w:rPr>
            </w:pPr>
            <w:r w:rsidRPr="00706F64">
              <w:rPr>
                <w:rFonts w:ascii="Arial" w:hAnsi="Arial" w:cs="Arial"/>
                <w:color w:val="000000"/>
              </w:rPr>
              <w:t>$300</w:t>
            </w:r>
          </w:p>
        </w:tc>
        <w:tc>
          <w:tcPr>
            <w:tcW w:w="820" w:type="dxa"/>
            <w:tcBorders>
              <w:top w:val="nil"/>
              <w:left w:val="nil"/>
              <w:bottom w:val="nil"/>
              <w:right w:val="nil"/>
            </w:tcBorders>
            <w:shd w:val="clear" w:color="auto" w:fill="auto"/>
            <w:noWrap/>
            <w:vAlign w:val="bottom"/>
            <w:hideMark/>
          </w:tcPr>
          <w:p w:rsidR="00706F64" w:rsidRPr="00706F64" w:rsidP="00706F64" w14:paraId="00DFA1AD" w14:textId="77777777">
            <w:pPr>
              <w:rPr>
                <w:rFonts w:ascii="Arial" w:hAnsi="Arial" w:cs="Arial"/>
                <w:color w:val="000000"/>
              </w:rPr>
            </w:pPr>
          </w:p>
        </w:tc>
      </w:tr>
      <w:tr w14:paraId="2F59A44D"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1D64DE8B" w14:textId="77777777">
            <w:pPr>
              <w:rPr>
                <w:rFonts w:ascii="Arial" w:hAnsi="Arial" w:cs="Arial"/>
                <w:color w:val="000000"/>
              </w:rPr>
            </w:pPr>
            <w:r w:rsidRPr="00706F64">
              <w:rPr>
                <w:rFonts w:ascii="Arial" w:hAnsi="Arial" w:cs="Arial"/>
                <w:color w:val="000000"/>
              </w:rPr>
              <w:t>Schedule F</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41BA3128" w14:textId="77777777">
            <w:pPr>
              <w:rPr>
                <w:rFonts w:ascii="Arial" w:hAnsi="Arial" w:cs="Arial"/>
                <w:color w:val="000000"/>
              </w:rPr>
            </w:pPr>
            <w:r w:rsidRPr="00706F64">
              <w:rPr>
                <w:rFonts w:ascii="Arial" w:hAnsi="Arial" w:cs="Arial"/>
                <w:color w:val="000000"/>
              </w:rPr>
              <w:t>AL Ins. VII</w:t>
            </w:r>
          </w:p>
        </w:tc>
        <w:tc>
          <w:tcPr>
            <w:tcW w:w="119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EFCA5A3" w14:textId="77777777">
            <w:pPr>
              <w:rPr>
                <w:rFonts w:ascii="Arial" w:hAnsi="Arial" w:cs="Arial"/>
                <w:color w:val="000000"/>
              </w:rPr>
            </w:pPr>
            <w:r w:rsidRPr="00706F64">
              <w:rPr>
                <w:rFonts w:ascii="Arial" w:hAnsi="Arial" w:cs="Arial"/>
                <w:color w:val="000000"/>
              </w:rPr>
              <w:t>1530-0008</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D6B0EC4" w14:textId="77777777">
            <w:pPr>
              <w:jc w:val="right"/>
              <w:rPr>
                <w:rFonts w:ascii="Arial" w:hAnsi="Arial" w:cs="Arial"/>
                <w:color w:val="000000"/>
              </w:rPr>
            </w:pPr>
            <w:r w:rsidRPr="00706F64">
              <w:rPr>
                <w:rFonts w:ascii="Arial" w:hAnsi="Arial" w:cs="Arial"/>
                <w:color w:val="000000"/>
              </w:rPr>
              <w:t>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F226A04" w14:textId="77777777">
            <w:pPr>
              <w:jc w:val="right"/>
              <w:rPr>
                <w:rFonts w:ascii="Arial" w:hAnsi="Arial" w:cs="Arial"/>
                <w:color w:val="000000"/>
              </w:rPr>
            </w:pPr>
            <w:r w:rsidRPr="00706F64">
              <w:rPr>
                <w:rFonts w:ascii="Arial" w:hAnsi="Arial" w:cs="Arial"/>
                <w:color w:val="000000"/>
              </w:rPr>
              <w:t>$0</w:t>
            </w:r>
          </w:p>
        </w:tc>
        <w:tc>
          <w:tcPr>
            <w:tcW w:w="820" w:type="dxa"/>
            <w:tcBorders>
              <w:top w:val="nil"/>
              <w:left w:val="nil"/>
              <w:bottom w:val="nil"/>
              <w:right w:val="nil"/>
            </w:tcBorders>
            <w:shd w:val="clear" w:color="auto" w:fill="auto"/>
            <w:noWrap/>
            <w:vAlign w:val="bottom"/>
            <w:hideMark/>
          </w:tcPr>
          <w:p w:rsidR="00706F64" w:rsidRPr="00706F64" w:rsidP="00706F64" w14:paraId="1649FC1D" w14:textId="77777777">
            <w:pPr>
              <w:rPr>
                <w:rFonts w:ascii="Arial" w:hAnsi="Arial" w:cs="Arial"/>
                <w:color w:val="000000"/>
              </w:rPr>
            </w:pPr>
          </w:p>
        </w:tc>
      </w:tr>
      <w:tr w14:paraId="74BD5A1D"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1D00E78E" w14:textId="77777777">
            <w:pPr>
              <w:rPr>
                <w:rFonts w:ascii="Arial" w:hAnsi="Arial" w:cs="Arial"/>
                <w:color w:val="000000"/>
              </w:rPr>
            </w:pPr>
            <w:r w:rsidRPr="00706F64">
              <w:rPr>
                <w:rFonts w:ascii="Arial" w:hAnsi="Arial" w:cs="Arial"/>
                <w:color w:val="000000"/>
              </w:rPr>
              <w:t>License Sheet</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46BFF44C" w14:textId="77777777">
            <w:pPr>
              <w:rPr>
                <w:rFonts w:ascii="Arial" w:hAnsi="Arial" w:cs="Arial"/>
                <w:color w:val="000000"/>
              </w:rPr>
            </w:pPr>
            <w:r w:rsidRPr="00706F64">
              <w:rPr>
                <w:rFonts w:ascii="Arial" w:hAnsi="Arial" w:cs="Arial"/>
                <w:color w:val="000000"/>
              </w:rPr>
              <w:t>AL Ins. XIV</w:t>
            </w:r>
          </w:p>
        </w:tc>
        <w:tc>
          <w:tcPr>
            <w:tcW w:w="119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4D0BECE9" w14:textId="77777777">
            <w:pPr>
              <w:rPr>
                <w:rFonts w:ascii="Arial" w:hAnsi="Arial" w:cs="Arial"/>
                <w:color w:val="000000"/>
              </w:rPr>
            </w:pPr>
            <w:r w:rsidRPr="00706F64">
              <w:rPr>
                <w:rFonts w:ascii="Arial" w:hAnsi="Arial" w:cs="Arial"/>
                <w:color w:val="000000"/>
              </w:rPr>
              <w:t>1530-0009</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D8C96A9" w14:textId="77777777">
            <w:pPr>
              <w:jc w:val="right"/>
              <w:rPr>
                <w:rFonts w:ascii="Arial" w:hAnsi="Arial" w:cs="Arial"/>
                <w:color w:val="000000"/>
              </w:rPr>
            </w:pPr>
            <w:r w:rsidRPr="00706F64">
              <w:rPr>
                <w:rFonts w:ascii="Arial" w:hAnsi="Arial" w:cs="Arial"/>
                <w:color w:val="000000"/>
              </w:rPr>
              <w:t>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57CC06F" w14:textId="77777777">
            <w:pPr>
              <w:jc w:val="right"/>
              <w:rPr>
                <w:rFonts w:ascii="Arial" w:hAnsi="Arial" w:cs="Arial"/>
                <w:color w:val="000000"/>
              </w:rPr>
            </w:pPr>
            <w:r w:rsidRPr="00706F64">
              <w:rPr>
                <w:rFonts w:ascii="Arial" w:hAnsi="Arial" w:cs="Arial"/>
                <w:color w:val="000000"/>
              </w:rPr>
              <w:t>$0</w:t>
            </w:r>
          </w:p>
        </w:tc>
        <w:tc>
          <w:tcPr>
            <w:tcW w:w="820" w:type="dxa"/>
            <w:tcBorders>
              <w:top w:val="nil"/>
              <w:left w:val="nil"/>
              <w:bottom w:val="nil"/>
              <w:right w:val="nil"/>
            </w:tcBorders>
            <w:shd w:val="clear" w:color="auto" w:fill="auto"/>
            <w:noWrap/>
            <w:vAlign w:val="bottom"/>
            <w:hideMark/>
          </w:tcPr>
          <w:p w:rsidR="00706F64" w:rsidRPr="00706F64" w:rsidP="00706F64" w14:paraId="4DEF69DE" w14:textId="77777777">
            <w:pPr>
              <w:rPr>
                <w:rFonts w:ascii="Arial" w:hAnsi="Arial" w:cs="Arial"/>
                <w:color w:val="000000"/>
              </w:rPr>
            </w:pPr>
          </w:p>
        </w:tc>
      </w:tr>
      <w:tr w14:paraId="25484884"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rsidR="00706F64" w:rsidRPr="00706F64" w:rsidP="00706F64" w14:paraId="1F36FD07" w14:textId="77777777">
            <w:pPr>
              <w:rPr>
                <w:rFonts w:ascii="Arial" w:hAnsi="Arial" w:cs="Arial"/>
                <w:color w:val="000000"/>
              </w:rPr>
            </w:pPr>
            <w:r w:rsidRPr="00706F64">
              <w:rPr>
                <w:rFonts w:ascii="Arial" w:hAnsi="Arial" w:cs="Arial"/>
                <w:color w:val="000000"/>
              </w:rPr>
              <w:t>Mgmt. Discussion &amp; Analysis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1B95BE00" w14:textId="77777777">
            <w:pPr>
              <w:rPr>
                <w:rFonts w:ascii="Arial" w:hAnsi="Arial" w:cs="Arial"/>
                <w:color w:val="000000"/>
              </w:rPr>
            </w:pPr>
            <w:r w:rsidRPr="00706F64">
              <w:rPr>
                <w:rFonts w:ascii="Arial" w:hAnsi="Arial" w:cs="Arial"/>
                <w:color w:val="000000"/>
              </w:rPr>
              <w:t>AL Ins. XVII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5AA6D247"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4CDDC42F" w14:textId="77777777">
            <w:pPr>
              <w:jc w:val="right"/>
              <w:rPr>
                <w:rFonts w:ascii="Arial" w:hAnsi="Arial" w:cs="Arial"/>
                <w:color w:val="000000"/>
              </w:rPr>
            </w:pPr>
            <w:r w:rsidRPr="00706F64">
              <w:rPr>
                <w:rFonts w:ascii="Arial" w:hAnsi="Arial" w:cs="Arial"/>
                <w:color w:val="000000"/>
              </w:rPr>
              <w:t>10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2BC2978" w14:textId="77777777">
            <w:pPr>
              <w:jc w:val="right"/>
              <w:rPr>
                <w:rFonts w:ascii="Arial" w:hAnsi="Arial" w:cs="Arial"/>
                <w:color w:val="000000"/>
              </w:rPr>
            </w:pPr>
            <w:r w:rsidRPr="00706F64">
              <w:rPr>
                <w:rFonts w:ascii="Arial" w:hAnsi="Arial" w:cs="Arial"/>
                <w:color w:val="000000"/>
              </w:rPr>
              <w:t>$25</w:t>
            </w:r>
          </w:p>
        </w:tc>
        <w:tc>
          <w:tcPr>
            <w:tcW w:w="820" w:type="dxa"/>
            <w:tcBorders>
              <w:top w:val="nil"/>
              <w:left w:val="nil"/>
              <w:bottom w:val="nil"/>
              <w:right w:val="nil"/>
            </w:tcBorders>
            <w:shd w:val="clear" w:color="auto" w:fill="auto"/>
            <w:noWrap/>
            <w:vAlign w:val="bottom"/>
            <w:hideMark/>
          </w:tcPr>
          <w:p w:rsidR="00706F64" w:rsidRPr="00706F64" w:rsidP="00706F64" w14:paraId="378FDE19" w14:textId="77777777">
            <w:pPr>
              <w:rPr>
                <w:rFonts w:ascii="Arial" w:hAnsi="Arial" w:cs="Arial"/>
                <w:color w:val="000000"/>
              </w:rPr>
            </w:pPr>
          </w:p>
        </w:tc>
      </w:tr>
      <w:tr w14:paraId="7E1EA0EB"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rsidR="00706F64" w:rsidRPr="00706F64" w:rsidP="00706F64" w14:paraId="6112A4DA" w14:textId="77777777">
            <w:pPr>
              <w:rPr>
                <w:rFonts w:ascii="Arial" w:hAnsi="Arial" w:cs="Arial"/>
                <w:color w:val="000000"/>
              </w:rPr>
            </w:pPr>
            <w:r w:rsidRPr="00706F64">
              <w:rPr>
                <w:rFonts w:ascii="Arial" w:hAnsi="Arial" w:cs="Arial"/>
                <w:color w:val="000000"/>
              </w:rPr>
              <w:t>IRIS Ratio</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234B222D" w14:textId="77777777">
            <w:pPr>
              <w:rPr>
                <w:rFonts w:ascii="Arial" w:hAnsi="Arial" w:cs="Arial"/>
                <w:color w:val="000000"/>
              </w:rPr>
            </w:pPr>
            <w:r w:rsidRPr="00706F64">
              <w:rPr>
                <w:rFonts w:ascii="Arial" w:hAnsi="Arial" w:cs="Arial"/>
                <w:color w:val="000000"/>
              </w:rPr>
              <w:t>AL Ins. XXI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146AF02B"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58C5099" w14:textId="77777777">
            <w:pPr>
              <w:jc w:val="right"/>
              <w:rPr>
                <w:rFonts w:ascii="Arial" w:hAnsi="Arial" w:cs="Arial"/>
                <w:color w:val="000000"/>
              </w:rPr>
            </w:pPr>
            <w:r w:rsidRPr="00706F64">
              <w:rPr>
                <w:rFonts w:ascii="Arial" w:hAnsi="Arial" w:cs="Arial"/>
                <w:color w:val="000000"/>
              </w:rPr>
              <w:t>20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2FCF983" w14:textId="77777777">
            <w:pPr>
              <w:jc w:val="right"/>
              <w:rPr>
                <w:rFonts w:ascii="Arial" w:hAnsi="Arial" w:cs="Arial"/>
                <w:color w:val="000000"/>
              </w:rPr>
            </w:pPr>
            <w:r w:rsidRPr="00706F64">
              <w:rPr>
                <w:rFonts w:ascii="Arial" w:hAnsi="Arial" w:cs="Arial"/>
                <w:color w:val="000000"/>
              </w:rPr>
              <w:t>$25</w:t>
            </w:r>
          </w:p>
        </w:tc>
        <w:tc>
          <w:tcPr>
            <w:tcW w:w="820" w:type="dxa"/>
            <w:tcBorders>
              <w:top w:val="nil"/>
              <w:left w:val="nil"/>
              <w:bottom w:val="nil"/>
              <w:right w:val="nil"/>
            </w:tcBorders>
            <w:shd w:val="clear" w:color="auto" w:fill="auto"/>
            <w:noWrap/>
            <w:vAlign w:val="center"/>
            <w:hideMark/>
          </w:tcPr>
          <w:p w:rsidR="00706F64" w:rsidRPr="00706F64" w:rsidP="00706F64" w14:paraId="4DFD0110" w14:textId="77777777">
            <w:pPr>
              <w:rPr>
                <w:rFonts w:ascii="Arial" w:hAnsi="Arial" w:cs="Arial"/>
                <w:color w:val="000000"/>
              </w:rPr>
            </w:pPr>
          </w:p>
        </w:tc>
      </w:tr>
      <w:tr w14:paraId="3CCF2AFF"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78105CF7" w14:textId="77777777">
            <w:pPr>
              <w:rPr>
                <w:rFonts w:ascii="Arial" w:hAnsi="Arial" w:cs="Arial"/>
                <w:color w:val="000000"/>
              </w:rPr>
            </w:pPr>
            <w:r w:rsidRPr="00706F64">
              <w:rPr>
                <w:rFonts w:ascii="Arial" w:hAnsi="Arial" w:cs="Arial"/>
                <w:color w:val="000000"/>
              </w:rPr>
              <w:t>Renewal Fee</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26CB6AD7" w14:textId="77777777">
            <w:pPr>
              <w:rPr>
                <w:rFonts w:ascii="Arial" w:hAnsi="Arial" w:cs="Arial"/>
                <w:color w:val="000000"/>
              </w:rPr>
            </w:pPr>
            <w:r w:rsidRPr="00706F64">
              <w:rPr>
                <w:rFonts w:ascii="Arial" w:hAnsi="Arial" w:cs="Arial"/>
                <w:color w:val="000000"/>
              </w:rPr>
              <w:t>AL</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64CE7E5D"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0D2A1D4"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B973F60"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00706F64" w:rsidRPr="00706F64" w:rsidP="00706F64" w14:paraId="4466F4EE" w14:textId="77777777">
            <w:pPr>
              <w:rPr>
                <w:rFonts w:ascii="Arial" w:hAnsi="Arial" w:cs="Arial"/>
                <w:color w:val="000000"/>
              </w:rPr>
            </w:pPr>
          </w:p>
        </w:tc>
      </w:tr>
      <w:tr w14:paraId="54B64731"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72B15EFC" w14:textId="77777777">
            <w:pPr>
              <w:rPr>
                <w:rFonts w:ascii="Arial" w:hAnsi="Arial" w:cs="Arial"/>
                <w:color w:val="000000"/>
              </w:rPr>
            </w:pPr>
            <w:r w:rsidRPr="00706F64">
              <w:rPr>
                <w:rFonts w:ascii="Arial" w:hAnsi="Arial" w:cs="Arial"/>
                <w:color w:val="000000"/>
              </w:rPr>
              <w:t xml:space="preserve">Valuation of </w:t>
            </w:r>
            <w:r w:rsidRPr="00025905">
              <w:rPr>
                <w:rFonts w:ascii="Arial" w:hAnsi="Arial" w:cs="Arial"/>
                <w:color w:val="000000"/>
              </w:rPr>
              <w:t>Securities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1995EE66" w14:textId="77777777">
            <w:pPr>
              <w:rPr>
                <w:rFonts w:ascii="Arial" w:hAnsi="Arial" w:cs="Arial"/>
                <w:color w:val="000000"/>
              </w:rPr>
            </w:pPr>
            <w:r w:rsidRPr="00706F64">
              <w:rPr>
                <w:rFonts w:ascii="Arial" w:hAnsi="Arial" w:cs="Arial"/>
                <w:color w:val="000000"/>
              </w:rPr>
              <w:t>AL Ins. II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27E7747B"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56C59B6"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8BAA2D0"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bottom"/>
            <w:hideMark/>
          </w:tcPr>
          <w:p w:rsidR="00706F64" w:rsidRPr="00706F64" w:rsidP="00706F64" w14:paraId="0B04DD9B" w14:textId="77777777">
            <w:pPr>
              <w:rPr>
                <w:rFonts w:ascii="Arial" w:hAnsi="Arial" w:cs="Arial"/>
                <w:color w:val="000000"/>
              </w:rPr>
            </w:pPr>
          </w:p>
        </w:tc>
      </w:tr>
      <w:tr w14:paraId="12249D7E"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6FD6125E" w14:textId="77777777">
            <w:pPr>
              <w:rPr>
                <w:rFonts w:ascii="Arial" w:hAnsi="Arial" w:cs="Arial"/>
                <w:color w:val="000000"/>
              </w:rPr>
            </w:pPr>
            <w:r w:rsidRPr="00706F64">
              <w:rPr>
                <w:rFonts w:ascii="Arial" w:hAnsi="Arial" w:cs="Arial"/>
                <w:color w:val="000000"/>
              </w:rPr>
              <w:t>Subsidiary Statements Ins.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028B8BC0" w14:textId="77777777">
            <w:pPr>
              <w:rPr>
                <w:rFonts w:ascii="Arial" w:hAnsi="Arial" w:cs="Arial"/>
                <w:color w:val="000000"/>
              </w:rPr>
            </w:pPr>
            <w:r w:rsidRPr="00706F64">
              <w:rPr>
                <w:rFonts w:ascii="Arial" w:hAnsi="Arial" w:cs="Arial"/>
                <w:color w:val="000000"/>
              </w:rPr>
              <w:t>AL Ins. III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3E7CF1EF"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A5A259B" w14:textId="77777777">
            <w:pPr>
              <w:jc w:val="right"/>
              <w:rPr>
                <w:rFonts w:ascii="Arial" w:hAnsi="Arial" w:cs="Arial"/>
                <w:color w:val="000000"/>
              </w:rPr>
            </w:pPr>
            <w:r w:rsidRPr="00706F64">
              <w:rPr>
                <w:rFonts w:ascii="Arial" w:hAnsi="Arial" w:cs="Arial"/>
                <w:color w:val="000000"/>
              </w:rPr>
              <w:t>45</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4F619C99" w14:textId="77777777">
            <w:pPr>
              <w:jc w:val="right"/>
              <w:rPr>
                <w:rFonts w:ascii="Arial" w:hAnsi="Arial" w:cs="Arial"/>
                <w:color w:val="000000"/>
              </w:rPr>
            </w:pPr>
            <w:r w:rsidRPr="00706F64">
              <w:rPr>
                <w:rFonts w:ascii="Arial" w:hAnsi="Arial" w:cs="Arial"/>
                <w:color w:val="000000"/>
              </w:rPr>
              <w:t>$150</w:t>
            </w:r>
          </w:p>
        </w:tc>
        <w:tc>
          <w:tcPr>
            <w:tcW w:w="820" w:type="dxa"/>
            <w:tcBorders>
              <w:top w:val="nil"/>
              <w:left w:val="nil"/>
              <w:bottom w:val="nil"/>
              <w:right w:val="nil"/>
            </w:tcBorders>
            <w:shd w:val="clear" w:color="auto" w:fill="auto"/>
            <w:noWrap/>
            <w:vAlign w:val="bottom"/>
            <w:hideMark/>
          </w:tcPr>
          <w:p w:rsidR="00706F64" w:rsidRPr="00706F64" w:rsidP="00706F64" w14:paraId="6EC18BFF" w14:textId="77777777">
            <w:pPr>
              <w:rPr>
                <w:rFonts w:ascii="Arial" w:hAnsi="Arial" w:cs="Arial"/>
                <w:color w:val="000000"/>
              </w:rPr>
            </w:pPr>
          </w:p>
        </w:tc>
      </w:tr>
      <w:tr w14:paraId="30D3697E" w14:textId="77777777" w:rsidTr="00706F64">
        <w:tblPrEx>
          <w:tblW w:w="8881" w:type="dxa"/>
          <w:tblInd w:w="93" w:type="dxa"/>
          <w:tblLook w:val="04A0"/>
        </w:tblPrEx>
        <w:trPr>
          <w:trHeight w:val="510"/>
        </w:trPr>
        <w:tc>
          <w:tcPr>
            <w:tcW w:w="3206" w:type="dxa"/>
            <w:tcBorders>
              <w:top w:val="nil"/>
              <w:left w:val="single" w:sz="4" w:space="0" w:color="auto"/>
              <w:bottom w:val="single" w:sz="4" w:space="0" w:color="auto"/>
              <w:right w:val="single" w:sz="4" w:space="0" w:color="auto"/>
            </w:tcBorders>
            <w:shd w:val="clear" w:color="auto" w:fill="auto"/>
            <w:vAlign w:val="center"/>
            <w:hideMark/>
          </w:tcPr>
          <w:p w:rsidR="00706F64" w:rsidRPr="00706F64" w:rsidP="00706F64" w14:paraId="21BA94F6" w14:textId="77777777">
            <w:pPr>
              <w:rPr>
                <w:rFonts w:ascii="Arial" w:hAnsi="Arial" w:cs="Arial"/>
                <w:color w:val="000000"/>
              </w:rPr>
            </w:pPr>
            <w:r w:rsidRPr="00706F64">
              <w:rPr>
                <w:rFonts w:ascii="Arial" w:hAnsi="Arial" w:cs="Arial"/>
                <w:color w:val="000000"/>
              </w:rPr>
              <w:t>Subsidiary Balance Sheet Non-Insurance</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0DF15EF6" w14:textId="77777777">
            <w:pPr>
              <w:rPr>
                <w:rFonts w:ascii="Arial" w:hAnsi="Arial" w:cs="Arial"/>
                <w:color w:val="000000"/>
              </w:rPr>
            </w:pPr>
            <w:r w:rsidRPr="00706F64">
              <w:rPr>
                <w:rFonts w:ascii="Arial" w:hAnsi="Arial" w:cs="Arial"/>
                <w:color w:val="000000"/>
              </w:rPr>
              <w:t>AL Ins. III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7FD4C2AE"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203D79B6" w14:textId="77777777">
            <w:pPr>
              <w:jc w:val="right"/>
              <w:rPr>
                <w:rFonts w:ascii="Arial" w:hAnsi="Arial" w:cs="Arial"/>
                <w:color w:val="000000"/>
              </w:rPr>
            </w:pPr>
            <w:r w:rsidRPr="00706F64">
              <w:rPr>
                <w:rFonts w:ascii="Arial" w:hAnsi="Arial" w:cs="Arial"/>
                <w:color w:val="000000"/>
              </w:rPr>
              <w:t>45</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172EF31" w14:textId="77777777">
            <w:pPr>
              <w:jc w:val="right"/>
              <w:rPr>
                <w:rFonts w:ascii="Arial" w:hAnsi="Arial" w:cs="Arial"/>
                <w:color w:val="000000"/>
              </w:rPr>
            </w:pPr>
            <w:r w:rsidRPr="00706F64">
              <w:rPr>
                <w:rFonts w:ascii="Arial" w:hAnsi="Arial" w:cs="Arial"/>
                <w:color w:val="000000"/>
              </w:rPr>
              <w:t>$150</w:t>
            </w:r>
          </w:p>
        </w:tc>
        <w:tc>
          <w:tcPr>
            <w:tcW w:w="820" w:type="dxa"/>
            <w:tcBorders>
              <w:top w:val="nil"/>
              <w:left w:val="nil"/>
              <w:bottom w:val="nil"/>
              <w:right w:val="nil"/>
            </w:tcBorders>
            <w:shd w:val="clear" w:color="auto" w:fill="auto"/>
            <w:noWrap/>
            <w:vAlign w:val="bottom"/>
            <w:hideMark/>
          </w:tcPr>
          <w:p w:rsidR="00706F64" w:rsidRPr="00706F64" w:rsidP="00706F64" w14:paraId="614F0DDB" w14:textId="77777777">
            <w:pPr>
              <w:rPr>
                <w:rFonts w:ascii="Arial" w:hAnsi="Arial" w:cs="Arial"/>
                <w:color w:val="000000"/>
              </w:rPr>
            </w:pPr>
          </w:p>
        </w:tc>
      </w:tr>
      <w:tr w14:paraId="106CD28C"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3982E5EF" w14:textId="77777777">
            <w:pPr>
              <w:rPr>
                <w:rFonts w:ascii="Arial" w:hAnsi="Arial" w:cs="Arial"/>
                <w:color w:val="000000"/>
              </w:rPr>
            </w:pPr>
            <w:r w:rsidRPr="00706F64">
              <w:rPr>
                <w:rFonts w:ascii="Arial" w:hAnsi="Arial" w:cs="Arial"/>
                <w:color w:val="000000"/>
              </w:rPr>
              <w:t>Appraisal Reports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6DBBCF86" w14:textId="77777777">
            <w:pPr>
              <w:rPr>
                <w:rFonts w:ascii="Arial" w:hAnsi="Arial" w:cs="Arial"/>
                <w:color w:val="000000"/>
              </w:rPr>
            </w:pPr>
            <w:r w:rsidRPr="00706F64">
              <w:rPr>
                <w:rFonts w:ascii="Arial" w:hAnsi="Arial" w:cs="Arial"/>
                <w:color w:val="000000"/>
              </w:rPr>
              <w:t>AL Ins. IV</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59152F61"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CC78511"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2D489513" w14:textId="77777777">
            <w:pPr>
              <w:jc w:val="right"/>
              <w:rPr>
                <w:rFonts w:ascii="Arial" w:hAnsi="Arial" w:cs="Arial"/>
                <w:color w:val="000000"/>
              </w:rPr>
            </w:pPr>
            <w:r w:rsidRPr="00706F64">
              <w:rPr>
                <w:rFonts w:ascii="Arial" w:hAnsi="Arial" w:cs="Arial"/>
                <w:color w:val="000000"/>
              </w:rPr>
              <w:t>$25</w:t>
            </w:r>
          </w:p>
        </w:tc>
        <w:tc>
          <w:tcPr>
            <w:tcW w:w="820" w:type="dxa"/>
            <w:tcBorders>
              <w:top w:val="nil"/>
              <w:left w:val="nil"/>
              <w:bottom w:val="nil"/>
              <w:right w:val="nil"/>
            </w:tcBorders>
            <w:shd w:val="clear" w:color="auto" w:fill="auto"/>
            <w:noWrap/>
            <w:vAlign w:val="bottom"/>
            <w:hideMark/>
          </w:tcPr>
          <w:p w:rsidR="00706F64" w:rsidRPr="00706F64" w:rsidP="00706F64" w14:paraId="548BC0B5" w14:textId="77777777">
            <w:pPr>
              <w:rPr>
                <w:rFonts w:ascii="Arial" w:hAnsi="Arial" w:cs="Arial"/>
                <w:color w:val="000000"/>
              </w:rPr>
            </w:pPr>
          </w:p>
        </w:tc>
      </w:tr>
      <w:tr w14:paraId="07853E46"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39D602D3" w14:textId="77777777">
            <w:pPr>
              <w:rPr>
                <w:rFonts w:ascii="Arial" w:hAnsi="Arial" w:cs="Arial"/>
                <w:color w:val="000000"/>
              </w:rPr>
            </w:pPr>
            <w:r w:rsidRPr="00706F64">
              <w:rPr>
                <w:rFonts w:ascii="Arial" w:hAnsi="Arial" w:cs="Arial"/>
                <w:color w:val="000000"/>
              </w:rPr>
              <w:t>Valuation Assets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62373ACF" w14:textId="77777777">
            <w:pPr>
              <w:rPr>
                <w:rFonts w:ascii="Arial" w:hAnsi="Arial" w:cs="Arial"/>
                <w:color w:val="000000"/>
              </w:rPr>
            </w:pPr>
            <w:r w:rsidRPr="00706F64">
              <w:rPr>
                <w:rFonts w:ascii="Arial" w:hAnsi="Arial" w:cs="Arial"/>
                <w:color w:val="000000"/>
              </w:rPr>
              <w:t>AL Ins. V</w:t>
            </w:r>
          </w:p>
        </w:tc>
        <w:tc>
          <w:tcPr>
            <w:tcW w:w="119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7BD7EF16"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25FC21AB" w14:textId="77777777">
            <w:pPr>
              <w:jc w:val="right"/>
              <w:rPr>
                <w:rFonts w:ascii="Arial" w:hAnsi="Arial" w:cs="Arial"/>
                <w:color w:val="000000"/>
              </w:rPr>
            </w:pPr>
            <w:r w:rsidRPr="00706F64">
              <w:rPr>
                <w:rFonts w:ascii="Arial" w:hAnsi="Arial" w:cs="Arial"/>
                <w:color w:val="000000"/>
              </w:rPr>
              <w:t>30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4A46E91"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center"/>
            <w:hideMark/>
          </w:tcPr>
          <w:p w:rsidR="00706F64" w:rsidRPr="00706F64" w:rsidP="00706F64" w14:paraId="43329B86" w14:textId="77777777">
            <w:pPr>
              <w:rPr>
                <w:rFonts w:ascii="Arial" w:hAnsi="Arial" w:cs="Arial"/>
                <w:color w:val="000000"/>
              </w:rPr>
            </w:pPr>
          </w:p>
        </w:tc>
      </w:tr>
      <w:tr w14:paraId="13F7058D"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1DB2A7B3" w14:textId="77777777">
            <w:pPr>
              <w:rPr>
                <w:rFonts w:ascii="Arial" w:hAnsi="Arial" w:cs="Arial"/>
                <w:color w:val="000000"/>
              </w:rPr>
            </w:pPr>
            <w:r w:rsidRPr="00706F64">
              <w:rPr>
                <w:rFonts w:ascii="Arial" w:hAnsi="Arial" w:cs="Arial"/>
                <w:color w:val="000000"/>
              </w:rPr>
              <w:t xml:space="preserve">Bail Schedule </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69D82E34" w14:textId="77777777">
            <w:pPr>
              <w:rPr>
                <w:rFonts w:ascii="Arial" w:hAnsi="Arial" w:cs="Arial"/>
                <w:color w:val="000000"/>
              </w:rPr>
            </w:pPr>
            <w:r w:rsidRPr="00706F64">
              <w:rPr>
                <w:rFonts w:ascii="Arial" w:hAnsi="Arial" w:cs="Arial"/>
                <w:color w:val="000000"/>
              </w:rPr>
              <w:t>AL Ins. VI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2571793A"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D4474F9" w14:textId="77777777">
            <w:pPr>
              <w:jc w:val="right"/>
              <w:rPr>
                <w:rFonts w:ascii="Arial" w:hAnsi="Arial" w:cs="Arial"/>
                <w:color w:val="000000"/>
              </w:rPr>
            </w:pPr>
            <w:r w:rsidRPr="00706F64">
              <w:rPr>
                <w:rFonts w:ascii="Arial" w:hAnsi="Arial" w:cs="Arial"/>
                <w:color w:val="000000"/>
              </w:rPr>
              <w:t>50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6483233" w14:textId="77777777">
            <w:pPr>
              <w:jc w:val="right"/>
              <w:rPr>
                <w:rFonts w:ascii="Arial" w:hAnsi="Arial" w:cs="Arial"/>
                <w:color w:val="000000"/>
              </w:rPr>
            </w:pPr>
            <w:r w:rsidRPr="00706F64">
              <w:rPr>
                <w:rFonts w:ascii="Arial" w:hAnsi="Arial" w:cs="Arial"/>
                <w:color w:val="000000"/>
              </w:rPr>
              <w:t>$60</w:t>
            </w:r>
          </w:p>
        </w:tc>
        <w:tc>
          <w:tcPr>
            <w:tcW w:w="820" w:type="dxa"/>
            <w:tcBorders>
              <w:top w:val="nil"/>
              <w:left w:val="nil"/>
              <w:bottom w:val="nil"/>
              <w:right w:val="nil"/>
            </w:tcBorders>
            <w:shd w:val="clear" w:color="auto" w:fill="auto"/>
            <w:noWrap/>
            <w:vAlign w:val="bottom"/>
            <w:hideMark/>
          </w:tcPr>
          <w:p w:rsidR="00706F64" w:rsidRPr="00706F64" w:rsidP="00706F64" w14:paraId="6ABA9BC7" w14:textId="77777777">
            <w:pPr>
              <w:rPr>
                <w:rFonts w:ascii="Arial" w:hAnsi="Arial" w:cs="Arial"/>
                <w:color w:val="000000"/>
              </w:rPr>
            </w:pPr>
          </w:p>
        </w:tc>
      </w:tr>
      <w:tr w14:paraId="79352981"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069CA70D" w14:textId="77777777">
            <w:pPr>
              <w:rPr>
                <w:rFonts w:ascii="Arial" w:hAnsi="Arial" w:cs="Arial"/>
                <w:color w:val="000000"/>
              </w:rPr>
            </w:pPr>
            <w:r w:rsidRPr="00706F64">
              <w:rPr>
                <w:rFonts w:ascii="Arial" w:hAnsi="Arial" w:cs="Arial"/>
                <w:color w:val="000000"/>
              </w:rPr>
              <w:t>Capital Changes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42C1535F" w14:textId="77777777">
            <w:pPr>
              <w:rPr>
                <w:rFonts w:ascii="Arial" w:hAnsi="Arial" w:cs="Arial"/>
                <w:color w:val="000000"/>
              </w:rPr>
            </w:pPr>
            <w:r w:rsidRPr="00706F64">
              <w:rPr>
                <w:rFonts w:ascii="Arial" w:hAnsi="Arial" w:cs="Arial"/>
                <w:color w:val="000000"/>
              </w:rPr>
              <w:t>AL Ins. IX</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0DA83F74"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A96F3C0"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C11BF7A"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bottom"/>
            <w:hideMark/>
          </w:tcPr>
          <w:p w:rsidR="00706F64" w:rsidRPr="00706F64" w:rsidP="00706F64" w14:paraId="2FEB8409" w14:textId="77777777">
            <w:pPr>
              <w:rPr>
                <w:rFonts w:ascii="Arial" w:hAnsi="Arial" w:cs="Arial"/>
                <w:color w:val="000000"/>
              </w:rPr>
            </w:pPr>
          </w:p>
        </w:tc>
      </w:tr>
      <w:tr w14:paraId="2F202A0E"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07862AB6" w14:textId="77777777">
            <w:pPr>
              <w:rPr>
                <w:rFonts w:ascii="Arial" w:hAnsi="Arial" w:cs="Arial"/>
                <w:color w:val="000000"/>
              </w:rPr>
            </w:pPr>
            <w:r w:rsidRPr="00706F64">
              <w:rPr>
                <w:rFonts w:ascii="Arial" w:hAnsi="Arial" w:cs="Arial"/>
                <w:color w:val="000000"/>
              </w:rPr>
              <w:t>Stock Changes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41212A82" w14:textId="77777777">
            <w:pPr>
              <w:rPr>
                <w:rFonts w:ascii="Arial" w:hAnsi="Arial" w:cs="Arial"/>
                <w:color w:val="000000"/>
              </w:rPr>
            </w:pPr>
            <w:r w:rsidRPr="00706F64">
              <w:rPr>
                <w:rFonts w:ascii="Arial" w:hAnsi="Arial" w:cs="Arial"/>
                <w:color w:val="000000"/>
              </w:rPr>
              <w:t>AL Ins. X</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3068A561"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399D4026"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0B2B756"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00706F64" w:rsidRPr="00706F64" w:rsidP="00706F64" w14:paraId="43304DA9" w14:textId="77777777">
            <w:pPr>
              <w:rPr>
                <w:rFonts w:ascii="Arial" w:hAnsi="Arial" w:cs="Arial"/>
                <w:color w:val="000000"/>
              </w:rPr>
            </w:pPr>
          </w:p>
        </w:tc>
      </w:tr>
      <w:tr w14:paraId="517F4768" w14:textId="77777777" w:rsidTr="00706F64">
        <w:tblPrEx>
          <w:tblW w:w="8881" w:type="dxa"/>
          <w:tblInd w:w="93" w:type="dxa"/>
          <w:tblLook w:val="04A0"/>
        </w:tblPrEx>
        <w:trPr>
          <w:trHeight w:val="510"/>
        </w:trPr>
        <w:tc>
          <w:tcPr>
            <w:tcW w:w="3206" w:type="dxa"/>
            <w:tcBorders>
              <w:top w:val="nil"/>
              <w:left w:val="single" w:sz="4" w:space="0" w:color="auto"/>
              <w:bottom w:val="single" w:sz="4" w:space="0" w:color="auto"/>
              <w:right w:val="single" w:sz="4" w:space="0" w:color="auto"/>
            </w:tcBorders>
            <w:shd w:val="clear" w:color="auto" w:fill="auto"/>
            <w:vAlign w:val="center"/>
            <w:hideMark/>
          </w:tcPr>
          <w:p w:rsidR="00706F64" w:rsidRPr="00706F64" w:rsidP="00706F64" w14:paraId="7FFA36DF" w14:textId="77777777">
            <w:pPr>
              <w:rPr>
                <w:rFonts w:ascii="Arial" w:hAnsi="Arial" w:cs="Arial"/>
                <w:color w:val="000000"/>
              </w:rPr>
            </w:pPr>
            <w:r w:rsidRPr="00706F64">
              <w:rPr>
                <w:rFonts w:ascii="Arial" w:hAnsi="Arial" w:cs="Arial"/>
                <w:color w:val="000000"/>
              </w:rPr>
              <w:t>Mergers, Transfers, Assumptions, etc.</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3D17F668" w14:textId="77777777">
            <w:pPr>
              <w:rPr>
                <w:rFonts w:ascii="Arial" w:hAnsi="Arial" w:cs="Arial"/>
                <w:color w:val="000000"/>
              </w:rPr>
            </w:pPr>
            <w:r w:rsidRPr="00706F64">
              <w:rPr>
                <w:rFonts w:ascii="Arial" w:hAnsi="Arial" w:cs="Arial"/>
                <w:color w:val="000000"/>
              </w:rPr>
              <w:t>AL Ins. XIV</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5B54D51D"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0809180"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3F5ABEC8"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00706F64" w:rsidRPr="00706F64" w:rsidP="00706F64" w14:paraId="1755CBFC" w14:textId="77777777">
            <w:pPr>
              <w:rPr>
                <w:rFonts w:ascii="Arial" w:hAnsi="Arial" w:cs="Arial"/>
                <w:color w:val="000000"/>
              </w:rPr>
            </w:pPr>
          </w:p>
        </w:tc>
      </w:tr>
      <w:tr w14:paraId="4A402C0F"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1AE337DA" w14:textId="77777777">
            <w:pPr>
              <w:rPr>
                <w:rFonts w:ascii="Arial" w:hAnsi="Arial" w:cs="Arial"/>
                <w:color w:val="000000"/>
              </w:rPr>
            </w:pPr>
            <w:r w:rsidRPr="00706F64">
              <w:rPr>
                <w:rFonts w:ascii="Arial" w:hAnsi="Arial" w:cs="Arial"/>
                <w:color w:val="000000"/>
              </w:rPr>
              <w:t>Chapter Amendments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19E25C39" w14:textId="77777777">
            <w:pPr>
              <w:rPr>
                <w:rFonts w:ascii="Arial" w:hAnsi="Arial" w:cs="Arial"/>
                <w:color w:val="000000"/>
              </w:rPr>
            </w:pPr>
            <w:r w:rsidRPr="00706F64">
              <w:rPr>
                <w:rFonts w:ascii="Arial" w:hAnsi="Arial" w:cs="Arial"/>
                <w:color w:val="000000"/>
              </w:rPr>
              <w:t>AL Ins. XII</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1BF8A8C3"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2D6F0134"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68E02DB"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00706F64" w:rsidRPr="00706F64" w:rsidP="00706F64" w14:paraId="611052AA" w14:textId="77777777">
            <w:pPr>
              <w:rPr>
                <w:rFonts w:ascii="Arial" w:hAnsi="Arial" w:cs="Arial"/>
                <w:color w:val="000000"/>
              </w:rPr>
            </w:pPr>
          </w:p>
        </w:tc>
      </w:tr>
      <w:tr w14:paraId="1EA6301E"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1AE70F4C" w14:textId="77777777">
            <w:pPr>
              <w:rPr>
                <w:rFonts w:ascii="Arial" w:hAnsi="Arial" w:cs="Arial"/>
                <w:color w:val="000000"/>
              </w:rPr>
            </w:pPr>
            <w:r w:rsidRPr="00706F64">
              <w:rPr>
                <w:rFonts w:ascii="Arial" w:hAnsi="Arial" w:cs="Arial"/>
                <w:color w:val="000000"/>
              </w:rPr>
              <w:t>Memoranda</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2D4293E7" w14:textId="77777777">
            <w:pPr>
              <w:rPr>
                <w:rFonts w:ascii="Arial" w:hAnsi="Arial" w:cs="Arial"/>
                <w:color w:val="000000"/>
              </w:rPr>
            </w:pPr>
            <w:r w:rsidRPr="00706F64">
              <w:rPr>
                <w:rFonts w:ascii="Arial" w:hAnsi="Arial" w:cs="Arial"/>
                <w:color w:val="000000"/>
              </w:rPr>
              <w:t>AL Ins. XIII</w:t>
            </w:r>
          </w:p>
        </w:tc>
        <w:tc>
          <w:tcPr>
            <w:tcW w:w="119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E30CEB8"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617765D3"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3C8A2898"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center"/>
            <w:hideMark/>
          </w:tcPr>
          <w:p w:rsidR="00706F64" w:rsidRPr="00706F64" w:rsidP="00706F64" w14:paraId="1B441A00" w14:textId="77777777">
            <w:pPr>
              <w:rPr>
                <w:rFonts w:ascii="Arial" w:hAnsi="Arial" w:cs="Arial"/>
                <w:color w:val="000000"/>
              </w:rPr>
            </w:pPr>
          </w:p>
        </w:tc>
      </w:tr>
      <w:tr w14:paraId="0CD3D17F"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6890B8A0" w14:textId="77777777">
            <w:pPr>
              <w:rPr>
                <w:rFonts w:ascii="Arial" w:hAnsi="Arial" w:cs="Arial"/>
                <w:color w:val="000000"/>
              </w:rPr>
            </w:pPr>
            <w:r w:rsidRPr="00706F64">
              <w:rPr>
                <w:rFonts w:ascii="Arial" w:hAnsi="Arial" w:cs="Arial"/>
                <w:color w:val="000000"/>
              </w:rPr>
              <w:t>Exam Reports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1307C824" w14:textId="77777777">
            <w:pPr>
              <w:rPr>
                <w:rFonts w:ascii="Arial" w:hAnsi="Arial" w:cs="Arial"/>
                <w:color w:val="000000"/>
              </w:rPr>
            </w:pPr>
            <w:r w:rsidRPr="00706F64">
              <w:rPr>
                <w:rFonts w:ascii="Arial" w:hAnsi="Arial" w:cs="Arial"/>
                <w:color w:val="000000"/>
              </w:rPr>
              <w:t>AL Ins. XV</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2C95C3C7"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88473B3"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C575BAA"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00706F64" w:rsidRPr="00706F64" w:rsidP="00706F64" w14:paraId="1E646718" w14:textId="77777777">
            <w:pPr>
              <w:rPr>
                <w:rFonts w:ascii="Arial" w:hAnsi="Arial" w:cs="Arial"/>
                <w:color w:val="000000"/>
              </w:rPr>
            </w:pPr>
          </w:p>
        </w:tc>
      </w:tr>
      <w:tr w14:paraId="4254BA84" w14:textId="77777777" w:rsidTr="00706F64">
        <w:tblPrEx>
          <w:tblW w:w="8881" w:type="dxa"/>
          <w:tblInd w:w="93" w:type="dxa"/>
          <w:tblLook w:val="04A0"/>
        </w:tblPrEx>
        <w:trPr>
          <w:trHeight w:val="300"/>
        </w:trPr>
        <w:tc>
          <w:tcPr>
            <w:tcW w:w="3206" w:type="dxa"/>
            <w:tcBorders>
              <w:top w:val="nil"/>
              <w:left w:val="single" w:sz="4" w:space="0" w:color="auto"/>
              <w:bottom w:val="single" w:sz="4" w:space="0" w:color="auto"/>
              <w:right w:val="single" w:sz="4" w:space="0" w:color="auto"/>
            </w:tcBorders>
            <w:shd w:val="clear" w:color="auto" w:fill="auto"/>
            <w:noWrap/>
            <w:vAlign w:val="center"/>
            <w:hideMark/>
          </w:tcPr>
          <w:p w:rsidR="00706F64" w:rsidRPr="00706F64" w:rsidP="00706F64" w14:paraId="3518BD72" w14:textId="77777777">
            <w:pPr>
              <w:rPr>
                <w:rFonts w:ascii="Arial" w:hAnsi="Arial" w:cs="Arial"/>
                <w:color w:val="000000"/>
              </w:rPr>
            </w:pPr>
            <w:r w:rsidRPr="00706F64">
              <w:rPr>
                <w:rFonts w:ascii="Arial" w:hAnsi="Arial" w:cs="Arial"/>
                <w:color w:val="000000"/>
              </w:rPr>
              <w:t>CPA, SEC Report</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11287CC2" w14:textId="77777777">
            <w:pPr>
              <w:rPr>
                <w:rFonts w:ascii="Arial" w:hAnsi="Arial" w:cs="Arial"/>
                <w:color w:val="000000"/>
              </w:rPr>
            </w:pPr>
            <w:r w:rsidRPr="00706F64">
              <w:rPr>
                <w:rFonts w:ascii="Arial" w:hAnsi="Arial" w:cs="Arial"/>
                <w:color w:val="000000"/>
              </w:rPr>
              <w:t>AL Ins. XVI</w:t>
            </w:r>
          </w:p>
        </w:tc>
        <w:tc>
          <w:tcPr>
            <w:tcW w:w="119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5946D6BF"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DA9470A"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32170275"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center"/>
            <w:hideMark/>
          </w:tcPr>
          <w:p w:rsidR="00706F64" w:rsidRPr="00706F64" w:rsidP="00706F64" w14:paraId="37C60258" w14:textId="77777777">
            <w:pPr>
              <w:rPr>
                <w:rFonts w:ascii="Arial" w:hAnsi="Arial" w:cs="Arial"/>
                <w:color w:val="000000"/>
              </w:rPr>
            </w:pPr>
          </w:p>
        </w:tc>
      </w:tr>
      <w:tr w14:paraId="5E151675" w14:textId="77777777" w:rsidTr="00706F64">
        <w:tblPrEx>
          <w:tblW w:w="8881" w:type="dxa"/>
          <w:tblInd w:w="93" w:type="dxa"/>
          <w:tblLook w:val="04A0"/>
        </w:tblPrEx>
        <w:trPr>
          <w:trHeight w:val="510"/>
        </w:trPr>
        <w:tc>
          <w:tcPr>
            <w:tcW w:w="3206" w:type="dxa"/>
            <w:tcBorders>
              <w:top w:val="nil"/>
              <w:left w:val="single" w:sz="4" w:space="0" w:color="auto"/>
              <w:bottom w:val="single" w:sz="4" w:space="0" w:color="auto"/>
              <w:right w:val="single" w:sz="4" w:space="0" w:color="auto"/>
            </w:tcBorders>
            <w:shd w:val="clear" w:color="auto" w:fill="auto"/>
            <w:vAlign w:val="center"/>
            <w:hideMark/>
          </w:tcPr>
          <w:p w:rsidR="00706F64" w:rsidRPr="00025905" w:rsidP="00706F64" w14:paraId="47843DE8" w14:textId="77777777">
            <w:pPr>
              <w:rPr>
                <w:rFonts w:ascii="Arial" w:hAnsi="Arial" w:cs="Arial"/>
                <w:color w:val="000000"/>
              </w:rPr>
            </w:pPr>
            <w:r w:rsidRPr="00706F64">
              <w:rPr>
                <w:rFonts w:ascii="Arial" w:hAnsi="Arial" w:cs="Arial"/>
                <w:color w:val="000000"/>
              </w:rPr>
              <w:t xml:space="preserve">Penal Sum Bond Form </w:t>
            </w:r>
          </w:p>
          <w:p w:rsidR="00706F64" w:rsidRPr="00706F64" w:rsidP="00706F64" w14:paraId="3747D2F6" w14:textId="77777777">
            <w:pPr>
              <w:rPr>
                <w:rFonts w:ascii="Arial" w:hAnsi="Arial" w:cs="Arial"/>
                <w:color w:val="000000"/>
              </w:rPr>
            </w:pPr>
            <w:r w:rsidRPr="00706F64">
              <w:rPr>
                <w:rFonts w:ascii="Arial" w:hAnsi="Arial" w:cs="Arial"/>
                <w:color w:val="000000"/>
              </w:rPr>
              <w:t>(4 Quarters)</w:t>
            </w:r>
          </w:p>
        </w:tc>
        <w:tc>
          <w:tcPr>
            <w:tcW w:w="1636" w:type="dxa"/>
            <w:tcBorders>
              <w:top w:val="nil"/>
              <w:left w:val="nil"/>
              <w:bottom w:val="single" w:sz="4" w:space="0" w:color="auto"/>
              <w:right w:val="single" w:sz="4" w:space="0" w:color="auto"/>
            </w:tcBorders>
            <w:shd w:val="clear" w:color="auto" w:fill="auto"/>
            <w:vAlign w:val="bottom"/>
            <w:hideMark/>
          </w:tcPr>
          <w:p w:rsidR="00706F64" w:rsidRPr="00706F64" w:rsidP="00706F64" w14:paraId="5974ED80" w14:textId="77777777">
            <w:pPr>
              <w:rPr>
                <w:rFonts w:ascii="Arial" w:hAnsi="Arial" w:cs="Arial"/>
                <w:color w:val="000000"/>
              </w:rPr>
            </w:pPr>
            <w:r w:rsidRPr="00706F64">
              <w:rPr>
                <w:rFonts w:ascii="Arial" w:hAnsi="Arial" w:cs="Arial"/>
                <w:color w:val="000000"/>
              </w:rPr>
              <w:t>Annual Letter (AL)</w:t>
            </w:r>
          </w:p>
        </w:tc>
        <w:tc>
          <w:tcPr>
            <w:tcW w:w="1191" w:type="dxa"/>
            <w:tcBorders>
              <w:top w:val="nil"/>
              <w:left w:val="nil"/>
              <w:bottom w:val="single" w:sz="4" w:space="0" w:color="auto"/>
              <w:right w:val="single" w:sz="4" w:space="0" w:color="auto"/>
            </w:tcBorders>
            <w:shd w:val="clear" w:color="auto" w:fill="auto"/>
            <w:noWrap/>
            <w:vAlign w:val="bottom"/>
            <w:hideMark/>
          </w:tcPr>
          <w:p w:rsidR="00706F64" w:rsidRPr="00706F64" w:rsidP="00706F64" w14:paraId="75C821EF"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9CAD73F"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5B04476"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bottom"/>
            <w:hideMark/>
          </w:tcPr>
          <w:p w:rsidR="00706F64" w:rsidRPr="00706F64" w:rsidP="00706F64" w14:paraId="263F1BAA" w14:textId="77777777">
            <w:pPr>
              <w:rPr>
                <w:rFonts w:ascii="Arial" w:hAnsi="Arial" w:cs="Arial"/>
                <w:color w:val="000000"/>
              </w:rPr>
            </w:pPr>
          </w:p>
        </w:tc>
      </w:tr>
      <w:tr w14:paraId="64EDCD69" w14:textId="77777777" w:rsidTr="00706F64">
        <w:tblPrEx>
          <w:tblW w:w="8881" w:type="dxa"/>
          <w:tblInd w:w="93" w:type="dxa"/>
          <w:tblLook w:val="04A0"/>
        </w:tblPrEx>
        <w:trPr>
          <w:trHeight w:val="300"/>
        </w:trPr>
        <w:tc>
          <w:tcPr>
            <w:tcW w:w="3206" w:type="dxa"/>
            <w:tcBorders>
              <w:top w:val="nil"/>
              <w:left w:val="nil"/>
              <w:bottom w:val="nil"/>
              <w:right w:val="nil"/>
            </w:tcBorders>
            <w:shd w:val="clear" w:color="auto" w:fill="auto"/>
            <w:noWrap/>
            <w:vAlign w:val="center"/>
            <w:hideMark/>
          </w:tcPr>
          <w:p w:rsidR="00706F64" w:rsidRPr="00706F64" w:rsidP="00706F64" w14:paraId="6A0B6E34" w14:textId="77777777">
            <w:pPr>
              <w:rPr>
                <w:rFonts w:ascii="Arial" w:hAnsi="Arial" w:cs="Arial"/>
                <w:color w:val="000000"/>
              </w:rPr>
            </w:pPr>
            <w:r w:rsidRPr="00706F64">
              <w:rPr>
                <w:rFonts w:ascii="Arial" w:hAnsi="Arial" w:cs="Arial"/>
                <w:color w:val="000000"/>
              </w:rPr>
              <w:t> </w:t>
            </w:r>
          </w:p>
        </w:tc>
        <w:tc>
          <w:tcPr>
            <w:tcW w:w="1636" w:type="dxa"/>
            <w:tcBorders>
              <w:top w:val="nil"/>
              <w:left w:val="nil"/>
              <w:bottom w:val="nil"/>
              <w:right w:val="nil"/>
            </w:tcBorders>
            <w:shd w:val="clear" w:color="auto" w:fill="auto"/>
            <w:vAlign w:val="bottom"/>
            <w:hideMark/>
          </w:tcPr>
          <w:p w:rsidR="00706F64" w:rsidRPr="00706F64" w:rsidP="00706F64" w14:paraId="538FA9B7" w14:textId="77777777">
            <w:pPr>
              <w:rPr>
                <w:rFonts w:ascii="Arial" w:hAnsi="Arial" w:cs="Arial"/>
                <w:color w:val="000000"/>
              </w:rPr>
            </w:pPr>
            <w:r w:rsidRPr="00706F64">
              <w:rPr>
                <w:rFonts w:ascii="Arial" w:hAnsi="Arial" w:cs="Arial"/>
                <w:color w:val="000000"/>
              </w:rPr>
              <w:t> </w:t>
            </w:r>
          </w:p>
        </w:tc>
        <w:tc>
          <w:tcPr>
            <w:tcW w:w="1191" w:type="dxa"/>
            <w:tcBorders>
              <w:top w:val="nil"/>
              <w:left w:val="nil"/>
              <w:bottom w:val="nil"/>
              <w:right w:val="single" w:sz="4" w:space="0" w:color="auto"/>
            </w:tcBorders>
            <w:shd w:val="clear" w:color="auto" w:fill="auto"/>
            <w:noWrap/>
            <w:vAlign w:val="center"/>
            <w:hideMark/>
          </w:tcPr>
          <w:p w:rsidR="00706F64" w:rsidRPr="00706F64" w:rsidP="00706F64" w14:paraId="496EAFBD" w14:textId="77777777">
            <w:pPr>
              <w:jc w:val="right"/>
              <w:rPr>
                <w:rFonts w:ascii="Arial" w:hAnsi="Arial" w:cs="Arial"/>
                <w:color w:val="000000"/>
              </w:rPr>
            </w:pPr>
            <w:r w:rsidRPr="00706F64">
              <w:rPr>
                <w:rFonts w:ascii="Arial" w:hAnsi="Arial" w:cs="Arial"/>
                <w:color w:val="000000"/>
              </w:rPr>
              <w:t>MINUTES=</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3658D2D5" w14:textId="77777777">
            <w:pPr>
              <w:jc w:val="right"/>
              <w:rPr>
                <w:rFonts w:ascii="Arial" w:hAnsi="Arial" w:cs="Arial"/>
                <w:color w:val="000000"/>
              </w:rPr>
            </w:pPr>
            <w:r w:rsidRPr="00706F64">
              <w:rPr>
                <w:rFonts w:ascii="Arial" w:hAnsi="Arial" w:cs="Arial"/>
                <w:color w:val="000000"/>
              </w:rPr>
              <w:t>1,125</w:t>
            </w:r>
          </w:p>
        </w:tc>
        <w:tc>
          <w:tcPr>
            <w:tcW w:w="911"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089D01CF" w14:textId="77777777">
            <w:pPr>
              <w:jc w:val="right"/>
              <w:rPr>
                <w:rFonts w:ascii="Arial" w:hAnsi="Arial" w:cs="Arial"/>
                <w:color w:val="000000"/>
              </w:rPr>
            </w:pPr>
            <w:r w:rsidRPr="00706F64">
              <w:rPr>
                <w:rFonts w:ascii="Arial" w:hAnsi="Arial" w:cs="Arial"/>
                <w:color w:val="000000"/>
              </w:rPr>
              <w:t>$1,470</w:t>
            </w:r>
          </w:p>
        </w:tc>
        <w:tc>
          <w:tcPr>
            <w:tcW w:w="820" w:type="dxa"/>
            <w:tcBorders>
              <w:top w:val="nil"/>
              <w:left w:val="nil"/>
              <w:bottom w:val="nil"/>
              <w:right w:val="nil"/>
            </w:tcBorders>
            <w:shd w:val="clear" w:color="auto" w:fill="auto"/>
            <w:noWrap/>
            <w:vAlign w:val="bottom"/>
            <w:hideMark/>
          </w:tcPr>
          <w:p w:rsidR="00706F64" w:rsidRPr="00706F64" w:rsidP="00706F64" w14:paraId="0A5B202B" w14:textId="77777777">
            <w:pPr>
              <w:rPr>
                <w:rFonts w:ascii="Arial Narrow" w:hAnsi="Arial Narrow" w:cs="Arial"/>
                <w:color w:val="000000"/>
              </w:rPr>
            </w:pPr>
            <w:r w:rsidRPr="00706F64">
              <w:rPr>
                <w:rFonts w:ascii="Arial Narrow" w:hAnsi="Arial Narrow" w:cs="Arial"/>
                <w:color w:val="000000"/>
              </w:rPr>
              <w:t>= COST</w:t>
            </w:r>
          </w:p>
        </w:tc>
      </w:tr>
      <w:tr w14:paraId="1DDC5A20" w14:textId="77777777" w:rsidTr="00706F64">
        <w:tblPrEx>
          <w:tblW w:w="8881" w:type="dxa"/>
          <w:tblInd w:w="93" w:type="dxa"/>
          <w:tblLook w:val="04A0"/>
        </w:tblPrEx>
        <w:trPr>
          <w:trHeight w:val="300"/>
        </w:trPr>
        <w:tc>
          <w:tcPr>
            <w:tcW w:w="3206" w:type="dxa"/>
            <w:tcBorders>
              <w:top w:val="nil"/>
              <w:left w:val="nil"/>
              <w:bottom w:val="nil"/>
              <w:right w:val="nil"/>
            </w:tcBorders>
            <w:shd w:val="clear" w:color="auto" w:fill="auto"/>
            <w:noWrap/>
            <w:vAlign w:val="center"/>
            <w:hideMark/>
          </w:tcPr>
          <w:p w:rsidR="00706F64" w:rsidRPr="00706F64" w:rsidP="00706F64" w14:paraId="11EE3367" w14:textId="77777777">
            <w:pPr>
              <w:rPr>
                <w:rFonts w:ascii="Arial" w:hAnsi="Arial" w:cs="Arial"/>
                <w:color w:val="000000"/>
              </w:rPr>
            </w:pPr>
          </w:p>
        </w:tc>
        <w:tc>
          <w:tcPr>
            <w:tcW w:w="1636" w:type="dxa"/>
            <w:tcBorders>
              <w:top w:val="nil"/>
              <w:left w:val="nil"/>
              <w:bottom w:val="nil"/>
              <w:right w:val="nil"/>
            </w:tcBorders>
            <w:shd w:val="clear" w:color="auto" w:fill="auto"/>
            <w:vAlign w:val="bottom"/>
            <w:hideMark/>
          </w:tcPr>
          <w:p w:rsidR="00706F64" w:rsidRPr="00706F64" w:rsidP="00706F64" w14:paraId="7A36AC5D" w14:textId="77777777">
            <w:pPr>
              <w:rPr>
                <w:rFonts w:ascii="Arial" w:hAnsi="Arial" w:cs="Arial"/>
                <w:color w:val="000000"/>
              </w:rPr>
            </w:pPr>
          </w:p>
        </w:tc>
        <w:tc>
          <w:tcPr>
            <w:tcW w:w="1191" w:type="dxa"/>
            <w:tcBorders>
              <w:top w:val="nil"/>
              <w:left w:val="nil"/>
              <w:bottom w:val="nil"/>
              <w:right w:val="single" w:sz="4" w:space="0" w:color="auto"/>
            </w:tcBorders>
            <w:shd w:val="clear" w:color="auto" w:fill="auto"/>
            <w:noWrap/>
            <w:vAlign w:val="bottom"/>
            <w:hideMark/>
          </w:tcPr>
          <w:p w:rsidR="00706F64" w:rsidRPr="00706F64" w:rsidP="00706F64" w14:paraId="1E7F6399" w14:textId="77777777">
            <w:pPr>
              <w:jc w:val="right"/>
              <w:rPr>
                <w:rFonts w:ascii="Arial" w:hAnsi="Arial" w:cs="Arial"/>
                <w:color w:val="000000"/>
              </w:rPr>
            </w:pPr>
            <w:r w:rsidRPr="00706F64">
              <w:rPr>
                <w:rFonts w:ascii="Arial" w:hAnsi="Arial" w:cs="Arial"/>
                <w:color w:val="000000"/>
              </w:rPr>
              <w:t>HOURS=</w:t>
            </w:r>
          </w:p>
        </w:tc>
        <w:tc>
          <w:tcPr>
            <w:tcW w:w="1117" w:type="dxa"/>
            <w:tcBorders>
              <w:top w:val="nil"/>
              <w:left w:val="nil"/>
              <w:bottom w:val="single" w:sz="4" w:space="0" w:color="auto"/>
              <w:right w:val="single" w:sz="4" w:space="0" w:color="auto"/>
            </w:tcBorders>
            <w:shd w:val="clear" w:color="auto" w:fill="auto"/>
            <w:noWrap/>
            <w:vAlign w:val="center"/>
            <w:hideMark/>
          </w:tcPr>
          <w:p w:rsidR="00706F64" w:rsidRPr="00706F64" w:rsidP="00706F64" w14:paraId="181CA925" w14:textId="77777777">
            <w:pPr>
              <w:jc w:val="right"/>
              <w:rPr>
                <w:rFonts w:ascii="Arial" w:hAnsi="Arial" w:cs="Arial"/>
                <w:color w:val="000000"/>
              </w:rPr>
            </w:pPr>
            <w:r w:rsidRPr="00706F64">
              <w:rPr>
                <w:rFonts w:ascii="Arial" w:hAnsi="Arial" w:cs="Arial"/>
                <w:color w:val="000000"/>
              </w:rPr>
              <w:t>18.75</w:t>
            </w:r>
          </w:p>
        </w:tc>
        <w:tc>
          <w:tcPr>
            <w:tcW w:w="911" w:type="dxa"/>
            <w:tcBorders>
              <w:top w:val="nil"/>
              <w:left w:val="nil"/>
              <w:bottom w:val="nil"/>
              <w:right w:val="nil"/>
            </w:tcBorders>
            <w:shd w:val="clear" w:color="auto" w:fill="auto"/>
            <w:noWrap/>
            <w:vAlign w:val="center"/>
            <w:hideMark/>
          </w:tcPr>
          <w:p w:rsidR="00706F64" w:rsidRPr="00706F64" w:rsidP="00706F64" w14:paraId="1E91ABA3" w14:textId="77777777">
            <w:pPr>
              <w:jc w:val="right"/>
              <w:rPr>
                <w:rFonts w:ascii="Arial" w:hAnsi="Arial" w:cs="Arial"/>
                <w:color w:val="000000"/>
              </w:rPr>
            </w:pPr>
            <w:r w:rsidRPr="00706F6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706F64" w:rsidRPr="00706F64" w:rsidP="00706F64" w14:paraId="557252B9" w14:textId="77777777">
            <w:pPr>
              <w:rPr>
                <w:rFonts w:ascii="Arial" w:hAnsi="Arial" w:cs="Arial"/>
                <w:color w:val="000000"/>
              </w:rPr>
            </w:pPr>
          </w:p>
        </w:tc>
      </w:tr>
    </w:tbl>
    <w:p w:rsidR="003B77AF" w:rsidP="003B77AF" w14:paraId="297A4C14" w14:textId="77777777"/>
    <w:p w:rsidR="003B77AF" w:rsidP="003B77AF" w14:paraId="53C5558F" w14:textId="77777777">
      <w:r>
        <w:t>ITEMS ORIGINATED FROM SBB, US TREASURY:</w:t>
      </w:r>
    </w:p>
    <w:p w:rsidR="003B77AF" w:rsidP="003B77AF" w14:paraId="547034ED" w14:textId="77777777"/>
    <w:p w:rsidR="003B77AF" w:rsidP="003B77AF" w14:paraId="6FAB4A1A" w14:textId="77777777">
      <w:pPr>
        <w:tabs>
          <w:tab w:val="left" w:pos="-1440"/>
        </w:tabs>
      </w:pPr>
      <w:r>
        <w:t>EXCESS RISK SCHEDULES</w:t>
      </w:r>
      <w:r>
        <w:tab/>
      </w:r>
      <w:r>
        <w:tab/>
        <w:t>TFS 285A</w:t>
      </w:r>
    </w:p>
    <w:p w:rsidR="003B77AF" w:rsidP="003B77AF" w14:paraId="1946B7C4" w14:textId="77777777">
      <w:pPr>
        <w:tabs>
          <w:tab w:val="left" w:pos="-1440"/>
        </w:tabs>
      </w:pPr>
      <w:r>
        <w:t>TREASURY SCHEDULE F</w:t>
      </w:r>
      <w:r>
        <w:tab/>
      </w:r>
      <w:r>
        <w:tab/>
        <w:t>TFS 6314</w:t>
      </w:r>
    </w:p>
    <w:p w:rsidR="003B77AF" w:rsidP="003B77AF" w14:paraId="49049878" w14:textId="77777777">
      <w:pPr>
        <w:tabs>
          <w:tab w:val="left" w:pos="-1440"/>
        </w:tabs>
      </w:pPr>
      <w:r>
        <w:t>LICENSE SHEET</w:t>
      </w:r>
      <w:r>
        <w:tab/>
      </w:r>
      <w:r>
        <w:tab/>
      </w:r>
      <w:r>
        <w:tab/>
        <w:t>TFS 2208</w:t>
      </w:r>
    </w:p>
    <w:p w:rsidR="003B77AF" w:rsidP="003B77AF" w14:paraId="505A0B42" w14:textId="77777777">
      <w:pPr>
        <w:tabs>
          <w:tab w:val="left" w:pos="-1440"/>
        </w:tabs>
      </w:pPr>
      <w:r>
        <w:t>PENAL SUM BOND FORM</w:t>
      </w:r>
      <w:r>
        <w:tab/>
      </w:r>
      <w:r>
        <w:tab/>
        <w:t>N/A</w:t>
      </w:r>
    </w:p>
    <w:p w:rsidR="003B77AF" w:rsidP="003B77AF" w14:paraId="296ED0C0" w14:textId="77777777"/>
    <w:p w:rsidR="003B77AF" w:rsidP="003B77AF" w14:paraId="1B4B0D33" w14:textId="77777777">
      <w:r>
        <w:t>ALL OTHER ITEMS LISTED ABOVE ARE GENERATED FROM THE RESPONDENT.</w:t>
      </w:r>
    </w:p>
    <w:p w:rsidR="003B77AF" w14:paraId="294620E4" w14:textId="77777777"/>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88C42AC"/>
    <w:multiLevelType w:val="hybridMultilevel"/>
    <w:tmpl w:val="5C188F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76490E03"/>
    <w:multiLevelType w:val="hybridMultilevel"/>
    <w:tmpl w:val="7E945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16cid:durableId="412974136">
    <w:abstractNumId w:val="0"/>
  </w:num>
  <w:num w:numId="2" w16cid:durableId="278076173">
    <w:abstractNumId w:val="1"/>
  </w:num>
  <w:num w:numId="3" w16cid:durableId="130102465">
    <w:abstractNumId w:val="3"/>
  </w:num>
  <w:num w:numId="4" w16cid:durableId="1987125813">
    <w:abstractNumId w:val="5"/>
  </w:num>
  <w:num w:numId="5" w16cid:durableId="1104375487">
    <w:abstractNumId w:val="2"/>
  </w:num>
  <w:num w:numId="6" w16cid:durableId="2076973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4B"/>
    <w:rsid w:val="00025905"/>
    <w:rsid w:val="00047210"/>
    <w:rsid w:val="000828AC"/>
    <w:rsid w:val="000F3F93"/>
    <w:rsid w:val="00106793"/>
    <w:rsid w:val="0013459B"/>
    <w:rsid w:val="0018117A"/>
    <w:rsid w:val="00193D2E"/>
    <w:rsid w:val="001C7DC5"/>
    <w:rsid w:val="001E3233"/>
    <w:rsid w:val="00211040"/>
    <w:rsid w:val="00212944"/>
    <w:rsid w:val="002619EB"/>
    <w:rsid w:val="002A2602"/>
    <w:rsid w:val="002F622B"/>
    <w:rsid w:val="0030724B"/>
    <w:rsid w:val="00310694"/>
    <w:rsid w:val="00321E69"/>
    <w:rsid w:val="00344EED"/>
    <w:rsid w:val="00360930"/>
    <w:rsid w:val="00366578"/>
    <w:rsid w:val="003746EA"/>
    <w:rsid w:val="00391B98"/>
    <w:rsid w:val="003931ED"/>
    <w:rsid w:val="003A03EE"/>
    <w:rsid w:val="003A303E"/>
    <w:rsid w:val="003B48A9"/>
    <w:rsid w:val="003B738C"/>
    <w:rsid w:val="003B77AF"/>
    <w:rsid w:val="004553C6"/>
    <w:rsid w:val="00491617"/>
    <w:rsid w:val="00495CA0"/>
    <w:rsid w:val="004C2459"/>
    <w:rsid w:val="0050537F"/>
    <w:rsid w:val="00514EB4"/>
    <w:rsid w:val="005249FF"/>
    <w:rsid w:val="00586A3C"/>
    <w:rsid w:val="0059171D"/>
    <w:rsid w:val="005A59A1"/>
    <w:rsid w:val="005B17DC"/>
    <w:rsid w:val="005C2223"/>
    <w:rsid w:val="005C4E1B"/>
    <w:rsid w:val="005C7CE9"/>
    <w:rsid w:val="005D04BD"/>
    <w:rsid w:val="00613DC0"/>
    <w:rsid w:val="00643EF0"/>
    <w:rsid w:val="00672688"/>
    <w:rsid w:val="006738A2"/>
    <w:rsid w:val="006B74D7"/>
    <w:rsid w:val="00706F64"/>
    <w:rsid w:val="00775D6B"/>
    <w:rsid w:val="0082751D"/>
    <w:rsid w:val="008B1DD8"/>
    <w:rsid w:val="008B6003"/>
    <w:rsid w:val="008C30FF"/>
    <w:rsid w:val="008C6822"/>
    <w:rsid w:val="008D1221"/>
    <w:rsid w:val="008D36B1"/>
    <w:rsid w:val="008F41AD"/>
    <w:rsid w:val="008F5BFF"/>
    <w:rsid w:val="00906248"/>
    <w:rsid w:val="00907802"/>
    <w:rsid w:val="00926320"/>
    <w:rsid w:val="009360EE"/>
    <w:rsid w:val="00953580"/>
    <w:rsid w:val="00974EF6"/>
    <w:rsid w:val="00983D8B"/>
    <w:rsid w:val="009B1D47"/>
    <w:rsid w:val="009B4FD1"/>
    <w:rsid w:val="009D1F8E"/>
    <w:rsid w:val="009F0DA8"/>
    <w:rsid w:val="00A2402E"/>
    <w:rsid w:val="00A25B3E"/>
    <w:rsid w:val="00A66E6E"/>
    <w:rsid w:val="00A90363"/>
    <w:rsid w:val="00AA5A13"/>
    <w:rsid w:val="00AE3EFC"/>
    <w:rsid w:val="00B05534"/>
    <w:rsid w:val="00B426CE"/>
    <w:rsid w:val="00B81596"/>
    <w:rsid w:val="00BE5188"/>
    <w:rsid w:val="00C07139"/>
    <w:rsid w:val="00C10CAA"/>
    <w:rsid w:val="00C10E72"/>
    <w:rsid w:val="00C313D9"/>
    <w:rsid w:val="00CC0B57"/>
    <w:rsid w:val="00CD7C28"/>
    <w:rsid w:val="00D02AD8"/>
    <w:rsid w:val="00D11AE3"/>
    <w:rsid w:val="00D12461"/>
    <w:rsid w:val="00DA67E5"/>
    <w:rsid w:val="00DB2D60"/>
    <w:rsid w:val="00DB6F72"/>
    <w:rsid w:val="00DF0BD9"/>
    <w:rsid w:val="00DF4EE4"/>
    <w:rsid w:val="00E0514D"/>
    <w:rsid w:val="00E64A69"/>
    <w:rsid w:val="00E753F4"/>
    <w:rsid w:val="00EB3DCF"/>
    <w:rsid w:val="00F02590"/>
    <w:rsid w:val="00F45D36"/>
    <w:rsid w:val="00F76C67"/>
    <w:rsid w:val="00FB7D6F"/>
    <w:rsid w:val="00FD0BBF"/>
    <w:rsid w:val="00FE48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74547A"/>
  <w15:chartTrackingRefBased/>
  <w15:docId w15:val="{60D495CB-0F04-4FC0-830A-EFBA896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0828AC"/>
    <w:rPr>
      <w:rFonts w:ascii="Tahoma" w:hAnsi="Tahoma" w:cs="Tahoma"/>
      <w:sz w:val="16"/>
      <w:szCs w:val="16"/>
    </w:rPr>
  </w:style>
  <w:style w:type="character" w:styleId="CommentReference">
    <w:name w:val="annotation reference"/>
    <w:rsid w:val="00FB7D6F"/>
    <w:rPr>
      <w:sz w:val="16"/>
      <w:szCs w:val="16"/>
    </w:rPr>
  </w:style>
  <w:style w:type="paragraph" w:styleId="CommentText">
    <w:name w:val="annotation text"/>
    <w:basedOn w:val="Normal"/>
    <w:link w:val="CommentTextChar"/>
    <w:rsid w:val="00FB7D6F"/>
  </w:style>
  <w:style w:type="character" w:customStyle="1" w:styleId="CommentTextChar">
    <w:name w:val="Comment Text Char"/>
    <w:basedOn w:val="DefaultParagraphFont"/>
    <w:link w:val="CommentText"/>
    <w:rsid w:val="00FB7D6F"/>
  </w:style>
  <w:style w:type="paragraph" w:styleId="CommentSubject">
    <w:name w:val="annotation subject"/>
    <w:basedOn w:val="CommentText"/>
    <w:next w:val="CommentText"/>
    <w:link w:val="CommentSubjectChar"/>
    <w:rsid w:val="00FB7D6F"/>
    <w:rPr>
      <w:b/>
      <w:bCs/>
    </w:rPr>
  </w:style>
  <w:style w:type="character" w:customStyle="1" w:styleId="CommentSubjectChar">
    <w:name w:val="Comment Subject Char"/>
    <w:link w:val="CommentSubject"/>
    <w:rsid w:val="00FB7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654ED-1A78-4149-9D26-3BA7E23FBC1C}">
  <ds:schemaRefs>
    <ds:schemaRef ds:uri="http://schemas.microsoft.com/sharepoint/v3/contenttype/forms"/>
  </ds:schemaRefs>
</ds:datastoreItem>
</file>

<file path=customXml/itemProps2.xml><?xml version="1.0" encoding="utf-8"?>
<ds:datastoreItem xmlns:ds="http://schemas.openxmlformats.org/officeDocument/2006/customXml" ds:itemID="{B430F26F-59A5-43A4-8D3F-EEF116FB1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47C7C2-EC73-4A7C-A592-0E3FCC160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Bruce A. Sharp</cp:lastModifiedBy>
  <cp:revision>7</cp:revision>
  <cp:lastPrinted>2018-10-22T17:54:00Z</cp:lastPrinted>
  <dcterms:created xsi:type="dcterms:W3CDTF">2021-09-27T19:40:00Z</dcterms:created>
  <dcterms:modified xsi:type="dcterms:W3CDTF">2025-01-31T16:59:00Z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