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7742" w:rsidP="005A26D5" w14:paraId="34560268" w14:textId="1A5F5B1C">
      <w:pPr>
        <w:jc w:val="center"/>
        <w:rPr>
          <w:rFonts w:asciiTheme="minorHAnsi" w:hAnsiTheme="minorHAnsi"/>
          <w:b/>
          <w:bCs/>
          <w:sz w:val="22"/>
          <w:szCs w:val="22"/>
        </w:rPr>
      </w:pPr>
      <w:r w:rsidRPr="00F530C8">
        <w:rPr>
          <w:rFonts w:asciiTheme="minorHAnsi" w:hAnsiTheme="minorHAnsi"/>
          <w:b/>
          <w:bCs/>
          <w:sz w:val="22"/>
          <w:szCs w:val="22"/>
        </w:rPr>
        <w:t>SUPPORTING STATEMENT</w:t>
      </w:r>
    </w:p>
    <w:p w:rsidR="00C14DF1" w:rsidRPr="00F530C8" w:rsidP="005A26D5" w14:paraId="57370CEC" w14:textId="52972036">
      <w:pPr>
        <w:jc w:val="center"/>
        <w:rPr>
          <w:rFonts w:asciiTheme="minorHAnsi" w:hAnsiTheme="minorHAnsi"/>
          <w:sz w:val="22"/>
          <w:szCs w:val="22"/>
        </w:rPr>
      </w:pPr>
      <w:r w:rsidRPr="00C14DF1">
        <w:rPr>
          <w:rFonts w:asciiTheme="minorHAnsi" w:hAnsiTheme="minorHAnsi"/>
          <w:b/>
          <w:bCs/>
          <w:sz w:val="22"/>
          <w:szCs w:val="22"/>
        </w:rPr>
        <w:t>Internal Revenue Service</w:t>
      </w:r>
    </w:p>
    <w:p w:rsidR="00C14DF1" w:rsidRPr="00C14DF1" w:rsidP="00C14DF1" w14:paraId="1EB9A2E1" w14:textId="77777777">
      <w:pPr>
        <w:jc w:val="center"/>
        <w:rPr>
          <w:rFonts w:asciiTheme="minorHAnsi" w:hAnsiTheme="minorHAnsi"/>
          <w:b/>
          <w:sz w:val="22"/>
          <w:szCs w:val="22"/>
        </w:rPr>
      </w:pPr>
      <w:r w:rsidRPr="00C14DF1">
        <w:rPr>
          <w:rFonts w:asciiTheme="minorHAnsi" w:hAnsiTheme="minorHAnsi"/>
          <w:b/>
          <w:sz w:val="22"/>
          <w:szCs w:val="22"/>
        </w:rPr>
        <w:t>Tax Treatment of Salvage and Reinsurance</w:t>
      </w:r>
    </w:p>
    <w:p w:rsidR="00067742" w:rsidRPr="00F530C8" w:rsidP="00C14DF1" w14:paraId="2ED15354" w14:textId="0CD4102C">
      <w:pPr>
        <w:jc w:val="center"/>
        <w:rPr>
          <w:rFonts w:asciiTheme="minorHAnsi" w:hAnsiTheme="minorHAnsi"/>
          <w:sz w:val="22"/>
          <w:szCs w:val="22"/>
        </w:rPr>
      </w:pPr>
      <w:r w:rsidRPr="00C14DF1">
        <w:rPr>
          <w:rFonts w:asciiTheme="minorHAnsi" w:hAnsiTheme="minorHAnsi"/>
          <w:b/>
          <w:sz w:val="22"/>
          <w:szCs w:val="22"/>
        </w:rPr>
        <w:t>OMB # 1545-1227</w:t>
      </w:r>
    </w:p>
    <w:p w:rsidR="00067742" w:rsidRPr="00F530C8" w:rsidP="00C076C8" w14:paraId="2F767DF5" w14:textId="77777777">
      <w:pPr>
        <w:tabs>
          <w:tab w:val="left" w:pos="720"/>
        </w:tabs>
        <w:ind w:left="720" w:right="-72" w:hanging="720"/>
        <w:rPr>
          <w:rFonts w:asciiTheme="minorHAnsi" w:hAnsiTheme="minorHAnsi"/>
          <w:sz w:val="22"/>
          <w:szCs w:val="22"/>
        </w:rPr>
      </w:pPr>
    </w:p>
    <w:p w:rsidR="00067742" w:rsidRPr="00F530C8" w:rsidP="00C076C8" w14:paraId="6FCADB92" w14:textId="77777777">
      <w:pPr>
        <w:numPr>
          <w:ilvl w:val="0"/>
          <w:numId w:val="4"/>
        </w:numPr>
        <w:tabs>
          <w:tab w:val="left" w:pos="720"/>
        </w:tabs>
        <w:ind w:right="-72" w:hanging="720"/>
        <w:rPr>
          <w:rFonts w:asciiTheme="minorHAnsi" w:hAnsiTheme="minorHAnsi"/>
          <w:b/>
          <w:bCs/>
          <w:sz w:val="22"/>
          <w:szCs w:val="22"/>
        </w:rPr>
      </w:pPr>
      <w:r w:rsidRPr="00F530C8">
        <w:rPr>
          <w:rFonts w:asciiTheme="minorHAnsi" w:hAnsiTheme="minorHAnsi"/>
          <w:b/>
          <w:bCs/>
          <w:sz w:val="22"/>
          <w:szCs w:val="22"/>
          <w:u w:val="single"/>
        </w:rPr>
        <w:t>CIRCUMSTANCES NECESSITATING COLLECTION OF INFORMATION</w:t>
      </w:r>
    </w:p>
    <w:p w:rsidR="00285661" w:rsidP="00817F40" w14:paraId="612F352C" w14:textId="033E3DED">
      <w:pPr>
        <w:tabs>
          <w:tab w:val="left" w:pos="720"/>
        </w:tabs>
        <w:ind w:left="720" w:right="-72"/>
        <w:rPr>
          <w:rFonts w:asciiTheme="minorHAnsi" w:hAnsiTheme="minorHAnsi"/>
          <w:sz w:val="22"/>
          <w:szCs w:val="22"/>
        </w:rPr>
      </w:pPr>
      <w:bookmarkStart w:id="0" w:name="_Hlk526107297"/>
      <w:bookmarkStart w:id="1" w:name="_Hlk526107312"/>
      <w:bookmarkStart w:id="2" w:name="_Hlk526107210"/>
    </w:p>
    <w:bookmarkEnd w:id="0"/>
    <w:bookmarkEnd w:id="1"/>
    <w:bookmarkEnd w:id="2"/>
    <w:p w:rsidR="00C14DF1" w:rsidRPr="00C14DF1" w:rsidP="00C14DF1" w14:paraId="353BBBBE" w14:textId="458B549F">
      <w:pPr>
        <w:ind w:left="720"/>
        <w:rPr>
          <w:rFonts w:asciiTheme="minorHAnsi" w:hAnsiTheme="minorHAnsi" w:cs="Arial"/>
          <w:sz w:val="22"/>
          <w:szCs w:val="22"/>
        </w:rPr>
      </w:pPr>
      <w:r w:rsidRPr="00C14DF1">
        <w:rPr>
          <w:rFonts w:asciiTheme="minorHAnsi" w:hAnsiTheme="minorHAnsi" w:cs="Arial"/>
          <w:sz w:val="22"/>
          <w:szCs w:val="22"/>
        </w:rPr>
        <w:t xml:space="preserve">Section 832(b)(3) of the Internal Revenue Code defines the “underwriting income” of a nonlife insurance company as premiums earned less losses incurred, and expenses incurred.  Section 832(b)(5) as amended by section 11305 of the Revenue Reconciliation Act of 1990, requires insurance companies to take estimated salvage recoverable into account in the computation of losses incurred.  Section 1.832-4(d) of the Income Tax Regulations allows a nonlife insurance company that reports on its annual statement undiscounted unpaid losses reduced by an amount of estimated salvage recoverable in certain circumstances to increase for federal income tax purposes those undiscounted unpaid losses by the estimated salvage recoverable.  The final regulations require a yearly disclosure to state regulatory authorities of the estimated salvage recoverable that is subject to this gross-up rule in the regulations.  </w:t>
      </w:r>
    </w:p>
    <w:p w:rsidR="00C14DF1" w:rsidRPr="00C14DF1" w:rsidP="00C14DF1" w14:paraId="4F9E4502" w14:textId="77777777">
      <w:pPr>
        <w:ind w:left="720"/>
        <w:rPr>
          <w:rFonts w:asciiTheme="minorHAnsi" w:hAnsiTheme="minorHAnsi" w:cs="Arial"/>
          <w:sz w:val="22"/>
          <w:szCs w:val="22"/>
        </w:rPr>
      </w:pPr>
    </w:p>
    <w:p w:rsidR="00817F40" w:rsidP="00817F40" w14:paraId="25276C15" w14:textId="24E8B410">
      <w:pPr>
        <w:ind w:left="720"/>
        <w:rPr>
          <w:rFonts w:asciiTheme="minorHAnsi" w:hAnsiTheme="minorHAnsi"/>
          <w:sz w:val="22"/>
          <w:szCs w:val="22"/>
        </w:rPr>
      </w:pPr>
      <w:r w:rsidRPr="00C14DF1">
        <w:rPr>
          <w:rFonts w:asciiTheme="minorHAnsi" w:hAnsiTheme="minorHAnsi" w:cs="Arial"/>
          <w:sz w:val="22"/>
          <w:szCs w:val="22"/>
        </w:rPr>
        <w:t>Treasury Decision (TD) 8390 provided final regulations relating to the treatment of salvage and reinsurance in computing the deduction for losses incurred of insurance companies other than life insurance companies. Changes to the applicable law were made by the Revenue Reconciliation Act of 1990. The regulations are necessary to provide these insurance companies with guidance needed to comply with these changes.</w:t>
      </w:r>
      <w:r w:rsidRPr="00817F40">
        <w:rPr>
          <w:rFonts w:asciiTheme="minorHAnsi" w:hAnsiTheme="minorHAnsi" w:cs="Arial"/>
          <w:sz w:val="22"/>
          <w:szCs w:val="22"/>
        </w:rPr>
        <w:t xml:space="preserve">        </w:t>
      </w:r>
      <w:r>
        <w:rPr>
          <w:rFonts w:asciiTheme="minorHAnsi" w:hAnsiTheme="minorHAnsi"/>
          <w:sz w:val="22"/>
          <w:szCs w:val="22"/>
        </w:rPr>
        <w:t xml:space="preserve">   </w:t>
      </w:r>
    </w:p>
    <w:p w:rsidR="00067742" w:rsidRPr="00F530C8" w:rsidP="00C076C8" w14:paraId="70EE4AE6" w14:textId="1D1D3400">
      <w:pPr>
        <w:tabs>
          <w:tab w:val="left" w:pos="720"/>
        </w:tabs>
        <w:ind w:left="720" w:right="-72" w:hanging="720"/>
        <w:rPr>
          <w:rFonts w:asciiTheme="minorHAnsi" w:hAnsiTheme="minorHAnsi"/>
          <w:sz w:val="22"/>
          <w:szCs w:val="22"/>
        </w:rPr>
      </w:pPr>
      <w:r w:rsidRPr="00F530C8">
        <w:rPr>
          <w:rFonts w:asciiTheme="minorHAnsi" w:hAnsiTheme="minorHAnsi"/>
          <w:sz w:val="22"/>
          <w:szCs w:val="22"/>
        </w:rPr>
        <w:t xml:space="preserve"> </w:t>
      </w:r>
    </w:p>
    <w:p w:rsidR="00067742" w:rsidRPr="00F530C8" w:rsidP="00C076C8" w14:paraId="00BC4EF9" w14:textId="77777777">
      <w:pPr>
        <w:numPr>
          <w:ilvl w:val="0"/>
          <w:numId w:val="4"/>
        </w:numPr>
        <w:tabs>
          <w:tab w:val="left" w:pos="720"/>
        </w:tabs>
        <w:ind w:right="-72" w:hanging="720"/>
        <w:rPr>
          <w:rFonts w:asciiTheme="minorHAnsi" w:hAnsiTheme="minorHAnsi"/>
          <w:sz w:val="22"/>
          <w:szCs w:val="22"/>
        </w:rPr>
      </w:pPr>
      <w:r w:rsidRPr="00F530C8">
        <w:rPr>
          <w:rFonts w:asciiTheme="minorHAnsi" w:hAnsiTheme="minorHAnsi"/>
          <w:b/>
          <w:bCs/>
          <w:sz w:val="22"/>
          <w:szCs w:val="22"/>
          <w:u w:val="single"/>
        </w:rPr>
        <w:t>USE OF DATA</w:t>
      </w:r>
      <w:r w:rsidRPr="00F530C8">
        <w:rPr>
          <w:rFonts w:asciiTheme="minorHAnsi" w:hAnsiTheme="minorHAnsi"/>
          <w:b/>
          <w:bCs/>
          <w:sz w:val="22"/>
          <w:szCs w:val="22"/>
        </w:rPr>
        <w:t xml:space="preserve"> </w:t>
      </w:r>
    </w:p>
    <w:p w:rsidR="00067742" w:rsidRPr="00F530C8" w:rsidP="00C076C8" w14:paraId="532E4BD8" w14:textId="77777777">
      <w:pPr>
        <w:tabs>
          <w:tab w:val="left" w:pos="720"/>
        </w:tabs>
        <w:ind w:left="720" w:right="-72" w:hanging="720"/>
        <w:rPr>
          <w:rFonts w:asciiTheme="minorHAnsi" w:hAnsiTheme="minorHAnsi"/>
          <w:sz w:val="22"/>
          <w:szCs w:val="22"/>
        </w:rPr>
      </w:pPr>
    </w:p>
    <w:p w:rsidR="00F841ED" w:rsidRPr="00F530C8" w:rsidP="00C076C8" w14:paraId="6C8BF35A" w14:textId="04B48ACD">
      <w:pPr>
        <w:tabs>
          <w:tab w:val="left" w:pos="720"/>
        </w:tabs>
        <w:ind w:left="720" w:right="-72" w:hanging="720"/>
        <w:rPr>
          <w:rFonts w:asciiTheme="minorHAnsi" w:hAnsiTheme="minorHAnsi"/>
          <w:sz w:val="22"/>
          <w:szCs w:val="22"/>
        </w:rPr>
      </w:pPr>
      <w:r w:rsidRPr="00F530C8">
        <w:rPr>
          <w:rFonts w:asciiTheme="minorHAnsi" w:hAnsiTheme="minorHAnsi"/>
          <w:sz w:val="22"/>
          <w:szCs w:val="22"/>
        </w:rPr>
        <w:tab/>
      </w:r>
      <w:r w:rsidRPr="00C14DF1" w:rsidR="00C14DF1">
        <w:rPr>
          <w:rFonts w:asciiTheme="minorHAnsi" w:hAnsiTheme="minorHAnsi"/>
          <w:sz w:val="22"/>
          <w:szCs w:val="22"/>
        </w:rPr>
        <w:t>This disclosure will be used by the Internal Revenue Service to assure that the estimated salvage recoverable is reflected yearly in losses reported on the annual statement.</w:t>
      </w:r>
      <w:r w:rsidRPr="00A73900" w:rsidR="00A73900">
        <w:rPr>
          <w:rFonts w:asciiTheme="minorHAnsi" w:hAnsiTheme="minorHAnsi"/>
          <w:sz w:val="22"/>
          <w:szCs w:val="22"/>
        </w:rPr>
        <w:t xml:space="preserve"> </w:t>
      </w:r>
    </w:p>
    <w:p w:rsidR="00067742" w:rsidRPr="00F530C8" w:rsidP="00C076C8" w14:paraId="2639E48C" w14:textId="77777777">
      <w:pPr>
        <w:tabs>
          <w:tab w:val="left" w:pos="720"/>
        </w:tabs>
        <w:ind w:left="720" w:right="-72" w:hanging="720"/>
        <w:rPr>
          <w:rFonts w:asciiTheme="minorHAnsi" w:hAnsiTheme="minorHAnsi"/>
          <w:b/>
          <w:sz w:val="22"/>
          <w:szCs w:val="22"/>
        </w:rPr>
      </w:pPr>
    </w:p>
    <w:p w:rsidR="00067742" w:rsidRPr="00F530C8" w:rsidP="002174CE" w14:paraId="16019B5D" w14:textId="77777777">
      <w:pPr>
        <w:numPr>
          <w:ilvl w:val="0"/>
          <w:numId w:val="4"/>
        </w:numPr>
        <w:tabs>
          <w:tab w:val="left" w:pos="720"/>
        </w:tabs>
        <w:ind w:right="-72" w:hanging="720"/>
        <w:rPr>
          <w:rFonts w:asciiTheme="minorHAnsi" w:hAnsiTheme="minorHAnsi"/>
          <w:b/>
          <w:sz w:val="22"/>
          <w:szCs w:val="22"/>
        </w:rPr>
      </w:pPr>
      <w:r w:rsidRPr="00B27BA4">
        <w:rPr>
          <w:rFonts w:asciiTheme="minorHAnsi" w:hAnsiTheme="minorHAnsi"/>
          <w:b/>
          <w:bCs/>
          <w:sz w:val="22"/>
          <w:szCs w:val="22"/>
          <w:u w:val="single"/>
        </w:rPr>
        <w:t>USE OF</w:t>
      </w:r>
      <w:r w:rsidRPr="00F530C8">
        <w:rPr>
          <w:rFonts w:asciiTheme="minorHAnsi" w:hAnsiTheme="minorHAnsi"/>
          <w:b/>
          <w:bCs/>
          <w:sz w:val="22"/>
          <w:szCs w:val="22"/>
          <w:u w:val="single"/>
        </w:rPr>
        <w:t xml:space="preserve"> IMPROVED INFORMATION TECHNOLOGY TO REDUCE BURDEN</w:t>
      </w:r>
    </w:p>
    <w:p w:rsidR="00A432BF" w:rsidRPr="00A432BF" w:rsidP="00A432BF" w14:paraId="3A7C5492" w14:textId="77777777">
      <w:pPr>
        <w:tabs>
          <w:tab w:val="left" w:pos="720"/>
        </w:tabs>
        <w:ind w:left="720" w:right="-72" w:hanging="720"/>
        <w:rPr>
          <w:rFonts w:asciiTheme="minorHAnsi" w:hAnsiTheme="minorHAnsi"/>
          <w:sz w:val="22"/>
          <w:szCs w:val="22"/>
        </w:rPr>
      </w:pPr>
      <w:r w:rsidRPr="00F530C8">
        <w:rPr>
          <w:rFonts w:asciiTheme="minorHAnsi" w:hAnsiTheme="minorHAnsi"/>
          <w:sz w:val="22"/>
          <w:szCs w:val="22"/>
        </w:rPr>
        <w:tab/>
      </w:r>
    </w:p>
    <w:p w:rsidR="00C076C8" w:rsidP="00C076C8" w14:paraId="347A9B01" w14:textId="3F32DB42">
      <w:pPr>
        <w:tabs>
          <w:tab w:val="left" w:pos="720"/>
        </w:tabs>
        <w:ind w:left="720" w:right="-72" w:hanging="720"/>
        <w:rPr>
          <w:rFonts w:asciiTheme="minorHAnsi" w:hAnsiTheme="minorHAnsi"/>
          <w:sz w:val="22"/>
          <w:szCs w:val="22"/>
        </w:rPr>
      </w:pPr>
      <w:r w:rsidRPr="00A432BF">
        <w:rPr>
          <w:rFonts w:asciiTheme="minorHAnsi" w:hAnsiTheme="minorHAnsi"/>
          <w:sz w:val="22"/>
          <w:szCs w:val="22"/>
        </w:rPr>
        <w:tab/>
      </w:r>
      <w:r w:rsidRPr="00C14DF1" w:rsidR="00C14DF1">
        <w:rPr>
          <w:rFonts w:asciiTheme="minorHAnsi" w:hAnsiTheme="minorHAnsi"/>
          <w:sz w:val="22"/>
          <w:szCs w:val="22"/>
        </w:rPr>
        <w:t xml:space="preserve">The collection of information does not involve the use of automated electronic or other technological collection techniques.     </w:t>
      </w:r>
      <w:r w:rsidR="001D4A3C">
        <w:rPr>
          <w:rFonts w:asciiTheme="minorHAnsi" w:hAnsiTheme="minorHAnsi"/>
          <w:sz w:val="22"/>
          <w:szCs w:val="22"/>
        </w:rPr>
        <w:t xml:space="preserve">  </w:t>
      </w:r>
      <w:r w:rsidRPr="000063F7" w:rsidR="000063F7">
        <w:rPr>
          <w:rFonts w:asciiTheme="minorHAnsi" w:hAnsiTheme="minorHAnsi"/>
          <w:sz w:val="22"/>
          <w:szCs w:val="22"/>
        </w:rPr>
        <w:t xml:space="preserve">  </w:t>
      </w:r>
      <w:r w:rsidR="00BE5838">
        <w:rPr>
          <w:rFonts w:asciiTheme="minorHAnsi" w:hAnsiTheme="minorHAnsi"/>
          <w:sz w:val="22"/>
          <w:szCs w:val="22"/>
        </w:rPr>
        <w:t xml:space="preserve"> </w:t>
      </w:r>
    </w:p>
    <w:p w:rsidR="00BE5838" w:rsidRPr="00F530C8" w:rsidP="00C076C8" w14:paraId="54AD05FD" w14:textId="77777777">
      <w:pPr>
        <w:tabs>
          <w:tab w:val="left" w:pos="720"/>
        </w:tabs>
        <w:ind w:left="720" w:right="-72" w:hanging="720"/>
        <w:rPr>
          <w:rFonts w:asciiTheme="minorHAnsi" w:hAnsiTheme="minorHAnsi"/>
          <w:sz w:val="22"/>
          <w:szCs w:val="22"/>
        </w:rPr>
      </w:pPr>
    </w:p>
    <w:p w:rsidR="00067742" w:rsidRPr="00F530C8" w:rsidP="00C076C8" w14:paraId="5E994E27" w14:textId="77777777">
      <w:pPr>
        <w:numPr>
          <w:ilvl w:val="0"/>
          <w:numId w:val="4"/>
        </w:numPr>
        <w:tabs>
          <w:tab w:val="left" w:pos="720"/>
        </w:tabs>
        <w:ind w:right="-72" w:hanging="720"/>
        <w:rPr>
          <w:rFonts w:asciiTheme="minorHAnsi" w:hAnsiTheme="minorHAnsi"/>
          <w:b/>
          <w:bCs/>
          <w:sz w:val="22"/>
          <w:szCs w:val="22"/>
        </w:rPr>
      </w:pPr>
      <w:r w:rsidRPr="00F530C8">
        <w:rPr>
          <w:rFonts w:asciiTheme="minorHAnsi" w:hAnsiTheme="minorHAnsi"/>
          <w:b/>
          <w:bCs/>
          <w:sz w:val="22"/>
          <w:szCs w:val="22"/>
          <w:u w:val="single"/>
        </w:rPr>
        <w:t>EFFORTS TO IDENTIFY DUPLICATION</w:t>
      </w:r>
    </w:p>
    <w:p w:rsidR="00067742" w:rsidRPr="00F530C8" w:rsidP="00C076C8" w14:paraId="3A581160" w14:textId="77777777">
      <w:pPr>
        <w:tabs>
          <w:tab w:val="left" w:pos="720"/>
        </w:tabs>
        <w:ind w:left="720" w:right="-72" w:hanging="720"/>
        <w:rPr>
          <w:rFonts w:asciiTheme="minorHAnsi" w:hAnsiTheme="minorHAnsi"/>
          <w:sz w:val="22"/>
          <w:szCs w:val="22"/>
        </w:rPr>
      </w:pPr>
    </w:p>
    <w:p w:rsidR="00D44FBE" w:rsidRPr="009A6027" w:rsidP="00D44FBE" w14:paraId="5AEEA7E9" w14:textId="77777777">
      <w:pPr>
        <w:ind w:left="720"/>
        <w:rPr>
          <w:rFonts w:asciiTheme="minorHAnsi" w:hAnsiTheme="minorHAnsi"/>
          <w:iCs/>
          <w:sz w:val="22"/>
          <w:szCs w:val="22"/>
        </w:rPr>
      </w:pPr>
      <w:r>
        <w:rPr>
          <w:rFonts w:asciiTheme="minorHAnsi" w:hAnsiTheme="minorHAnsi"/>
          <w:iCs/>
          <w:sz w:val="22"/>
          <w:szCs w:val="22"/>
        </w:rPr>
        <w:t>The information obtained th</w:t>
      </w:r>
      <w:r w:rsidRPr="009A6027">
        <w:rPr>
          <w:rFonts w:asciiTheme="minorHAnsi" w:hAnsiTheme="minorHAnsi"/>
          <w:iCs/>
          <w:sz w:val="22"/>
          <w:szCs w:val="22"/>
        </w:rPr>
        <w:t>rough this collection is unique and is not already available for use or adaptation from another source.</w:t>
      </w:r>
    </w:p>
    <w:p w:rsidR="00D44FBE" w:rsidRPr="00F530C8" w:rsidP="00D44FBE" w14:paraId="10AC7016" w14:textId="77777777">
      <w:pPr>
        <w:tabs>
          <w:tab w:val="left" w:pos="720"/>
        </w:tabs>
        <w:ind w:left="720" w:right="-72" w:hanging="720"/>
        <w:rPr>
          <w:rFonts w:asciiTheme="minorHAnsi" w:hAnsiTheme="minorHAnsi"/>
          <w:sz w:val="22"/>
          <w:szCs w:val="22"/>
        </w:rPr>
      </w:pPr>
    </w:p>
    <w:p w:rsidR="00067742" w:rsidRPr="00F530C8" w:rsidP="00C076C8" w14:paraId="0E101CFD" w14:textId="77777777">
      <w:pPr>
        <w:numPr>
          <w:ilvl w:val="0"/>
          <w:numId w:val="4"/>
        </w:numPr>
        <w:tabs>
          <w:tab w:val="left" w:pos="720"/>
        </w:tabs>
        <w:ind w:right="-72" w:hanging="720"/>
        <w:rPr>
          <w:rFonts w:asciiTheme="minorHAnsi" w:hAnsiTheme="minorHAnsi"/>
          <w:sz w:val="22"/>
          <w:szCs w:val="22"/>
        </w:rPr>
      </w:pPr>
      <w:r w:rsidRPr="00F530C8">
        <w:rPr>
          <w:rFonts w:asciiTheme="minorHAnsi" w:hAnsiTheme="minorHAnsi"/>
          <w:b/>
          <w:bCs/>
          <w:sz w:val="22"/>
          <w:szCs w:val="22"/>
          <w:u w:val="single"/>
        </w:rPr>
        <w:t>METHODS TO MINIMIZE BURDEN ON SMALL BUSINESSES OR OTHER</w:t>
      </w:r>
      <w:r w:rsidRPr="00F530C8" w:rsidR="00C076C8">
        <w:rPr>
          <w:rFonts w:asciiTheme="minorHAnsi" w:hAnsiTheme="minorHAnsi"/>
          <w:b/>
          <w:bCs/>
          <w:sz w:val="22"/>
          <w:szCs w:val="22"/>
          <w:u w:val="single"/>
        </w:rPr>
        <w:t xml:space="preserve"> </w:t>
      </w:r>
      <w:r w:rsidRPr="00F530C8">
        <w:rPr>
          <w:rFonts w:asciiTheme="minorHAnsi" w:hAnsiTheme="minorHAnsi"/>
          <w:b/>
          <w:bCs/>
          <w:sz w:val="22"/>
          <w:szCs w:val="22"/>
          <w:u w:val="single"/>
        </w:rPr>
        <w:t>SMALL ENTITIES</w:t>
      </w:r>
    </w:p>
    <w:p w:rsidR="00067742" w:rsidRPr="00F530C8" w:rsidP="00C076C8" w14:paraId="1B34CF88" w14:textId="77777777">
      <w:pPr>
        <w:tabs>
          <w:tab w:val="left" w:pos="720"/>
        </w:tabs>
        <w:ind w:left="720" w:right="-72" w:hanging="720"/>
        <w:rPr>
          <w:rFonts w:asciiTheme="minorHAnsi" w:hAnsiTheme="minorHAnsi"/>
          <w:sz w:val="22"/>
          <w:szCs w:val="22"/>
        </w:rPr>
      </w:pPr>
    </w:p>
    <w:p w:rsidR="00421E3F" w:rsidRPr="00F530C8" w:rsidP="00346083" w14:paraId="540A6208" w14:textId="79BAF612">
      <w:pPr>
        <w:ind w:left="720"/>
        <w:rPr>
          <w:rFonts w:asciiTheme="minorHAnsi" w:hAnsiTheme="minorHAnsi"/>
          <w:sz w:val="22"/>
          <w:szCs w:val="22"/>
        </w:rPr>
      </w:pPr>
      <w:bookmarkStart w:id="3" w:name="_Hlk88946537"/>
      <w:r w:rsidRPr="00C14DF1">
        <w:rPr>
          <w:rFonts w:asciiTheme="minorHAnsi" w:hAnsiTheme="minorHAnsi"/>
          <w:sz w:val="22"/>
          <w:szCs w:val="22"/>
        </w:rPr>
        <w:t>There are no small entities affected by this collection.</w:t>
      </w:r>
      <w:bookmarkEnd w:id="3"/>
    </w:p>
    <w:p w:rsidR="00067742" w:rsidRPr="00F530C8" w:rsidP="00C076C8" w14:paraId="2D5FADA4" w14:textId="77777777">
      <w:pPr>
        <w:tabs>
          <w:tab w:val="left" w:pos="720"/>
        </w:tabs>
        <w:ind w:left="720" w:right="-72" w:hanging="720"/>
        <w:rPr>
          <w:rFonts w:asciiTheme="minorHAnsi" w:hAnsiTheme="minorHAnsi"/>
          <w:sz w:val="22"/>
          <w:szCs w:val="22"/>
        </w:rPr>
      </w:pPr>
    </w:p>
    <w:p w:rsidR="00067742" w:rsidRPr="00F530C8" w:rsidP="00C076C8" w14:paraId="4A953329" w14:textId="77777777">
      <w:pPr>
        <w:numPr>
          <w:ilvl w:val="0"/>
          <w:numId w:val="4"/>
        </w:numPr>
        <w:tabs>
          <w:tab w:val="left" w:pos="720"/>
        </w:tabs>
        <w:ind w:right="-72" w:hanging="720"/>
        <w:rPr>
          <w:rFonts w:asciiTheme="minorHAnsi" w:hAnsiTheme="minorHAnsi"/>
          <w:sz w:val="22"/>
          <w:szCs w:val="22"/>
        </w:rPr>
      </w:pPr>
      <w:r w:rsidRPr="00F530C8">
        <w:rPr>
          <w:rFonts w:asciiTheme="minorHAnsi" w:hAnsiTheme="minorHAnsi"/>
          <w:b/>
          <w:bCs/>
          <w:sz w:val="22"/>
          <w:szCs w:val="22"/>
          <w:u w:val="single"/>
        </w:rPr>
        <w:t xml:space="preserve">CONSEQUENCES OF LESS FREQUENT COLLECTION ON FEDERAL PROGRAMS </w:t>
      </w:r>
      <w:r w:rsidRPr="00F530C8" w:rsidR="005A26D5">
        <w:rPr>
          <w:rFonts w:asciiTheme="minorHAnsi" w:hAnsiTheme="minorHAnsi"/>
          <w:b/>
          <w:bCs/>
          <w:sz w:val="22"/>
          <w:szCs w:val="22"/>
          <w:u w:val="single"/>
        </w:rPr>
        <w:t>O</w:t>
      </w:r>
      <w:r w:rsidRPr="00F530C8">
        <w:rPr>
          <w:rFonts w:asciiTheme="minorHAnsi" w:hAnsiTheme="minorHAnsi"/>
          <w:b/>
          <w:bCs/>
          <w:sz w:val="22"/>
          <w:szCs w:val="22"/>
          <w:u w:val="single"/>
        </w:rPr>
        <w:t>R POLICY ACTIVITIES</w:t>
      </w:r>
    </w:p>
    <w:p w:rsidR="00067742" w:rsidRPr="00F530C8" w:rsidP="00C076C8" w14:paraId="58D889C7" w14:textId="77777777">
      <w:pPr>
        <w:tabs>
          <w:tab w:val="left" w:pos="720"/>
        </w:tabs>
        <w:ind w:left="720" w:right="-72" w:hanging="720"/>
        <w:rPr>
          <w:rFonts w:asciiTheme="minorHAnsi" w:hAnsiTheme="minorHAnsi"/>
          <w:sz w:val="22"/>
          <w:szCs w:val="22"/>
        </w:rPr>
      </w:pPr>
    </w:p>
    <w:p w:rsidR="00421E3F" w:rsidRPr="00F530C8" w:rsidP="00BE07D3" w14:paraId="062A87FD" w14:textId="72D92AF3">
      <w:pPr>
        <w:tabs>
          <w:tab w:val="left" w:pos="720"/>
        </w:tabs>
        <w:ind w:left="720" w:right="-72"/>
        <w:rPr>
          <w:rFonts w:asciiTheme="minorHAnsi" w:hAnsiTheme="minorHAnsi"/>
          <w:sz w:val="22"/>
          <w:szCs w:val="22"/>
        </w:rPr>
      </w:pPr>
      <w:r w:rsidRPr="00D44FBE">
        <w:rPr>
          <w:rFonts w:asciiTheme="minorHAnsi" w:hAnsiTheme="minorHAnsi"/>
          <w:sz w:val="22"/>
          <w:szCs w:val="22"/>
        </w:rPr>
        <w:t xml:space="preserve">A less frequent collection will not enable the IRS </w:t>
      </w:r>
      <w:r w:rsidR="002157B5">
        <w:rPr>
          <w:rFonts w:asciiTheme="minorHAnsi" w:hAnsiTheme="minorHAnsi"/>
          <w:sz w:val="22"/>
          <w:szCs w:val="22"/>
        </w:rPr>
        <w:t xml:space="preserve">to </w:t>
      </w:r>
      <w:r w:rsidRPr="00D44FBE">
        <w:rPr>
          <w:rFonts w:asciiTheme="minorHAnsi" w:hAnsiTheme="minorHAnsi"/>
          <w:sz w:val="22"/>
          <w:szCs w:val="22"/>
        </w:rPr>
        <w:t>meet its mission by verifying the foreign tax credits are being computed properly</w:t>
      </w:r>
      <w:r w:rsidR="00ED27C8">
        <w:rPr>
          <w:rFonts w:asciiTheme="minorHAnsi" w:hAnsiTheme="minorHAnsi"/>
          <w:sz w:val="22"/>
          <w:szCs w:val="22"/>
        </w:rPr>
        <w:t>, which would</w:t>
      </w:r>
      <w:r w:rsidR="00D96486">
        <w:rPr>
          <w:rFonts w:asciiTheme="minorHAnsi" w:hAnsiTheme="minorHAnsi"/>
          <w:sz w:val="22"/>
          <w:szCs w:val="22"/>
        </w:rPr>
        <w:t xml:space="preserve"> hinder the IRS from meeting its mission</w:t>
      </w:r>
      <w:r>
        <w:rPr>
          <w:rFonts w:asciiTheme="minorHAnsi" w:hAnsiTheme="minorHAnsi"/>
          <w:sz w:val="22"/>
          <w:szCs w:val="22"/>
        </w:rPr>
        <w:t>.</w:t>
      </w:r>
    </w:p>
    <w:p w:rsidR="00067742" w:rsidRPr="00F530C8" w:rsidP="00C076C8" w14:paraId="28AFAF95" w14:textId="77777777">
      <w:pPr>
        <w:tabs>
          <w:tab w:val="left" w:pos="720"/>
        </w:tabs>
        <w:ind w:left="720" w:right="-72" w:hanging="720"/>
        <w:rPr>
          <w:rFonts w:asciiTheme="minorHAnsi" w:hAnsiTheme="minorHAnsi"/>
          <w:sz w:val="22"/>
          <w:szCs w:val="22"/>
        </w:rPr>
      </w:pPr>
    </w:p>
    <w:p w:rsidR="00067742" w:rsidRPr="00F530C8" w:rsidP="00C076C8" w14:paraId="76EFA338" w14:textId="77777777">
      <w:pPr>
        <w:numPr>
          <w:ilvl w:val="0"/>
          <w:numId w:val="4"/>
        </w:numPr>
        <w:tabs>
          <w:tab w:val="left" w:pos="720"/>
        </w:tabs>
        <w:ind w:right="-72" w:hanging="720"/>
        <w:rPr>
          <w:rFonts w:asciiTheme="minorHAnsi" w:hAnsiTheme="minorHAnsi"/>
          <w:b/>
          <w:bCs/>
          <w:sz w:val="22"/>
          <w:szCs w:val="22"/>
        </w:rPr>
      </w:pPr>
      <w:r w:rsidRPr="00F530C8">
        <w:rPr>
          <w:rFonts w:asciiTheme="minorHAnsi" w:hAnsiTheme="minorHAnsi"/>
          <w:b/>
          <w:bCs/>
          <w:sz w:val="22"/>
          <w:szCs w:val="22"/>
          <w:u w:val="single"/>
        </w:rPr>
        <w:t>SPECIAL CIRCUMSTANCES REQUIRING DATA COLLECTION TO BE</w:t>
      </w:r>
      <w:r w:rsidRPr="00F530C8" w:rsidR="00C076C8">
        <w:rPr>
          <w:rFonts w:asciiTheme="minorHAnsi" w:hAnsiTheme="minorHAnsi"/>
          <w:b/>
          <w:bCs/>
          <w:sz w:val="22"/>
          <w:szCs w:val="22"/>
          <w:u w:val="single"/>
        </w:rPr>
        <w:t xml:space="preserve"> </w:t>
      </w:r>
      <w:r w:rsidRPr="00F530C8">
        <w:rPr>
          <w:rFonts w:asciiTheme="minorHAnsi" w:hAnsiTheme="minorHAnsi"/>
          <w:b/>
          <w:bCs/>
          <w:sz w:val="22"/>
          <w:szCs w:val="22"/>
          <w:u w:val="single"/>
        </w:rPr>
        <w:t>INCONSISTENT WITH GUIDELINES IN 5 CFR 1320.5(d)(2)</w:t>
      </w:r>
    </w:p>
    <w:p w:rsidR="00067742" w:rsidRPr="00F530C8" w:rsidP="00C076C8" w14:paraId="62558F1B" w14:textId="77777777">
      <w:pPr>
        <w:tabs>
          <w:tab w:val="left" w:pos="720"/>
        </w:tabs>
        <w:ind w:left="720" w:right="-72" w:hanging="720"/>
        <w:rPr>
          <w:rFonts w:asciiTheme="minorHAnsi" w:hAnsiTheme="minorHAnsi"/>
          <w:sz w:val="22"/>
          <w:szCs w:val="22"/>
        </w:rPr>
      </w:pPr>
    </w:p>
    <w:p w:rsidR="007131A6" w:rsidRPr="00F530C8" w:rsidP="00421E3F" w14:paraId="753FE859" w14:textId="4200E016">
      <w:pPr>
        <w:ind w:left="720"/>
        <w:jc w:val="both"/>
        <w:rPr>
          <w:rFonts w:asciiTheme="minorHAnsi" w:hAnsiTheme="minorHAnsi"/>
          <w:b/>
          <w:bCs/>
          <w:sz w:val="22"/>
          <w:szCs w:val="22"/>
        </w:rPr>
      </w:pPr>
      <w:r w:rsidRPr="00F530C8">
        <w:rPr>
          <w:rFonts w:asciiTheme="minorHAnsi" w:hAnsiTheme="minorHAnsi"/>
          <w:sz w:val="22"/>
          <w:szCs w:val="22"/>
        </w:rPr>
        <w:t>There are no special circumstances requiring data collection to be inconsistent with Guidelines in 5 CFR 1320.5(d)(2).</w:t>
      </w:r>
    </w:p>
    <w:p w:rsidR="00067742" w:rsidRPr="00F530C8" w:rsidP="00C076C8" w14:paraId="06B03FD2" w14:textId="77777777">
      <w:pPr>
        <w:tabs>
          <w:tab w:val="left" w:pos="720"/>
        </w:tabs>
        <w:ind w:left="720" w:right="-72" w:hanging="720"/>
        <w:rPr>
          <w:rFonts w:asciiTheme="minorHAnsi" w:hAnsiTheme="minorHAnsi"/>
          <w:b/>
          <w:bCs/>
          <w:sz w:val="22"/>
          <w:szCs w:val="22"/>
        </w:rPr>
      </w:pPr>
    </w:p>
    <w:p w:rsidR="00067742" w:rsidRPr="00F530C8" w:rsidP="00C076C8" w14:paraId="079E61F5" w14:textId="77777777">
      <w:pPr>
        <w:numPr>
          <w:ilvl w:val="0"/>
          <w:numId w:val="4"/>
        </w:numPr>
        <w:tabs>
          <w:tab w:val="left" w:pos="720"/>
        </w:tabs>
        <w:ind w:right="-72" w:hanging="720"/>
        <w:rPr>
          <w:rFonts w:asciiTheme="minorHAnsi" w:hAnsiTheme="minorHAnsi"/>
          <w:b/>
          <w:bCs/>
          <w:sz w:val="22"/>
          <w:szCs w:val="22"/>
        </w:rPr>
      </w:pPr>
      <w:r w:rsidRPr="00CE2EDE">
        <w:rPr>
          <w:rFonts w:asciiTheme="minorHAnsi" w:hAnsiTheme="minorHAnsi"/>
          <w:b/>
          <w:bCs/>
          <w:sz w:val="22"/>
          <w:szCs w:val="22"/>
          <w:u w:val="single"/>
        </w:rPr>
        <w:t>C</w:t>
      </w:r>
      <w:r w:rsidRPr="00554B1E">
        <w:rPr>
          <w:rFonts w:asciiTheme="minorHAnsi" w:hAnsiTheme="minorHAnsi"/>
          <w:b/>
          <w:bCs/>
          <w:sz w:val="22"/>
          <w:szCs w:val="22"/>
          <w:u w:val="single"/>
        </w:rPr>
        <w:t>ONS</w:t>
      </w:r>
      <w:r w:rsidRPr="00CE2EDE">
        <w:rPr>
          <w:rFonts w:asciiTheme="minorHAnsi" w:hAnsiTheme="minorHAnsi"/>
          <w:b/>
          <w:bCs/>
          <w:sz w:val="22"/>
          <w:szCs w:val="22"/>
          <w:u w:val="single"/>
        </w:rPr>
        <w:t>U</w:t>
      </w:r>
      <w:r w:rsidRPr="00F530C8">
        <w:rPr>
          <w:rFonts w:asciiTheme="minorHAnsi" w:hAnsiTheme="minorHAnsi"/>
          <w:b/>
          <w:bCs/>
          <w:sz w:val="22"/>
          <w:szCs w:val="22"/>
          <w:u w:val="single"/>
        </w:rPr>
        <w:t>LTATION WITH INDIVIDUALS OUTSIDE OF THE AGENCY ON</w:t>
      </w:r>
      <w:r w:rsidRPr="00F530C8" w:rsidR="00C076C8">
        <w:rPr>
          <w:rFonts w:asciiTheme="minorHAnsi" w:hAnsiTheme="minorHAnsi"/>
          <w:b/>
          <w:bCs/>
          <w:sz w:val="22"/>
          <w:szCs w:val="22"/>
          <w:u w:val="single"/>
        </w:rPr>
        <w:t xml:space="preserve"> </w:t>
      </w:r>
      <w:r w:rsidRPr="00F530C8">
        <w:rPr>
          <w:rFonts w:asciiTheme="minorHAnsi" w:hAnsiTheme="minorHAnsi"/>
          <w:b/>
          <w:bCs/>
          <w:sz w:val="22"/>
          <w:szCs w:val="22"/>
          <w:u w:val="single"/>
        </w:rPr>
        <w:t>AVAILABILITY OF DATA, FREQUENCY OF COLLECTION, CLARITY</w:t>
      </w:r>
      <w:r w:rsidRPr="00F530C8" w:rsidR="00C076C8">
        <w:rPr>
          <w:rFonts w:asciiTheme="minorHAnsi" w:hAnsiTheme="minorHAnsi"/>
          <w:b/>
          <w:bCs/>
          <w:sz w:val="22"/>
          <w:szCs w:val="22"/>
          <w:u w:val="single"/>
        </w:rPr>
        <w:t xml:space="preserve"> </w:t>
      </w:r>
      <w:r w:rsidRPr="00F530C8">
        <w:rPr>
          <w:rFonts w:asciiTheme="minorHAnsi" w:hAnsiTheme="minorHAnsi"/>
          <w:b/>
          <w:bCs/>
          <w:sz w:val="22"/>
          <w:szCs w:val="22"/>
          <w:u w:val="single"/>
        </w:rPr>
        <w:t>OF INSTRUCTIONS AND FORMS, AND DATA ELEMENTS</w:t>
      </w:r>
    </w:p>
    <w:p w:rsidR="00067742" w:rsidRPr="00F530C8" w:rsidP="00C076C8" w14:paraId="6220B6EA" w14:textId="77777777">
      <w:pPr>
        <w:tabs>
          <w:tab w:val="left" w:pos="720"/>
        </w:tabs>
        <w:ind w:left="720" w:right="-72" w:hanging="720"/>
        <w:rPr>
          <w:rFonts w:asciiTheme="minorHAnsi" w:hAnsiTheme="minorHAnsi"/>
          <w:sz w:val="22"/>
          <w:szCs w:val="22"/>
        </w:rPr>
      </w:pPr>
    </w:p>
    <w:p w:rsidR="00067742" w:rsidRPr="00F530C8" w:rsidP="00085A09" w14:paraId="397222C6" w14:textId="49F639DA">
      <w:pPr>
        <w:tabs>
          <w:tab w:val="left" w:pos="720"/>
        </w:tabs>
        <w:ind w:left="720"/>
        <w:rPr>
          <w:rFonts w:asciiTheme="minorHAnsi" w:hAnsiTheme="minorHAnsi"/>
          <w:sz w:val="22"/>
          <w:szCs w:val="22"/>
        </w:rPr>
      </w:pPr>
      <w:r w:rsidRPr="00F530C8">
        <w:rPr>
          <w:rFonts w:asciiTheme="minorHAnsi" w:hAnsiTheme="minorHAnsi"/>
          <w:sz w:val="22"/>
          <w:szCs w:val="22"/>
        </w:rPr>
        <w:t xml:space="preserve">In response to the </w:t>
      </w:r>
      <w:r w:rsidRPr="00ED18D6">
        <w:rPr>
          <w:rFonts w:asciiTheme="minorHAnsi" w:hAnsiTheme="minorHAnsi"/>
          <w:sz w:val="22"/>
          <w:szCs w:val="22"/>
        </w:rPr>
        <w:t>Federal Register</w:t>
      </w:r>
      <w:r w:rsidRPr="00F530C8">
        <w:rPr>
          <w:rFonts w:asciiTheme="minorHAnsi" w:hAnsiTheme="minorHAnsi"/>
          <w:b/>
          <w:bCs/>
          <w:sz w:val="22"/>
          <w:szCs w:val="22"/>
        </w:rPr>
        <w:t xml:space="preserve"> </w:t>
      </w:r>
      <w:r w:rsidRPr="00F530C8" w:rsidR="002174CE">
        <w:rPr>
          <w:rFonts w:asciiTheme="minorHAnsi" w:hAnsiTheme="minorHAnsi"/>
          <w:bCs/>
          <w:sz w:val="22"/>
          <w:szCs w:val="22"/>
        </w:rPr>
        <w:t>n</w:t>
      </w:r>
      <w:r w:rsidRPr="00F530C8">
        <w:rPr>
          <w:rFonts w:asciiTheme="minorHAnsi" w:hAnsiTheme="minorHAnsi"/>
          <w:bCs/>
          <w:sz w:val="22"/>
          <w:szCs w:val="22"/>
        </w:rPr>
        <w:t>otice</w:t>
      </w:r>
      <w:r w:rsidRPr="00F530C8">
        <w:rPr>
          <w:rFonts w:asciiTheme="minorHAnsi" w:hAnsiTheme="minorHAnsi"/>
          <w:sz w:val="22"/>
          <w:szCs w:val="22"/>
        </w:rPr>
        <w:t xml:space="preserve"> dated</w:t>
      </w:r>
      <w:r w:rsidR="00CE2EDE">
        <w:rPr>
          <w:rFonts w:asciiTheme="minorHAnsi" w:hAnsiTheme="minorHAnsi"/>
          <w:sz w:val="22"/>
          <w:szCs w:val="22"/>
        </w:rPr>
        <w:t xml:space="preserve"> </w:t>
      </w:r>
      <w:r w:rsidR="00554B1E">
        <w:rPr>
          <w:rFonts w:asciiTheme="minorHAnsi" w:hAnsiTheme="minorHAnsi"/>
          <w:sz w:val="22"/>
          <w:szCs w:val="22"/>
        </w:rPr>
        <w:t xml:space="preserve">November </w:t>
      </w:r>
      <w:r w:rsidR="006F5205">
        <w:rPr>
          <w:rFonts w:asciiTheme="minorHAnsi" w:hAnsiTheme="minorHAnsi"/>
          <w:sz w:val="22"/>
          <w:szCs w:val="22"/>
        </w:rPr>
        <w:t xml:space="preserve">4, 2024 </w:t>
      </w:r>
      <w:r w:rsidR="00010B11">
        <w:rPr>
          <w:rFonts w:asciiTheme="minorHAnsi" w:hAnsiTheme="minorHAnsi"/>
          <w:sz w:val="22"/>
          <w:szCs w:val="22"/>
        </w:rPr>
        <w:t>(8</w:t>
      </w:r>
      <w:r w:rsidR="006F5205">
        <w:rPr>
          <w:rFonts w:asciiTheme="minorHAnsi" w:hAnsiTheme="minorHAnsi"/>
          <w:sz w:val="22"/>
          <w:szCs w:val="22"/>
        </w:rPr>
        <w:t>9</w:t>
      </w:r>
      <w:r w:rsidR="00010B11">
        <w:rPr>
          <w:rFonts w:asciiTheme="minorHAnsi" w:hAnsiTheme="minorHAnsi"/>
          <w:sz w:val="22"/>
          <w:szCs w:val="22"/>
        </w:rPr>
        <w:t xml:space="preserve"> FR</w:t>
      </w:r>
      <w:r w:rsidR="00CE2EDE">
        <w:rPr>
          <w:rFonts w:asciiTheme="minorHAnsi" w:hAnsiTheme="minorHAnsi"/>
          <w:sz w:val="22"/>
          <w:szCs w:val="22"/>
        </w:rPr>
        <w:t xml:space="preserve"> </w:t>
      </w:r>
      <w:r w:rsidR="006F5205">
        <w:rPr>
          <w:rFonts w:asciiTheme="minorHAnsi" w:hAnsiTheme="minorHAnsi"/>
          <w:sz w:val="22"/>
          <w:szCs w:val="22"/>
        </w:rPr>
        <w:t>87725</w:t>
      </w:r>
      <w:r w:rsidRPr="00ED18D6" w:rsidR="00EF0BCE">
        <w:rPr>
          <w:rFonts w:asciiTheme="minorHAnsi" w:hAnsiTheme="minorHAnsi"/>
          <w:sz w:val="22"/>
          <w:szCs w:val="22"/>
        </w:rPr>
        <w:t>)</w:t>
      </w:r>
      <w:r w:rsidRPr="00ED18D6">
        <w:rPr>
          <w:rFonts w:asciiTheme="minorHAnsi" w:hAnsiTheme="minorHAnsi"/>
          <w:sz w:val="22"/>
          <w:szCs w:val="22"/>
        </w:rPr>
        <w:t>,</w:t>
      </w:r>
      <w:r w:rsidRPr="00F530C8">
        <w:rPr>
          <w:rFonts w:asciiTheme="minorHAnsi" w:hAnsiTheme="minorHAnsi"/>
          <w:sz w:val="22"/>
          <w:szCs w:val="22"/>
        </w:rPr>
        <w:t xml:space="preserve"> we received no comments during the comment period </w:t>
      </w:r>
      <w:r w:rsidR="001334D5">
        <w:rPr>
          <w:rFonts w:asciiTheme="minorHAnsi" w:hAnsiTheme="minorHAnsi"/>
          <w:sz w:val="22"/>
          <w:szCs w:val="22"/>
        </w:rPr>
        <w:t xml:space="preserve">for these revenue procedures. </w:t>
      </w:r>
      <w:r w:rsidRPr="00F530C8">
        <w:rPr>
          <w:rFonts w:asciiTheme="minorHAnsi" w:hAnsiTheme="minorHAnsi"/>
          <w:sz w:val="22"/>
          <w:szCs w:val="22"/>
        </w:rPr>
        <w:t xml:space="preserve">   </w:t>
      </w:r>
    </w:p>
    <w:p w:rsidR="00067742" w:rsidRPr="00F530C8" w:rsidP="00C076C8" w14:paraId="6AACD520" w14:textId="77777777">
      <w:pPr>
        <w:tabs>
          <w:tab w:val="left" w:pos="720"/>
        </w:tabs>
        <w:ind w:left="720" w:hanging="720"/>
        <w:rPr>
          <w:rFonts w:asciiTheme="minorHAnsi" w:hAnsiTheme="minorHAnsi"/>
          <w:b/>
          <w:sz w:val="22"/>
          <w:szCs w:val="22"/>
        </w:rPr>
      </w:pPr>
    </w:p>
    <w:p w:rsidR="00067742" w:rsidRPr="00F530C8" w:rsidP="00C076C8" w14:paraId="03792C9B" w14:textId="77777777">
      <w:pPr>
        <w:numPr>
          <w:ilvl w:val="0"/>
          <w:numId w:val="4"/>
        </w:numPr>
        <w:tabs>
          <w:tab w:val="left" w:pos="720"/>
        </w:tabs>
        <w:ind w:hanging="720"/>
        <w:rPr>
          <w:rFonts w:asciiTheme="minorHAnsi" w:hAnsiTheme="minorHAnsi"/>
          <w:b/>
          <w:sz w:val="22"/>
          <w:szCs w:val="22"/>
        </w:rPr>
      </w:pPr>
      <w:r w:rsidRPr="00F530C8">
        <w:rPr>
          <w:rFonts w:asciiTheme="minorHAnsi" w:hAnsiTheme="minorHAnsi"/>
          <w:b/>
          <w:bCs/>
          <w:sz w:val="22"/>
          <w:szCs w:val="22"/>
          <w:u w:val="single"/>
        </w:rPr>
        <w:t>EXPLANATION OF DECISION TO PROVIDE ANY PAYMENT OR GIFT TO</w:t>
      </w:r>
      <w:r w:rsidRPr="00F530C8" w:rsidR="00C076C8">
        <w:rPr>
          <w:rFonts w:asciiTheme="minorHAnsi" w:hAnsiTheme="minorHAnsi"/>
          <w:b/>
          <w:bCs/>
          <w:sz w:val="22"/>
          <w:szCs w:val="22"/>
          <w:u w:val="single"/>
        </w:rPr>
        <w:t xml:space="preserve"> </w:t>
      </w:r>
      <w:r w:rsidRPr="00F530C8">
        <w:rPr>
          <w:rFonts w:asciiTheme="minorHAnsi" w:hAnsiTheme="minorHAnsi"/>
          <w:b/>
          <w:bCs/>
          <w:sz w:val="22"/>
          <w:szCs w:val="22"/>
          <w:u w:val="single"/>
        </w:rPr>
        <w:t>RESPONDENTS</w:t>
      </w:r>
    </w:p>
    <w:p w:rsidR="00067742" w:rsidRPr="00F530C8" w:rsidP="00C076C8" w14:paraId="5AB0F313" w14:textId="77777777">
      <w:pPr>
        <w:tabs>
          <w:tab w:val="left" w:pos="720"/>
        </w:tabs>
        <w:ind w:left="720" w:hanging="720"/>
        <w:rPr>
          <w:rFonts w:asciiTheme="minorHAnsi" w:hAnsiTheme="minorHAnsi"/>
          <w:b/>
          <w:sz w:val="22"/>
          <w:szCs w:val="22"/>
        </w:rPr>
      </w:pPr>
    </w:p>
    <w:p w:rsidR="00421E3F" w:rsidRPr="00F530C8" w:rsidP="00421E3F" w14:paraId="516A05A7" w14:textId="77777777">
      <w:pPr>
        <w:ind w:firstLine="720"/>
        <w:rPr>
          <w:rFonts w:asciiTheme="minorHAnsi" w:hAnsiTheme="minorHAnsi"/>
          <w:sz w:val="22"/>
          <w:szCs w:val="22"/>
        </w:rPr>
      </w:pPr>
      <w:r w:rsidRPr="00F530C8">
        <w:rPr>
          <w:rFonts w:asciiTheme="minorHAnsi" w:hAnsiTheme="minorHAnsi"/>
          <w:sz w:val="22"/>
          <w:szCs w:val="22"/>
        </w:rPr>
        <w:t>No payment or gift has been provided to any respondents.</w:t>
      </w:r>
    </w:p>
    <w:p w:rsidR="00067742" w:rsidRPr="00F530C8" w:rsidP="00C076C8" w14:paraId="6B67CB21" w14:textId="77777777">
      <w:pPr>
        <w:tabs>
          <w:tab w:val="left" w:pos="720"/>
        </w:tabs>
        <w:ind w:left="720" w:hanging="720"/>
        <w:rPr>
          <w:rFonts w:asciiTheme="minorHAnsi" w:hAnsiTheme="minorHAnsi"/>
          <w:sz w:val="22"/>
          <w:szCs w:val="22"/>
        </w:rPr>
      </w:pPr>
    </w:p>
    <w:p w:rsidR="00067742" w:rsidRPr="00F530C8" w:rsidP="00C076C8" w14:paraId="07E8ADAC" w14:textId="77777777">
      <w:pPr>
        <w:numPr>
          <w:ilvl w:val="0"/>
          <w:numId w:val="4"/>
        </w:numPr>
        <w:tabs>
          <w:tab w:val="left" w:pos="720"/>
        </w:tabs>
        <w:ind w:hanging="720"/>
        <w:rPr>
          <w:rFonts w:asciiTheme="minorHAnsi" w:hAnsiTheme="minorHAnsi"/>
          <w:b/>
          <w:bCs/>
          <w:sz w:val="22"/>
          <w:szCs w:val="22"/>
        </w:rPr>
      </w:pPr>
      <w:r w:rsidRPr="00F530C8">
        <w:rPr>
          <w:rFonts w:asciiTheme="minorHAnsi" w:hAnsiTheme="minorHAnsi"/>
          <w:b/>
          <w:bCs/>
          <w:sz w:val="22"/>
          <w:szCs w:val="22"/>
          <w:u w:val="single"/>
        </w:rPr>
        <w:t>ASSURANCE OF CONFIDENTIALITY OF RESPONSES</w:t>
      </w:r>
    </w:p>
    <w:p w:rsidR="00067742" w:rsidRPr="00F530C8" w:rsidP="00C076C8" w14:paraId="045B5C8E" w14:textId="77777777">
      <w:pPr>
        <w:tabs>
          <w:tab w:val="left" w:pos="720"/>
        </w:tabs>
        <w:ind w:left="720" w:hanging="720"/>
        <w:rPr>
          <w:rFonts w:asciiTheme="minorHAnsi" w:hAnsiTheme="minorHAnsi"/>
          <w:sz w:val="22"/>
          <w:szCs w:val="22"/>
        </w:rPr>
      </w:pPr>
    </w:p>
    <w:p w:rsidR="00067742" w:rsidP="00085A09" w14:paraId="3FFA687C" w14:textId="39A7FAA5">
      <w:pPr>
        <w:tabs>
          <w:tab w:val="left" w:pos="720"/>
        </w:tabs>
        <w:ind w:left="720"/>
        <w:rPr>
          <w:rFonts w:asciiTheme="minorHAnsi" w:hAnsiTheme="minorHAnsi"/>
          <w:sz w:val="22"/>
          <w:szCs w:val="22"/>
        </w:rPr>
      </w:pPr>
      <w:r w:rsidRPr="00F530C8">
        <w:rPr>
          <w:rFonts w:asciiTheme="minorHAnsi" w:hAnsiTheme="minorHAnsi"/>
          <w:sz w:val="22"/>
          <w:szCs w:val="22"/>
        </w:rPr>
        <w:t>Generally, tax returns and tax return information are confidential as required by 26 USC 6103.</w:t>
      </w:r>
    </w:p>
    <w:p w:rsidR="00067742" w:rsidRPr="00F530C8" w:rsidP="00C076C8" w14:paraId="04874008" w14:textId="727C5397">
      <w:pPr>
        <w:tabs>
          <w:tab w:val="left" w:pos="720"/>
        </w:tabs>
        <w:ind w:left="720" w:hanging="720"/>
        <w:rPr>
          <w:rFonts w:asciiTheme="minorHAnsi" w:hAnsiTheme="minorHAnsi"/>
          <w:sz w:val="22"/>
          <w:szCs w:val="22"/>
        </w:rPr>
      </w:pPr>
    </w:p>
    <w:p w:rsidR="00067742" w:rsidRPr="00F530C8" w:rsidP="00C076C8" w14:paraId="53B0245C" w14:textId="77777777">
      <w:pPr>
        <w:numPr>
          <w:ilvl w:val="0"/>
          <w:numId w:val="4"/>
        </w:numPr>
        <w:tabs>
          <w:tab w:val="left" w:pos="720"/>
        </w:tabs>
        <w:ind w:hanging="720"/>
        <w:rPr>
          <w:rFonts w:asciiTheme="minorHAnsi" w:hAnsiTheme="minorHAnsi"/>
          <w:b/>
          <w:bCs/>
          <w:sz w:val="22"/>
          <w:szCs w:val="22"/>
          <w:u w:val="single"/>
        </w:rPr>
      </w:pPr>
      <w:r w:rsidRPr="00F530C8">
        <w:rPr>
          <w:rFonts w:asciiTheme="minorHAnsi" w:hAnsiTheme="minorHAnsi"/>
          <w:b/>
          <w:bCs/>
          <w:sz w:val="22"/>
          <w:szCs w:val="22"/>
          <w:u w:val="single"/>
        </w:rPr>
        <w:t>JUSTIFICATION OF SENSITIVE QUESTIONS</w:t>
      </w:r>
    </w:p>
    <w:p w:rsidR="00067742" w:rsidRPr="00F530C8" w:rsidP="00C076C8" w14:paraId="276FB2C4" w14:textId="77777777">
      <w:pPr>
        <w:tabs>
          <w:tab w:val="left" w:pos="720"/>
        </w:tabs>
        <w:ind w:left="720" w:hanging="720"/>
        <w:rPr>
          <w:rFonts w:asciiTheme="minorHAnsi" w:hAnsiTheme="minorHAnsi"/>
          <w:sz w:val="22"/>
          <w:szCs w:val="22"/>
          <w:u w:val="single"/>
        </w:rPr>
      </w:pPr>
    </w:p>
    <w:p w:rsidR="00392903" w:rsidRPr="00392903" w:rsidP="00392903" w14:paraId="014842DD" w14:textId="77777777">
      <w:pPr>
        <w:ind w:left="720"/>
        <w:rPr>
          <w:rFonts w:asciiTheme="minorHAnsi" w:hAnsiTheme="minorHAnsi"/>
          <w:sz w:val="22"/>
          <w:szCs w:val="22"/>
        </w:rPr>
      </w:pPr>
      <w:bookmarkStart w:id="4" w:name="_Hlk79162640"/>
      <w:bookmarkStart w:id="5" w:name="_Hlk70362291"/>
      <w:r w:rsidRPr="00392903">
        <w:rPr>
          <w:rFonts w:asciiTheme="minorHAnsi" w:hAnsiTheme="minorHAnsi"/>
          <w:sz w:val="22"/>
          <w:szCs w:val="22"/>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r:id="rId4" w:history="1">
        <w:r w:rsidRPr="00392903">
          <w:rPr>
            <w:rStyle w:val="Hyperlink"/>
            <w:rFonts w:asciiTheme="minorHAnsi" w:hAnsiTheme="minorHAnsi"/>
            <w:sz w:val="22"/>
            <w:szCs w:val="22"/>
          </w:rPr>
          <w:t>https://www.irs.gov/uac/Privacy-Impact-Assessments-PIA</w:t>
        </w:r>
      </w:hyperlink>
      <w:r w:rsidRPr="00392903">
        <w:rPr>
          <w:rFonts w:asciiTheme="minorHAnsi" w:hAnsiTheme="minorHAnsi"/>
          <w:sz w:val="22"/>
          <w:szCs w:val="22"/>
        </w:rPr>
        <w:t>.</w:t>
      </w:r>
    </w:p>
    <w:bookmarkEnd w:id="4"/>
    <w:p w:rsidR="00392903" w:rsidRPr="00392903" w:rsidP="00392903" w14:paraId="4C39D49A" w14:textId="77777777">
      <w:pPr>
        <w:ind w:left="720"/>
        <w:rPr>
          <w:rFonts w:asciiTheme="minorHAnsi" w:hAnsiTheme="minorHAnsi"/>
          <w:sz w:val="22"/>
          <w:szCs w:val="22"/>
        </w:rPr>
      </w:pPr>
    </w:p>
    <w:p w:rsidR="00392903" w:rsidRPr="00392903" w:rsidP="00392903" w14:paraId="619DFA40" w14:textId="77777777">
      <w:pPr>
        <w:ind w:left="720"/>
        <w:rPr>
          <w:rFonts w:asciiTheme="minorHAnsi" w:hAnsiTheme="minorHAnsi"/>
          <w:sz w:val="22"/>
          <w:szCs w:val="22"/>
        </w:rPr>
      </w:pPr>
      <w:r w:rsidRPr="00392903">
        <w:rPr>
          <w:rFonts w:asciiTheme="minorHAnsi" w:hAnsiTheme="minorHAnsi"/>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bookmarkEnd w:id="5"/>
    <w:p w:rsidR="002174CE" w:rsidRPr="00F530C8" w:rsidP="00C076C8" w14:paraId="78541609" w14:textId="77777777">
      <w:pPr>
        <w:tabs>
          <w:tab w:val="left" w:pos="720"/>
        </w:tabs>
        <w:ind w:left="720" w:hanging="720"/>
        <w:rPr>
          <w:rFonts w:asciiTheme="minorHAnsi" w:hAnsiTheme="minorHAnsi"/>
          <w:sz w:val="22"/>
          <w:szCs w:val="22"/>
        </w:rPr>
      </w:pPr>
    </w:p>
    <w:p w:rsidR="00067742" w:rsidP="00C076C8" w14:paraId="4CDE5BBF" w14:textId="05941FC5">
      <w:pPr>
        <w:numPr>
          <w:ilvl w:val="0"/>
          <w:numId w:val="4"/>
        </w:numPr>
        <w:tabs>
          <w:tab w:val="left" w:pos="720"/>
        </w:tabs>
        <w:ind w:hanging="720"/>
        <w:rPr>
          <w:rFonts w:asciiTheme="minorHAnsi" w:hAnsiTheme="minorHAnsi"/>
          <w:b/>
          <w:bCs/>
          <w:sz w:val="22"/>
          <w:szCs w:val="22"/>
          <w:u w:val="single"/>
        </w:rPr>
      </w:pPr>
      <w:r w:rsidRPr="00C515A5">
        <w:rPr>
          <w:rFonts w:asciiTheme="minorHAnsi" w:hAnsiTheme="minorHAnsi"/>
          <w:b/>
          <w:bCs/>
          <w:sz w:val="22"/>
          <w:szCs w:val="22"/>
          <w:u w:val="single"/>
        </w:rPr>
        <w:t>ESTIMATED BURDEN OF INFORMATION</w:t>
      </w:r>
      <w:r w:rsidRPr="00F530C8">
        <w:rPr>
          <w:rFonts w:asciiTheme="minorHAnsi" w:hAnsiTheme="minorHAnsi"/>
          <w:b/>
          <w:bCs/>
          <w:sz w:val="22"/>
          <w:szCs w:val="22"/>
          <w:u w:val="single"/>
        </w:rPr>
        <w:t xml:space="preserve"> COLLECTION</w:t>
      </w:r>
    </w:p>
    <w:p w:rsidR="00C14DF1" w:rsidRPr="00C14DF1" w:rsidP="00C14DF1" w14:paraId="41638421" w14:textId="31D04239">
      <w:pPr>
        <w:tabs>
          <w:tab w:val="left" w:pos="720"/>
        </w:tabs>
        <w:ind w:left="720"/>
        <w:rPr>
          <w:rFonts w:ascii="Times New Roman" w:hAnsi="Times New Roman"/>
        </w:rPr>
      </w:pPr>
      <w:r w:rsidRPr="00F841ED">
        <w:rPr>
          <w:rFonts w:asciiTheme="minorHAnsi" w:hAnsiTheme="minorHAnsi"/>
          <w:bCs/>
          <w:sz w:val="22"/>
          <w:szCs w:val="22"/>
        </w:rPr>
        <w:t xml:space="preserve"> </w:t>
      </w:r>
      <w:r w:rsidR="00CA7758">
        <w:rPr>
          <w:rFonts w:asciiTheme="minorHAnsi" w:hAnsiTheme="minorHAnsi"/>
          <w:bCs/>
          <w:sz w:val="22"/>
          <w:szCs w:val="22"/>
        </w:rPr>
        <w:t xml:space="preserve"> </w:t>
      </w:r>
      <w:r w:rsidR="003E560A">
        <w:rPr>
          <w:rFonts w:asciiTheme="minorHAnsi" w:hAnsiTheme="minorHAnsi"/>
          <w:bCs/>
          <w:sz w:val="22"/>
          <w:szCs w:val="22"/>
        </w:rPr>
        <w:t xml:space="preserve"> </w:t>
      </w:r>
      <w:r w:rsidR="003E560A">
        <w:rPr>
          <w:rFonts w:asciiTheme="minorHAnsi" w:hAnsiTheme="minorHAnsi"/>
          <w:b/>
          <w:bCs/>
          <w:sz w:val="22"/>
          <w:szCs w:val="22"/>
        </w:rPr>
        <w:t xml:space="preserve"> </w:t>
      </w:r>
    </w:p>
    <w:p w:rsidR="00C14DF1" w:rsidRPr="004E1B80" w:rsidP="00C14DF1" w14:paraId="21D0B843" w14:textId="5BF6172B">
      <w:pPr>
        <w:tabs>
          <w:tab w:val="left" w:pos="720"/>
          <w:tab w:val="center" w:pos="3240"/>
          <w:tab w:val="center" w:pos="5400"/>
          <w:tab w:val="center" w:pos="7470"/>
        </w:tabs>
        <w:ind w:left="720"/>
        <w:rPr>
          <w:rFonts w:asciiTheme="minorHAnsi" w:eastAsiaTheme="minorHAnsi" w:hAnsiTheme="minorHAnsi" w:cstheme="minorBidi"/>
          <w:sz w:val="22"/>
          <w:szCs w:val="22"/>
        </w:rPr>
      </w:pPr>
      <w:r w:rsidRPr="004E1B80">
        <w:rPr>
          <w:rFonts w:asciiTheme="minorHAnsi" w:eastAsiaTheme="minorHAnsi" w:hAnsiTheme="minorHAnsi" w:cstheme="minorBidi"/>
          <w:sz w:val="22"/>
          <w:szCs w:val="22"/>
        </w:rPr>
        <w:t>1)</w:t>
      </w:r>
      <w:r w:rsidRPr="004E1B80">
        <w:rPr>
          <w:rFonts w:asciiTheme="minorHAnsi" w:eastAsiaTheme="minorHAnsi" w:hAnsiTheme="minorHAnsi" w:cstheme="minorBidi"/>
          <w:sz w:val="22"/>
          <w:szCs w:val="22"/>
        </w:rPr>
        <w:tab/>
        <w:t xml:space="preserve"> Method of reporting gross premiums written — In general, an insurance company reports gross premiums written for the earlier of the taxable year that includes the effective date of the insurance contract or the year in which the company receives all or a portion of the gross premium for the insurance contract. The effective date of the insurance contract is the date on which the insurance coverage provided by the contract commences.  The burden associated with reporting gross premiums is accounted for on the annual tax return (i.e., Form 1120-PC – OMB # 1545-0123).  </w:t>
      </w:r>
    </w:p>
    <w:p w:rsidR="00C14DF1" w:rsidRPr="004E1B80" w:rsidP="00C14DF1" w14:paraId="5F39A6BF" w14:textId="77777777">
      <w:pPr>
        <w:tabs>
          <w:tab w:val="left" w:pos="720"/>
          <w:tab w:val="center" w:pos="3240"/>
          <w:tab w:val="center" w:pos="5400"/>
          <w:tab w:val="center" w:pos="7470"/>
        </w:tabs>
        <w:ind w:left="720"/>
        <w:rPr>
          <w:rFonts w:asciiTheme="minorHAnsi" w:eastAsiaTheme="minorHAnsi" w:hAnsiTheme="minorHAnsi" w:cstheme="minorBidi"/>
          <w:sz w:val="22"/>
          <w:szCs w:val="22"/>
        </w:rPr>
      </w:pPr>
    </w:p>
    <w:p w:rsidR="00C14DF1" w:rsidRPr="004E1B80" w:rsidP="00C14DF1" w14:paraId="41BEE75F" w14:textId="203F2738">
      <w:pPr>
        <w:tabs>
          <w:tab w:val="left" w:pos="720"/>
          <w:tab w:val="center" w:pos="3240"/>
          <w:tab w:val="center" w:pos="5400"/>
          <w:tab w:val="center" w:pos="7470"/>
        </w:tabs>
        <w:ind w:left="720"/>
        <w:rPr>
          <w:rFonts w:asciiTheme="minorHAnsi" w:eastAsiaTheme="minorHAnsi" w:hAnsiTheme="minorHAnsi" w:cstheme="minorBidi"/>
          <w:sz w:val="22"/>
          <w:szCs w:val="22"/>
        </w:rPr>
      </w:pPr>
      <w:r w:rsidRPr="004E1B80">
        <w:rPr>
          <w:rFonts w:asciiTheme="minorHAnsi" w:eastAsiaTheme="minorHAnsi" w:hAnsiTheme="minorHAnsi" w:cstheme="minorBidi"/>
          <w:sz w:val="22"/>
          <w:szCs w:val="22"/>
        </w:rPr>
        <w:t xml:space="preserve">2) </w:t>
      </w:r>
      <w:r w:rsidRPr="004E1B80">
        <w:rPr>
          <w:rFonts w:asciiTheme="minorHAnsi" w:eastAsiaTheme="minorHAnsi" w:hAnsiTheme="minorHAnsi" w:cstheme="minorBidi"/>
          <w:sz w:val="22"/>
          <w:szCs w:val="22"/>
        </w:rPr>
        <w:tab/>
        <w:t xml:space="preserve">In computing the amount of unabsorbed premium deposits which a mutual fire or flood insurance company described in section 831(a)(3)(B) would be obligated to return to its policyholders at the close of its taxable year, the company must use its own schedule of unabsorbed premium deposit returns then in effect. A copy of the applicable schedule must be filed with the company's income tax return for each taxable year for which a computation based </w:t>
      </w:r>
      <w:r w:rsidRPr="004E1B80">
        <w:rPr>
          <w:rFonts w:asciiTheme="minorHAnsi" w:eastAsiaTheme="minorHAnsi" w:hAnsiTheme="minorHAnsi" w:cstheme="minorBidi"/>
          <w:sz w:val="22"/>
          <w:szCs w:val="22"/>
        </w:rPr>
        <w:t>upon such schedule is made. In addition, a taxpayer making such a computation must provide the following information for each taxable year for which the computation is made:</w:t>
      </w:r>
    </w:p>
    <w:p w:rsidR="00C14DF1" w:rsidRPr="004E1B80" w:rsidP="00C14DF1" w14:paraId="53BEF643" w14:textId="77777777">
      <w:pPr>
        <w:tabs>
          <w:tab w:val="left" w:pos="720"/>
          <w:tab w:val="center" w:pos="3240"/>
          <w:tab w:val="center" w:pos="5400"/>
          <w:tab w:val="center" w:pos="7470"/>
        </w:tabs>
        <w:ind w:left="720"/>
        <w:rPr>
          <w:rFonts w:asciiTheme="minorHAnsi" w:eastAsiaTheme="minorHAnsi" w:hAnsiTheme="minorHAnsi" w:cstheme="minorBidi"/>
          <w:sz w:val="22"/>
          <w:szCs w:val="22"/>
        </w:rPr>
      </w:pPr>
      <w:r w:rsidRPr="004E1B80">
        <w:rPr>
          <w:rFonts w:asciiTheme="minorHAnsi" w:eastAsiaTheme="minorHAnsi" w:hAnsiTheme="minorHAnsi" w:cstheme="minorBidi"/>
          <w:sz w:val="22"/>
          <w:szCs w:val="22"/>
        </w:rPr>
        <w:t>“(i) The amount of gross premiums received during the taxable year, and the amount of premiums paid for reinsurance during the taxable year, on the policies described in section 831(a)(3)(B) and on other policies;</w:t>
      </w:r>
    </w:p>
    <w:p w:rsidR="00C14DF1" w:rsidRPr="004E1B80" w:rsidP="00C14DF1" w14:paraId="5FFA3E81" w14:textId="77777777">
      <w:pPr>
        <w:tabs>
          <w:tab w:val="left" w:pos="720"/>
          <w:tab w:val="center" w:pos="3240"/>
          <w:tab w:val="center" w:pos="5400"/>
          <w:tab w:val="center" w:pos="7470"/>
        </w:tabs>
        <w:ind w:left="720"/>
        <w:rPr>
          <w:rFonts w:asciiTheme="minorHAnsi" w:eastAsiaTheme="minorHAnsi" w:hAnsiTheme="minorHAnsi" w:cstheme="minorBidi"/>
          <w:sz w:val="22"/>
          <w:szCs w:val="22"/>
        </w:rPr>
      </w:pPr>
      <w:r w:rsidRPr="004E1B80">
        <w:rPr>
          <w:rFonts w:asciiTheme="minorHAnsi" w:eastAsiaTheme="minorHAnsi" w:hAnsiTheme="minorHAnsi" w:cstheme="minorBidi"/>
          <w:sz w:val="22"/>
          <w:szCs w:val="22"/>
        </w:rPr>
        <w:t>(ii) The amount of insurance written during the taxable year under the policies described in section 831(a)(3)(B) and under other policies, and the amount of such insurance written which was reinsured during the taxable year. The information required under this subdivision shall only be submitted upon the specific request of the district director for a statement setting forth such information, and, if required, such statement shall be filed in the manner provided by this subparagraph or in such other manner as is satisfactory to the district director;</w:t>
      </w:r>
    </w:p>
    <w:p w:rsidR="00C14DF1" w:rsidRPr="004E1B80" w:rsidP="00C14DF1" w14:paraId="1E3CD6B9" w14:textId="77777777">
      <w:pPr>
        <w:tabs>
          <w:tab w:val="left" w:pos="720"/>
          <w:tab w:val="center" w:pos="3240"/>
          <w:tab w:val="center" w:pos="5400"/>
          <w:tab w:val="center" w:pos="7470"/>
        </w:tabs>
        <w:ind w:left="720"/>
        <w:rPr>
          <w:rFonts w:asciiTheme="minorHAnsi" w:eastAsiaTheme="minorHAnsi" w:hAnsiTheme="minorHAnsi" w:cstheme="minorBidi"/>
          <w:sz w:val="22"/>
          <w:szCs w:val="22"/>
        </w:rPr>
      </w:pPr>
      <w:r w:rsidRPr="004E1B80">
        <w:rPr>
          <w:rFonts w:asciiTheme="minorHAnsi" w:eastAsiaTheme="minorHAnsi" w:hAnsiTheme="minorHAnsi" w:cstheme="minorBidi"/>
          <w:sz w:val="22"/>
          <w:szCs w:val="22"/>
        </w:rPr>
        <w:t>(iii) The amount of premiums earned during the taxable year on the policies described in section 831(a)(3)(B) and on other policies and the computations by which such amounts were determined, including sufficient information to support the taxpayer's determination of the amount of unearned premiums on premium deposit plan and other policies at the beginning and end of the taxable year, and the amount of unabsorbed premium deposits at the beginning and end of the taxable year on policies described in section 831(a)(3)(B).”</w:t>
      </w:r>
    </w:p>
    <w:p w:rsidR="00C14DF1" w:rsidRPr="004E1B80" w:rsidP="00C14DF1" w14:paraId="1F06345A" w14:textId="77777777">
      <w:pPr>
        <w:tabs>
          <w:tab w:val="left" w:pos="720"/>
          <w:tab w:val="center" w:pos="3240"/>
          <w:tab w:val="center" w:pos="5400"/>
          <w:tab w:val="center" w:pos="7470"/>
        </w:tabs>
        <w:ind w:left="720"/>
        <w:rPr>
          <w:rFonts w:asciiTheme="minorHAnsi" w:eastAsiaTheme="minorHAnsi" w:hAnsiTheme="minorHAnsi" w:cstheme="minorBidi"/>
          <w:sz w:val="22"/>
          <w:szCs w:val="22"/>
        </w:rPr>
      </w:pPr>
    </w:p>
    <w:p w:rsidR="00C14DF1" w:rsidRPr="004E1B80" w:rsidP="00C14DF1" w14:paraId="4C131C90" w14:textId="77777777">
      <w:pPr>
        <w:tabs>
          <w:tab w:val="left" w:pos="720"/>
          <w:tab w:val="center" w:pos="3240"/>
          <w:tab w:val="center" w:pos="5400"/>
          <w:tab w:val="center" w:pos="7470"/>
        </w:tabs>
        <w:ind w:left="720"/>
        <w:rPr>
          <w:rFonts w:asciiTheme="minorHAnsi" w:eastAsiaTheme="minorHAnsi" w:hAnsiTheme="minorHAnsi" w:cstheme="minorBidi"/>
          <w:sz w:val="22"/>
          <w:szCs w:val="22"/>
        </w:rPr>
      </w:pPr>
      <w:r w:rsidRPr="004E1B80">
        <w:rPr>
          <w:rFonts w:asciiTheme="minorHAnsi" w:eastAsiaTheme="minorHAnsi" w:hAnsiTheme="minorHAnsi" w:cstheme="minorBidi"/>
          <w:sz w:val="22"/>
          <w:szCs w:val="22"/>
        </w:rPr>
        <w:t xml:space="preserve">The information required by this subparagraph shall be set forth in a statement attached to the taxpayer's income tax return for the taxable year for which such information is being provided. Such statement shall include the name and address of the taxpayer, and shall be filed not later than the date prescribed by law (including extensions thereof) for filing the income tax return for the taxable year.  The burden associated with computing the amount of unabsorbed premium deposits is accounted for on the annual tax return (i.e., Form 1120-PC – OMB # 1545-0123). </w:t>
      </w:r>
    </w:p>
    <w:p w:rsidR="00C14DF1" w:rsidRPr="00C14DF1" w:rsidP="00C14DF1" w14:paraId="143B9F2D" w14:textId="77777777">
      <w:pPr>
        <w:tabs>
          <w:tab w:val="left" w:pos="720"/>
          <w:tab w:val="center" w:pos="3240"/>
          <w:tab w:val="center" w:pos="5400"/>
          <w:tab w:val="center" w:pos="7470"/>
        </w:tabs>
        <w:ind w:left="720"/>
        <w:rPr>
          <w:rFonts w:ascii="Times New Roman" w:hAnsi="Times New Roman"/>
        </w:rPr>
      </w:pPr>
    </w:p>
    <w:p w:rsidR="00067742" w:rsidRPr="004E1B80" w:rsidP="00C14DF1" w14:paraId="085FBC13" w14:textId="1D8944FF">
      <w:pPr>
        <w:tabs>
          <w:tab w:val="left" w:pos="720"/>
          <w:tab w:val="center" w:pos="3240"/>
          <w:tab w:val="center" w:pos="5400"/>
          <w:tab w:val="center" w:pos="7470"/>
        </w:tabs>
        <w:ind w:left="720"/>
        <w:rPr>
          <w:rFonts w:asciiTheme="minorHAnsi" w:eastAsiaTheme="minorHAnsi" w:hAnsiTheme="minorHAnsi" w:cstheme="minorBidi"/>
          <w:sz w:val="22"/>
          <w:szCs w:val="22"/>
        </w:rPr>
      </w:pPr>
      <w:r w:rsidRPr="004E1B80">
        <w:rPr>
          <w:rFonts w:asciiTheme="minorHAnsi" w:eastAsiaTheme="minorHAnsi" w:hAnsiTheme="minorHAnsi" w:cstheme="minorBidi"/>
          <w:sz w:val="22"/>
          <w:szCs w:val="22"/>
        </w:rPr>
        <w:t xml:space="preserve">3) </w:t>
      </w:r>
      <w:r w:rsidRPr="004E1B80">
        <w:rPr>
          <w:rFonts w:asciiTheme="minorHAnsi" w:eastAsiaTheme="minorHAnsi" w:hAnsiTheme="minorHAnsi" w:cstheme="minorBidi"/>
          <w:sz w:val="22"/>
          <w:szCs w:val="22"/>
        </w:rPr>
        <w:tab/>
        <w:t>Section 1.832-4(d) of this regulation allows nonlife insurance companies to increase unpaid losses on a yearly basis by the amount of estimated salvage recoverable if the company complies with the yearly disclosure requirement.  This disclosure is to be made yearly to the state insurance regulatory authority.  We estimate that approximately 2,500 such disclosures will be made and that it will take approximately 2 hours to complete a disclosure.  The total burden for this requirement is 5,000 hours yearly.</w:t>
      </w:r>
    </w:p>
    <w:p w:rsidR="00392903" w:rsidRPr="00C076C8" w:rsidP="00791E96" w14:paraId="5BE97CC7" w14:textId="77777777">
      <w:pPr>
        <w:tabs>
          <w:tab w:val="left" w:pos="720"/>
          <w:tab w:val="center" w:pos="3240"/>
          <w:tab w:val="center" w:pos="5400"/>
          <w:tab w:val="center" w:pos="7470"/>
        </w:tabs>
        <w:rPr>
          <w:rFonts w:ascii="Times New Roman" w:hAnsi="Times New Roman"/>
        </w:rPr>
      </w:pPr>
    </w:p>
    <w:tbl>
      <w:tblPr>
        <w:tblW w:w="8721" w:type="dxa"/>
        <w:tblInd w:w="715" w:type="dxa"/>
        <w:tblLayout w:type="fixed"/>
        <w:tblLook w:val="04A0"/>
      </w:tblPr>
      <w:tblGrid>
        <w:gridCol w:w="1187"/>
        <w:gridCol w:w="2150"/>
        <w:gridCol w:w="1217"/>
        <w:gridCol w:w="1180"/>
        <w:gridCol w:w="1012"/>
        <w:gridCol w:w="1004"/>
        <w:gridCol w:w="971"/>
      </w:tblGrid>
      <w:tr w14:paraId="76DE414A" w14:textId="77777777" w:rsidTr="00AA217D">
        <w:tblPrEx>
          <w:tblW w:w="8721" w:type="dxa"/>
          <w:tblInd w:w="715" w:type="dxa"/>
          <w:tblLayout w:type="fixed"/>
          <w:tblLook w:val="04A0"/>
        </w:tblPrEx>
        <w:trPr>
          <w:trHeight w:val="800"/>
        </w:trPr>
        <w:tc>
          <w:tcPr>
            <w:tcW w:w="11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43CFB" w:rsidRPr="00643CFB" w:rsidP="00791E96" w14:paraId="5BBEE710" w14:textId="14F6F9AF">
            <w:pPr>
              <w:widowControl/>
              <w:autoSpaceDE/>
              <w:autoSpaceDN/>
              <w:adjustRightInd/>
              <w:jc w:val="center"/>
              <w:rPr>
                <w:rFonts w:ascii="Arial Narrow" w:hAnsi="Arial Narrow"/>
                <w:b/>
                <w:color w:val="000000"/>
                <w:sz w:val="18"/>
                <w:szCs w:val="18"/>
              </w:rPr>
            </w:pPr>
            <w:r>
              <w:rPr>
                <w:rFonts w:ascii="Arial Narrow" w:hAnsi="Arial Narrow"/>
                <w:b/>
                <w:color w:val="000000"/>
                <w:sz w:val="18"/>
                <w:szCs w:val="18"/>
              </w:rPr>
              <w:t>IRC</w:t>
            </w:r>
          </w:p>
        </w:tc>
        <w:tc>
          <w:tcPr>
            <w:tcW w:w="2150" w:type="dxa"/>
            <w:tcBorders>
              <w:top w:val="single" w:sz="4" w:space="0" w:color="auto"/>
              <w:left w:val="nil"/>
              <w:bottom w:val="single" w:sz="4" w:space="0" w:color="auto"/>
              <w:right w:val="single" w:sz="4" w:space="0" w:color="auto"/>
            </w:tcBorders>
            <w:shd w:val="clear" w:color="auto" w:fill="auto"/>
            <w:vAlign w:val="bottom"/>
            <w:hideMark/>
          </w:tcPr>
          <w:p w:rsidR="00643CFB" w:rsidRPr="00643CFB" w:rsidP="00791E96" w14:paraId="45B33990" w14:textId="77777777">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Description</w:t>
            </w:r>
          </w:p>
        </w:tc>
        <w:tc>
          <w:tcPr>
            <w:tcW w:w="1217" w:type="dxa"/>
            <w:tcBorders>
              <w:top w:val="single" w:sz="4" w:space="0" w:color="auto"/>
              <w:left w:val="nil"/>
              <w:bottom w:val="single" w:sz="4" w:space="0" w:color="auto"/>
              <w:right w:val="single" w:sz="4" w:space="0" w:color="auto"/>
            </w:tcBorders>
            <w:shd w:val="clear" w:color="auto" w:fill="auto"/>
            <w:vAlign w:val="bottom"/>
            <w:hideMark/>
          </w:tcPr>
          <w:p w:rsidR="00643CFB" w:rsidRPr="00643CFB" w:rsidP="00791E96" w14:paraId="07B4209C" w14:textId="77777777">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 Respondents</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643CFB" w:rsidRPr="00643CFB" w:rsidP="00791E96" w14:paraId="2453A53D" w14:textId="77777777">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 Responses Per Respondent</w:t>
            </w:r>
          </w:p>
        </w:tc>
        <w:tc>
          <w:tcPr>
            <w:tcW w:w="1012" w:type="dxa"/>
            <w:tcBorders>
              <w:top w:val="single" w:sz="4" w:space="0" w:color="auto"/>
              <w:left w:val="nil"/>
              <w:bottom w:val="single" w:sz="4" w:space="0" w:color="auto"/>
              <w:right w:val="single" w:sz="4" w:space="0" w:color="auto"/>
            </w:tcBorders>
            <w:shd w:val="clear" w:color="auto" w:fill="auto"/>
            <w:vAlign w:val="bottom"/>
            <w:hideMark/>
          </w:tcPr>
          <w:p w:rsidR="00643CFB" w:rsidRPr="00643CFB" w:rsidP="00791E96" w14:paraId="37F6E137" w14:textId="77777777">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 Annual Responses</w:t>
            </w:r>
          </w:p>
        </w:tc>
        <w:tc>
          <w:tcPr>
            <w:tcW w:w="1004" w:type="dxa"/>
            <w:tcBorders>
              <w:top w:val="single" w:sz="4" w:space="0" w:color="auto"/>
              <w:left w:val="nil"/>
              <w:bottom w:val="single" w:sz="4" w:space="0" w:color="auto"/>
              <w:right w:val="single" w:sz="4" w:space="0" w:color="auto"/>
            </w:tcBorders>
            <w:shd w:val="clear" w:color="auto" w:fill="auto"/>
            <w:vAlign w:val="bottom"/>
            <w:hideMark/>
          </w:tcPr>
          <w:p w:rsidR="00643CFB" w:rsidRPr="00643CFB" w:rsidP="00791E96" w14:paraId="152ABC79" w14:textId="77777777">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Hours Per Response</w:t>
            </w:r>
          </w:p>
        </w:tc>
        <w:tc>
          <w:tcPr>
            <w:tcW w:w="971" w:type="dxa"/>
            <w:tcBorders>
              <w:top w:val="single" w:sz="4" w:space="0" w:color="auto"/>
              <w:left w:val="nil"/>
              <w:bottom w:val="single" w:sz="4" w:space="0" w:color="auto"/>
              <w:right w:val="single" w:sz="4" w:space="0" w:color="auto"/>
            </w:tcBorders>
            <w:shd w:val="clear" w:color="auto" w:fill="auto"/>
            <w:vAlign w:val="bottom"/>
            <w:hideMark/>
          </w:tcPr>
          <w:p w:rsidR="00643CFB" w:rsidRPr="00643CFB" w:rsidP="00791E96" w14:paraId="238D17FE" w14:textId="77777777">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Total Burden</w:t>
            </w:r>
          </w:p>
        </w:tc>
      </w:tr>
      <w:tr w14:paraId="6818FC54" w14:textId="77777777" w:rsidTr="00AA217D">
        <w:tblPrEx>
          <w:tblW w:w="8721" w:type="dxa"/>
          <w:tblInd w:w="715" w:type="dxa"/>
          <w:tblLayout w:type="fixed"/>
          <w:tblLook w:val="04A0"/>
        </w:tblPrEx>
        <w:trPr>
          <w:trHeight w:val="800"/>
        </w:trPr>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rsidR="00643CFB" w:rsidRPr="00643CFB" w:rsidP="00C14DF1" w14:paraId="477BA1CD" w14:textId="779D10D2">
            <w:pPr>
              <w:widowControl/>
              <w:autoSpaceDE/>
              <w:autoSpaceDN/>
              <w:adjustRightInd/>
              <w:jc w:val="center"/>
              <w:rPr>
                <w:rFonts w:ascii="Arial Narrow" w:hAnsi="Arial Narrow"/>
                <w:color w:val="000000"/>
                <w:sz w:val="18"/>
                <w:szCs w:val="18"/>
              </w:rPr>
            </w:pPr>
            <w:r w:rsidRPr="00CD6C2F">
              <w:rPr>
                <w:rFonts w:ascii="Arial Narrow" w:hAnsi="Arial Narrow"/>
                <w:color w:val="000000"/>
                <w:sz w:val="18"/>
                <w:szCs w:val="18"/>
              </w:rPr>
              <w:t>832</w:t>
            </w:r>
            <w:r w:rsidRPr="001D4A3C" w:rsidR="001D4A3C">
              <w:rPr>
                <w:rFonts w:ascii="Arial Narrow" w:hAnsi="Arial Narrow"/>
                <w:color w:val="000000"/>
                <w:sz w:val="18"/>
                <w:szCs w:val="18"/>
              </w:rPr>
              <w:t xml:space="preserve"> </w:t>
            </w:r>
          </w:p>
        </w:tc>
        <w:tc>
          <w:tcPr>
            <w:tcW w:w="2150" w:type="dxa"/>
            <w:tcBorders>
              <w:top w:val="single" w:sz="4" w:space="0" w:color="auto"/>
              <w:left w:val="nil"/>
              <w:bottom w:val="single" w:sz="4" w:space="0" w:color="auto"/>
              <w:right w:val="single" w:sz="4" w:space="0" w:color="auto"/>
            </w:tcBorders>
            <w:shd w:val="clear" w:color="auto" w:fill="auto"/>
            <w:vAlign w:val="center"/>
          </w:tcPr>
          <w:p w:rsidR="00643CFB" w:rsidRPr="00643CFB" w:rsidP="00643CFB" w14:paraId="6CFB214B" w14:textId="5A5491AC">
            <w:pPr>
              <w:widowControl/>
              <w:autoSpaceDE/>
              <w:autoSpaceDN/>
              <w:adjustRightInd/>
              <w:jc w:val="center"/>
              <w:rPr>
                <w:rFonts w:ascii="Arial Narrow" w:hAnsi="Arial Narrow"/>
                <w:color w:val="000000"/>
                <w:sz w:val="18"/>
                <w:szCs w:val="18"/>
              </w:rPr>
            </w:pPr>
            <w:r w:rsidRPr="00C14DF1">
              <w:rPr>
                <w:rFonts w:ascii="Arial Narrow" w:hAnsi="Arial Narrow"/>
                <w:color w:val="000000"/>
                <w:sz w:val="18"/>
                <w:szCs w:val="18"/>
              </w:rPr>
              <w:t>yearly disclosure requirement</w:t>
            </w:r>
          </w:p>
        </w:tc>
        <w:tc>
          <w:tcPr>
            <w:tcW w:w="1217" w:type="dxa"/>
            <w:tcBorders>
              <w:top w:val="single" w:sz="4" w:space="0" w:color="auto"/>
              <w:left w:val="nil"/>
              <w:bottom w:val="single" w:sz="4" w:space="0" w:color="auto"/>
              <w:right w:val="single" w:sz="4" w:space="0" w:color="auto"/>
            </w:tcBorders>
            <w:shd w:val="clear" w:color="auto" w:fill="auto"/>
            <w:vAlign w:val="center"/>
          </w:tcPr>
          <w:p w:rsidR="00643CFB" w:rsidRPr="00643CFB" w:rsidP="00643CFB" w14:paraId="793922B1" w14:textId="1359DE9A">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2,500</w:t>
            </w:r>
          </w:p>
        </w:tc>
        <w:tc>
          <w:tcPr>
            <w:tcW w:w="1180" w:type="dxa"/>
            <w:tcBorders>
              <w:top w:val="single" w:sz="4" w:space="0" w:color="auto"/>
              <w:left w:val="nil"/>
              <w:bottom w:val="single" w:sz="4" w:space="0" w:color="auto"/>
              <w:right w:val="single" w:sz="4" w:space="0" w:color="auto"/>
            </w:tcBorders>
            <w:shd w:val="clear" w:color="auto" w:fill="auto"/>
            <w:vAlign w:val="center"/>
          </w:tcPr>
          <w:p w:rsidR="00643CFB" w:rsidRPr="00643CFB" w:rsidP="00643CFB" w14:paraId="1FF4E873" w14:textId="15C1D856">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w:t>
            </w:r>
          </w:p>
        </w:tc>
        <w:tc>
          <w:tcPr>
            <w:tcW w:w="1012" w:type="dxa"/>
            <w:tcBorders>
              <w:top w:val="single" w:sz="4" w:space="0" w:color="auto"/>
              <w:left w:val="nil"/>
              <w:bottom w:val="single" w:sz="4" w:space="0" w:color="auto"/>
              <w:right w:val="single" w:sz="4" w:space="0" w:color="auto"/>
            </w:tcBorders>
            <w:shd w:val="clear" w:color="auto" w:fill="auto"/>
            <w:vAlign w:val="center"/>
          </w:tcPr>
          <w:p w:rsidR="00643CFB" w:rsidRPr="00643CFB" w:rsidP="00643CFB" w14:paraId="118638E8" w14:textId="4DC4BB68">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2,500</w:t>
            </w:r>
          </w:p>
        </w:tc>
        <w:tc>
          <w:tcPr>
            <w:tcW w:w="1004" w:type="dxa"/>
            <w:tcBorders>
              <w:top w:val="single" w:sz="4" w:space="0" w:color="auto"/>
              <w:left w:val="nil"/>
              <w:bottom w:val="single" w:sz="4" w:space="0" w:color="auto"/>
              <w:right w:val="single" w:sz="4" w:space="0" w:color="auto"/>
            </w:tcBorders>
            <w:shd w:val="clear" w:color="auto" w:fill="auto"/>
            <w:vAlign w:val="center"/>
          </w:tcPr>
          <w:p w:rsidR="00643CFB" w:rsidRPr="00643CFB" w:rsidP="00643CFB" w14:paraId="6541C770" w14:textId="4272D886">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2</w:t>
            </w:r>
          </w:p>
        </w:tc>
        <w:tc>
          <w:tcPr>
            <w:tcW w:w="971" w:type="dxa"/>
            <w:tcBorders>
              <w:top w:val="single" w:sz="4" w:space="0" w:color="auto"/>
              <w:left w:val="nil"/>
              <w:bottom w:val="single" w:sz="4" w:space="0" w:color="auto"/>
              <w:right w:val="single" w:sz="4" w:space="0" w:color="auto"/>
            </w:tcBorders>
            <w:shd w:val="clear" w:color="auto" w:fill="auto"/>
            <w:vAlign w:val="center"/>
          </w:tcPr>
          <w:p w:rsidR="00643CFB" w:rsidRPr="00643CFB" w:rsidP="00643CFB" w14:paraId="278D0581" w14:textId="25F55C42">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5,000</w:t>
            </w:r>
          </w:p>
        </w:tc>
      </w:tr>
      <w:tr w14:paraId="0C6AF11D" w14:textId="77777777" w:rsidTr="00AA217D">
        <w:tblPrEx>
          <w:tblW w:w="8721" w:type="dxa"/>
          <w:tblInd w:w="715" w:type="dxa"/>
          <w:tblLayout w:type="fixed"/>
          <w:tblLook w:val="04A0"/>
        </w:tblPrEx>
        <w:trPr>
          <w:trHeight w:val="800"/>
        </w:trPr>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rsidR="000063F7" w:rsidRPr="00F841ED" w:rsidP="00F30518" w14:paraId="1C11E3D3" w14:textId="75912614">
            <w:pPr>
              <w:widowControl/>
              <w:autoSpaceDE/>
              <w:autoSpaceDN/>
              <w:adjustRightInd/>
              <w:jc w:val="center"/>
              <w:rPr>
                <w:rFonts w:ascii="Arial Narrow" w:hAnsi="Arial Narrow"/>
                <w:b/>
                <w:color w:val="000000"/>
                <w:sz w:val="18"/>
                <w:szCs w:val="18"/>
              </w:rPr>
            </w:pPr>
            <w:r>
              <w:rPr>
                <w:rFonts w:ascii="Arial Narrow" w:hAnsi="Arial Narrow"/>
                <w:b/>
                <w:color w:val="000000"/>
                <w:sz w:val="18"/>
                <w:szCs w:val="18"/>
              </w:rPr>
              <w:t>TOTAL</w:t>
            </w:r>
          </w:p>
        </w:tc>
        <w:tc>
          <w:tcPr>
            <w:tcW w:w="2150" w:type="dxa"/>
            <w:tcBorders>
              <w:top w:val="single" w:sz="4" w:space="0" w:color="auto"/>
              <w:left w:val="nil"/>
              <w:bottom w:val="single" w:sz="4" w:space="0" w:color="auto"/>
              <w:right w:val="single" w:sz="4" w:space="0" w:color="auto"/>
            </w:tcBorders>
            <w:shd w:val="clear" w:color="auto" w:fill="auto"/>
            <w:vAlign w:val="center"/>
          </w:tcPr>
          <w:p w:rsidR="000063F7" w:rsidRPr="00F841ED" w:rsidP="00F30518" w14:paraId="755DD32A" w14:textId="77777777">
            <w:pPr>
              <w:widowControl/>
              <w:autoSpaceDE/>
              <w:autoSpaceDN/>
              <w:adjustRightInd/>
              <w:jc w:val="center"/>
              <w:rPr>
                <w:rFonts w:ascii="Arial Narrow" w:hAnsi="Arial Narrow"/>
                <w:color w:val="000000"/>
                <w:sz w:val="18"/>
                <w:szCs w:val="18"/>
              </w:rPr>
            </w:pPr>
          </w:p>
        </w:tc>
        <w:tc>
          <w:tcPr>
            <w:tcW w:w="1217" w:type="dxa"/>
            <w:tcBorders>
              <w:top w:val="single" w:sz="4" w:space="0" w:color="auto"/>
              <w:left w:val="nil"/>
              <w:bottom w:val="single" w:sz="4" w:space="0" w:color="auto"/>
              <w:right w:val="single" w:sz="4" w:space="0" w:color="auto"/>
            </w:tcBorders>
            <w:shd w:val="clear" w:color="auto" w:fill="auto"/>
            <w:vAlign w:val="center"/>
          </w:tcPr>
          <w:p w:rsidR="000063F7" w:rsidP="00F30518" w14:paraId="2B7AF755" w14:textId="79259C96">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2,500</w:t>
            </w:r>
          </w:p>
        </w:tc>
        <w:tc>
          <w:tcPr>
            <w:tcW w:w="1180" w:type="dxa"/>
            <w:tcBorders>
              <w:top w:val="single" w:sz="4" w:space="0" w:color="auto"/>
              <w:left w:val="nil"/>
              <w:bottom w:val="single" w:sz="4" w:space="0" w:color="auto"/>
              <w:right w:val="single" w:sz="4" w:space="0" w:color="auto"/>
            </w:tcBorders>
            <w:shd w:val="clear" w:color="auto" w:fill="auto"/>
            <w:vAlign w:val="center"/>
          </w:tcPr>
          <w:p w:rsidR="000063F7" w:rsidP="00F30518" w14:paraId="276F4222" w14:textId="77777777">
            <w:pPr>
              <w:widowControl/>
              <w:autoSpaceDE/>
              <w:autoSpaceDN/>
              <w:adjustRightInd/>
              <w:jc w:val="center"/>
              <w:rPr>
                <w:rFonts w:ascii="Arial Narrow" w:hAnsi="Arial Narrow"/>
                <w:color w:val="000000"/>
                <w:sz w:val="18"/>
                <w:szCs w:val="18"/>
              </w:rPr>
            </w:pPr>
          </w:p>
        </w:tc>
        <w:tc>
          <w:tcPr>
            <w:tcW w:w="1012" w:type="dxa"/>
            <w:tcBorders>
              <w:top w:val="single" w:sz="4" w:space="0" w:color="auto"/>
              <w:left w:val="nil"/>
              <w:bottom w:val="single" w:sz="4" w:space="0" w:color="auto"/>
              <w:right w:val="single" w:sz="4" w:space="0" w:color="auto"/>
            </w:tcBorders>
            <w:shd w:val="clear" w:color="auto" w:fill="auto"/>
            <w:vAlign w:val="center"/>
          </w:tcPr>
          <w:p w:rsidR="000063F7" w:rsidP="00F30518" w14:paraId="7248EC6A" w14:textId="34638665">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2,500</w:t>
            </w:r>
          </w:p>
        </w:tc>
        <w:tc>
          <w:tcPr>
            <w:tcW w:w="1004" w:type="dxa"/>
            <w:tcBorders>
              <w:top w:val="single" w:sz="4" w:space="0" w:color="auto"/>
              <w:left w:val="nil"/>
              <w:bottom w:val="single" w:sz="4" w:space="0" w:color="auto"/>
              <w:right w:val="single" w:sz="4" w:space="0" w:color="auto"/>
            </w:tcBorders>
            <w:shd w:val="clear" w:color="auto" w:fill="auto"/>
            <w:vAlign w:val="center"/>
          </w:tcPr>
          <w:p w:rsidR="000063F7" w:rsidP="00F30518" w14:paraId="72A28515" w14:textId="77777777">
            <w:pPr>
              <w:widowControl/>
              <w:autoSpaceDE/>
              <w:autoSpaceDN/>
              <w:adjustRightInd/>
              <w:jc w:val="center"/>
              <w:rPr>
                <w:rFonts w:ascii="Arial Narrow" w:hAnsi="Arial Narrow"/>
                <w:color w:val="000000"/>
                <w:sz w:val="18"/>
                <w:szCs w:val="18"/>
              </w:rPr>
            </w:pPr>
          </w:p>
        </w:tc>
        <w:tc>
          <w:tcPr>
            <w:tcW w:w="971" w:type="dxa"/>
            <w:tcBorders>
              <w:top w:val="single" w:sz="4" w:space="0" w:color="auto"/>
              <w:left w:val="nil"/>
              <w:bottom w:val="single" w:sz="4" w:space="0" w:color="auto"/>
              <w:right w:val="single" w:sz="4" w:space="0" w:color="auto"/>
            </w:tcBorders>
            <w:shd w:val="clear" w:color="auto" w:fill="auto"/>
            <w:vAlign w:val="center"/>
          </w:tcPr>
          <w:p w:rsidR="000063F7" w:rsidP="00F30518" w14:paraId="5FD86A17" w14:textId="659E4C1A">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5,000</w:t>
            </w:r>
          </w:p>
        </w:tc>
      </w:tr>
    </w:tbl>
    <w:p w:rsidR="00C5120C" w:rsidP="00D51379" w14:paraId="490C7B4C" w14:textId="78FC6B86">
      <w:pPr>
        <w:tabs>
          <w:tab w:val="left" w:pos="720"/>
        </w:tabs>
        <w:rPr>
          <w:rFonts w:asciiTheme="minorHAnsi" w:hAnsiTheme="minorHAnsi"/>
          <w:b/>
          <w:bCs/>
          <w:sz w:val="22"/>
          <w:szCs w:val="22"/>
        </w:rPr>
      </w:pPr>
    </w:p>
    <w:p w:rsidR="00392903" w:rsidRPr="00F530C8" w:rsidP="00C5120C" w14:paraId="33CD129E" w14:textId="77777777">
      <w:pPr>
        <w:tabs>
          <w:tab w:val="left" w:pos="720"/>
        </w:tabs>
        <w:ind w:left="720" w:hanging="720"/>
        <w:rPr>
          <w:rFonts w:asciiTheme="minorHAnsi" w:hAnsiTheme="minorHAnsi"/>
          <w:b/>
          <w:bCs/>
          <w:sz w:val="22"/>
          <w:szCs w:val="22"/>
        </w:rPr>
      </w:pPr>
    </w:p>
    <w:p w:rsidR="00067742" w:rsidRPr="00F530C8" w:rsidP="00C076C8" w14:paraId="34E1C3CA" w14:textId="20CE78B7">
      <w:pPr>
        <w:numPr>
          <w:ilvl w:val="0"/>
          <w:numId w:val="4"/>
        </w:numPr>
        <w:tabs>
          <w:tab w:val="left" w:pos="720"/>
        </w:tabs>
        <w:ind w:hanging="720"/>
        <w:rPr>
          <w:rFonts w:asciiTheme="minorHAnsi" w:hAnsiTheme="minorHAnsi"/>
          <w:b/>
          <w:bCs/>
          <w:sz w:val="22"/>
          <w:szCs w:val="22"/>
        </w:rPr>
      </w:pPr>
      <w:r w:rsidRPr="008F75D5">
        <w:rPr>
          <w:rFonts w:asciiTheme="minorHAnsi" w:hAnsiTheme="minorHAnsi"/>
          <w:b/>
          <w:bCs/>
          <w:sz w:val="22"/>
          <w:szCs w:val="22"/>
          <w:u w:val="single"/>
        </w:rPr>
        <w:t>ESTIMATED</w:t>
      </w:r>
      <w:r w:rsidRPr="00F530C8">
        <w:rPr>
          <w:rFonts w:asciiTheme="minorHAnsi" w:hAnsiTheme="minorHAnsi"/>
          <w:b/>
          <w:bCs/>
          <w:sz w:val="22"/>
          <w:szCs w:val="22"/>
          <w:u w:val="single"/>
        </w:rPr>
        <w:t xml:space="preserve"> TOTAL ANNUAL COST BURDEN TO RESPONDENTS</w:t>
      </w:r>
    </w:p>
    <w:p w:rsidR="00067742" w:rsidRPr="00F530C8" w:rsidP="00C076C8" w14:paraId="5420DEFE" w14:textId="77777777">
      <w:pPr>
        <w:tabs>
          <w:tab w:val="left" w:pos="720"/>
        </w:tabs>
        <w:ind w:left="720" w:hanging="720"/>
        <w:rPr>
          <w:rFonts w:asciiTheme="minorHAnsi" w:hAnsiTheme="minorHAnsi"/>
          <w:sz w:val="22"/>
          <w:szCs w:val="22"/>
        </w:rPr>
      </w:pPr>
      <w:bookmarkStart w:id="6" w:name="_Hlk524897593"/>
    </w:p>
    <w:p w:rsidR="00421E3F" w:rsidP="002E07C9" w14:paraId="0C17A279" w14:textId="03B57CA4">
      <w:pPr>
        <w:widowControl/>
        <w:tabs>
          <w:tab w:val="left" w:pos="720"/>
        </w:tabs>
        <w:autoSpaceDE/>
        <w:autoSpaceDN/>
        <w:adjustRightInd/>
        <w:ind w:left="720"/>
        <w:rPr>
          <w:rFonts w:asciiTheme="minorHAnsi" w:eastAsiaTheme="minorHAnsi" w:hAnsiTheme="minorHAnsi" w:cstheme="minorBidi"/>
          <w:sz w:val="22"/>
          <w:szCs w:val="22"/>
        </w:rPr>
      </w:pPr>
      <w:bookmarkStart w:id="7" w:name="_Hlk89075379"/>
      <w:bookmarkStart w:id="8" w:name="_Hlk89075348"/>
      <w:r>
        <w:rPr>
          <w:rFonts w:asciiTheme="minorHAnsi" w:eastAsiaTheme="minorHAnsi" w:hAnsiTheme="minorHAnsi" w:cstheme="minorBidi"/>
          <w:sz w:val="22"/>
          <w:szCs w:val="22"/>
        </w:rPr>
        <w:t xml:space="preserve">IRS </w:t>
      </w:r>
      <w:r w:rsidR="009F46A2">
        <w:rPr>
          <w:rFonts w:asciiTheme="minorHAnsi" w:eastAsiaTheme="minorHAnsi" w:hAnsiTheme="minorHAnsi" w:cstheme="minorBidi"/>
          <w:sz w:val="22"/>
          <w:szCs w:val="22"/>
        </w:rPr>
        <w:t>expects</w:t>
      </w:r>
      <w:r>
        <w:rPr>
          <w:rFonts w:asciiTheme="minorHAnsi" w:eastAsiaTheme="minorHAnsi" w:hAnsiTheme="minorHAnsi" w:cstheme="minorBidi"/>
          <w:sz w:val="22"/>
          <w:szCs w:val="22"/>
        </w:rPr>
        <w:t xml:space="preserve"> there is no</w:t>
      </w:r>
      <w:r w:rsidR="009F46A2">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xml:space="preserve">cost </w:t>
      </w:r>
      <w:r w:rsidR="00862DB8">
        <w:rPr>
          <w:rFonts w:asciiTheme="minorHAnsi" w:eastAsiaTheme="minorHAnsi" w:hAnsiTheme="minorHAnsi" w:cstheme="minorBidi"/>
          <w:sz w:val="22"/>
          <w:szCs w:val="22"/>
        </w:rPr>
        <w:t>imposed by the Federal government</w:t>
      </w:r>
      <w:r w:rsidR="00804AC2">
        <w:rPr>
          <w:rFonts w:asciiTheme="minorHAnsi" w:eastAsiaTheme="minorHAnsi" w:hAnsiTheme="minorHAnsi" w:cstheme="minorBidi"/>
          <w:sz w:val="22"/>
          <w:szCs w:val="22"/>
        </w:rPr>
        <w:t>,</w:t>
      </w:r>
      <w:r>
        <w:rPr>
          <w:rFonts w:asciiTheme="minorHAnsi" w:eastAsiaTheme="minorHAnsi" w:hAnsiTheme="minorHAnsi" w:cstheme="minorBidi"/>
          <w:sz w:val="22"/>
          <w:szCs w:val="22"/>
        </w:rPr>
        <w:t xml:space="preserve"> </w:t>
      </w:r>
      <w:r w:rsidR="00F74BB6">
        <w:rPr>
          <w:rFonts w:asciiTheme="minorHAnsi" w:eastAsiaTheme="minorHAnsi" w:hAnsiTheme="minorHAnsi" w:cstheme="minorBidi"/>
          <w:sz w:val="22"/>
          <w:szCs w:val="22"/>
        </w:rPr>
        <w:t xml:space="preserve">as the annual statement to </w:t>
      </w:r>
      <w:r w:rsidR="00B356C8">
        <w:rPr>
          <w:rFonts w:asciiTheme="minorHAnsi" w:eastAsiaTheme="minorHAnsi" w:hAnsiTheme="minorHAnsi" w:cstheme="minorBidi"/>
          <w:sz w:val="22"/>
          <w:szCs w:val="22"/>
        </w:rPr>
        <w:t xml:space="preserve">state regulators </w:t>
      </w:r>
      <w:r w:rsidR="00F74BB6">
        <w:rPr>
          <w:rFonts w:asciiTheme="minorHAnsi" w:eastAsiaTheme="minorHAnsi" w:hAnsiTheme="minorHAnsi" w:cstheme="minorBidi"/>
          <w:sz w:val="22"/>
          <w:szCs w:val="22"/>
        </w:rPr>
        <w:t xml:space="preserve">are a usual and customary business practice for insurance companies. </w:t>
      </w:r>
    </w:p>
    <w:bookmarkEnd w:id="7"/>
    <w:p w:rsidR="000063F7" w:rsidP="008F75D5" w14:paraId="1E794CB9" w14:textId="66CAD0D1">
      <w:pPr>
        <w:widowControl/>
        <w:tabs>
          <w:tab w:val="left" w:pos="720"/>
        </w:tabs>
        <w:autoSpaceDE/>
        <w:autoSpaceDN/>
        <w:adjustRightInd/>
        <w:ind w:left="720"/>
        <w:rPr>
          <w:rFonts w:asciiTheme="minorHAnsi" w:eastAsiaTheme="minorHAnsi" w:hAnsiTheme="minorHAnsi" w:cstheme="minorBidi"/>
          <w:sz w:val="22"/>
          <w:szCs w:val="22"/>
        </w:rPr>
      </w:pPr>
    </w:p>
    <w:bookmarkEnd w:id="6"/>
    <w:bookmarkEnd w:id="8"/>
    <w:p w:rsidR="00067742" w:rsidRPr="00B27BA4" w:rsidP="00C076C8" w14:paraId="59C073DB" w14:textId="2A124A9E">
      <w:pPr>
        <w:numPr>
          <w:ilvl w:val="0"/>
          <w:numId w:val="4"/>
        </w:numPr>
        <w:tabs>
          <w:tab w:val="left" w:pos="720"/>
        </w:tabs>
        <w:ind w:hanging="720"/>
        <w:rPr>
          <w:rFonts w:asciiTheme="minorHAnsi" w:hAnsiTheme="minorHAnsi"/>
          <w:b/>
          <w:bCs/>
          <w:sz w:val="22"/>
          <w:szCs w:val="22"/>
        </w:rPr>
      </w:pPr>
      <w:r w:rsidRPr="00D23733">
        <w:rPr>
          <w:rFonts w:asciiTheme="minorHAnsi" w:hAnsiTheme="minorHAnsi"/>
          <w:b/>
          <w:bCs/>
          <w:sz w:val="22"/>
          <w:szCs w:val="22"/>
          <w:u w:val="single"/>
        </w:rPr>
        <w:t>ESTIMA</w:t>
      </w:r>
      <w:r w:rsidRPr="00C515A5">
        <w:rPr>
          <w:rFonts w:asciiTheme="minorHAnsi" w:hAnsiTheme="minorHAnsi"/>
          <w:b/>
          <w:bCs/>
          <w:sz w:val="22"/>
          <w:szCs w:val="22"/>
          <w:u w:val="single"/>
        </w:rPr>
        <w:t>TED A</w:t>
      </w:r>
      <w:r w:rsidRPr="00B27BA4">
        <w:rPr>
          <w:rFonts w:asciiTheme="minorHAnsi" w:hAnsiTheme="minorHAnsi"/>
          <w:b/>
          <w:bCs/>
          <w:sz w:val="22"/>
          <w:szCs w:val="22"/>
          <w:u w:val="single"/>
        </w:rPr>
        <w:t>NNUALIZED</w:t>
      </w:r>
      <w:r w:rsidRPr="00F530C8">
        <w:rPr>
          <w:rFonts w:asciiTheme="minorHAnsi" w:hAnsiTheme="minorHAnsi"/>
          <w:b/>
          <w:bCs/>
          <w:sz w:val="22"/>
          <w:szCs w:val="22"/>
          <w:u w:val="single"/>
        </w:rPr>
        <w:t xml:space="preserve"> COST TO THE FEDERAL GOVERNMENT</w:t>
      </w:r>
    </w:p>
    <w:p w:rsidR="00B27BA4" w:rsidP="00B27BA4" w14:paraId="1AC55D40" w14:textId="540C1FC6">
      <w:pPr>
        <w:tabs>
          <w:tab w:val="left" w:pos="720"/>
        </w:tabs>
        <w:rPr>
          <w:rFonts w:asciiTheme="minorHAnsi" w:hAnsiTheme="minorHAnsi"/>
          <w:b/>
          <w:bCs/>
          <w:sz w:val="22"/>
          <w:szCs w:val="22"/>
        </w:rPr>
      </w:pPr>
    </w:p>
    <w:p w:rsidR="003F1252" w:rsidRPr="003F1252" w:rsidP="003F1252" w14:paraId="702BE0AB" w14:textId="6706F4A8">
      <w:pPr>
        <w:widowControl/>
        <w:tabs>
          <w:tab w:val="left" w:pos="720"/>
        </w:tabs>
        <w:autoSpaceDE/>
        <w:autoSpaceDN/>
        <w:adjustRightInd/>
        <w:ind w:left="720"/>
        <w:rPr>
          <w:rFonts w:asciiTheme="minorHAnsi" w:hAnsiTheme="minorHAnsi"/>
          <w:b/>
          <w:bCs/>
          <w:sz w:val="22"/>
          <w:szCs w:val="22"/>
        </w:rPr>
      </w:pPr>
      <w:r>
        <w:rPr>
          <w:rFonts w:asciiTheme="minorHAnsi" w:eastAsiaTheme="minorHAnsi" w:hAnsiTheme="minorHAnsi" w:cstheme="minorBidi"/>
          <w:sz w:val="22"/>
          <w:szCs w:val="22"/>
        </w:rPr>
        <w:t>There is no cost to the Federal government as these are third-party disclosure requirements</w:t>
      </w:r>
      <w:r w:rsidRPr="008F75D5" w:rsidR="004E1B80">
        <w:rPr>
          <w:rFonts w:asciiTheme="minorHAnsi" w:eastAsiaTheme="minorHAnsi" w:hAnsiTheme="minorHAnsi" w:cstheme="minorBidi"/>
          <w:sz w:val="22"/>
          <w:szCs w:val="22"/>
        </w:rPr>
        <w:t xml:space="preserve">.   </w:t>
      </w:r>
      <w:r w:rsidR="004E1B80">
        <w:rPr>
          <w:rFonts w:asciiTheme="minorHAnsi" w:hAnsiTheme="minorHAnsi"/>
          <w:b/>
          <w:bCs/>
          <w:sz w:val="22"/>
          <w:szCs w:val="22"/>
        </w:rPr>
        <w:t xml:space="preserve"> </w:t>
      </w:r>
    </w:p>
    <w:p w:rsidR="00C515A5" w:rsidP="00C515A5" w14:paraId="436F6E2E" w14:textId="77777777">
      <w:pPr>
        <w:ind w:left="360"/>
        <w:rPr>
          <w:rFonts w:asciiTheme="minorHAnsi" w:hAnsiTheme="minorHAnsi"/>
          <w:sz w:val="22"/>
          <w:szCs w:val="22"/>
        </w:rPr>
      </w:pPr>
      <w:bookmarkStart w:id="9" w:name="_Hlk523834409"/>
    </w:p>
    <w:bookmarkEnd w:id="9"/>
    <w:p w:rsidR="00067742" w:rsidRPr="00F530C8" w:rsidP="002174CE" w14:paraId="03958D5B" w14:textId="77777777">
      <w:pPr>
        <w:numPr>
          <w:ilvl w:val="0"/>
          <w:numId w:val="4"/>
        </w:numPr>
        <w:tabs>
          <w:tab w:val="left" w:pos="720"/>
        </w:tabs>
        <w:ind w:hanging="720"/>
        <w:rPr>
          <w:rFonts w:asciiTheme="minorHAnsi" w:hAnsiTheme="minorHAnsi"/>
          <w:b/>
          <w:sz w:val="22"/>
          <w:szCs w:val="22"/>
        </w:rPr>
      </w:pPr>
      <w:r w:rsidRPr="00D23733">
        <w:rPr>
          <w:rFonts w:asciiTheme="minorHAnsi" w:hAnsiTheme="minorHAnsi"/>
          <w:b/>
          <w:bCs/>
          <w:sz w:val="22"/>
          <w:szCs w:val="22"/>
          <w:u w:val="single"/>
        </w:rPr>
        <w:t>REASONS</w:t>
      </w:r>
      <w:r w:rsidRPr="00F530C8">
        <w:rPr>
          <w:rFonts w:asciiTheme="minorHAnsi" w:hAnsiTheme="minorHAnsi"/>
          <w:b/>
          <w:bCs/>
          <w:sz w:val="22"/>
          <w:szCs w:val="22"/>
          <w:u w:val="single"/>
        </w:rPr>
        <w:t xml:space="preserve"> FOR CHANGE IN BURDEN</w:t>
      </w:r>
    </w:p>
    <w:p w:rsidR="00067742" w:rsidRPr="00F530C8" w:rsidP="00C076C8" w14:paraId="1B5C9F46" w14:textId="77777777">
      <w:pPr>
        <w:tabs>
          <w:tab w:val="left" w:pos="720"/>
        </w:tabs>
        <w:ind w:left="720" w:hanging="720"/>
        <w:rPr>
          <w:rFonts w:asciiTheme="minorHAnsi" w:hAnsiTheme="minorHAnsi"/>
          <w:b/>
          <w:sz w:val="22"/>
          <w:szCs w:val="22"/>
        </w:rPr>
      </w:pPr>
    </w:p>
    <w:p w:rsidR="00E337DD" w:rsidP="00085A09" w14:paraId="685A434C" w14:textId="510A5868">
      <w:pPr>
        <w:tabs>
          <w:tab w:val="left" w:pos="720"/>
        </w:tabs>
        <w:ind w:left="720"/>
        <w:rPr>
          <w:rFonts w:asciiTheme="minorHAnsi" w:hAnsiTheme="minorHAnsi"/>
          <w:sz w:val="22"/>
          <w:szCs w:val="22"/>
        </w:rPr>
      </w:pPr>
      <w:r>
        <w:rPr>
          <w:rFonts w:asciiTheme="minorHAnsi" w:hAnsiTheme="minorHAnsi"/>
          <w:sz w:val="22"/>
          <w:szCs w:val="22"/>
        </w:rPr>
        <w:t xml:space="preserve">There are no changes to the </w:t>
      </w:r>
      <w:r w:rsidR="003F1252">
        <w:rPr>
          <w:rFonts w:asciiTheme="minorHAnsi" w:hAnsiTheme="minorHAnsi"/>
          <w:sz w:val="22"/>
          <w:szCs w:val="22"/>
        </w:rPr>
        <w:t>regulation</w:t>
      </w:r>
      <w:r>
        <w:rPr>
          <w:rFonts w:asciiTheme="minorHAnsi" w:hAnsiTheme="minorHAnsi"/>
          <w:sz w:val="22"/>
          <w:szCs w:val="22"/>
        </w:rPr>
        <w:t xml:space="preserve"> that would affect burden at this time. </w:t>
      </w:r>
    </w:p>
    <w:p w:rsidR="00C33A48" w:rsidRPr="00C33A48" w:rsidP="00C076C8" w14:paraId="620406BA" w14:textId="77777777">
      <w:pPr>
        <w:tabs>
          <w:tab w:val="left" w:pos="720"/>
        </w:tabs>
        <w:ind w:left="720" w:hanging="720"/>
        <w:rPr>
          <w:rFonts w:asciiTheme="minorHAnsi" w:hAnsiTheme="minorHAnsi"/>
          <w:b/>
          <w:sz w:val="20"/>
          <w:szCs w:val="20"/>
        </w:rPr>
      </w:pPr>
    </w:p>
    <w:p w:rsidR="00067742" w:rsidRPr="00F530C8" w:rsidP="00C076C8" w14:paraId="1DA3DBDC" w14:textId="77777777">
      <w:pPr>
        <w:numPr>
          <w:ilvl w:val="0"/>
          <w:numId w:val="4"/>
        </w:numPr>
        <w:tabs>
          <w:tab w:val="left" w:pos="720"/>
        </w:tabs>
        <w:ind w:hanging="720"/>
        <w:rPr>
          <w:rFonts w:asciiTheme="minorHAnsi" w:hAnsiTheme="minorHAnsi"/>
          <w:b/>
          <w:sz w:val="22"/>
          <w:szCs w:val="22"/>
        </w:rPr>
      </w:pPr>
      <w:r w:rsidRPr="00F530C8">
        <w:rPr>
          <w:rFonts w:asciiTheme="minorHAnsi" w:hAnsiTheme="minorHAnsi"/>
          <w:b/>
          <w:bCs/>
          <w:sz w:val="22"/>
          <w:szCs w:val="22"/>
          <w:u w:val="single"/>
        </w:rPr>
        <w:t>PLANS FOR TABULATION, STATISTICAL ANALYSIS AND PUBLICATION</w:t>
      </w:r>
    </w:p>
    <w:p w:rsidR="00067742" w:rsidRPr="00F530C8" w:rsidP="00C076C8" w14:paraId="32364809" w14:textId="77777777">
      <w:pPr>
        <w:tabs>
          <w:tab w:val="left" w:pos="720"/>
        </w:tabs>
        <w:ind w:left="720" w:hanging="720"/>
        <w:rPr>
          <w:rFonts w:asciiTheme="minorHAnsi" w:hAnsiTheme="minorHAnsi"/>
          <w:b/>
          <w:sz w:val="22"/>
          <w:szCs w:val="22"/>
        </w:rPr>
      </w:pPr>
    </w:p>
    <w:p w:rsidR="00421E3F" w:rsidRPr="00F530C8" w:rsidP="00421E3F" w14:paraId="67765530" w14:textId="56A52C16">
      <w:pPr>
        <w:spacing w:line="228" w:lineRule="auto"/>
        <w:ind w:firstLine="720"/>
        <w:rPr>
          <w:rFonts w:asciiTheme="minorHAnsi" w:hAnsiTheme="minorHAnsi"/>
          <w:sz w:val="22"/>
          <w:szCs w:val="22"/>
        </w:rPr>
      </w:pPr>
      <w:r w:rsidRPr="00F530C8">
        <w:rPr>
          <w:rFonts w:asciiTheme="minorHAnsi" w:hAnsiTheme="minorHAnsi"/>
          <w:sz w:val="22"/>
          <w:szCs w:val="22"/>
        </w:rPr>
        <w:t>There are no plans for tabulation, statistical analysis</w:t>
      </w:r>
      <w:r w:rsidR="005C1464">
        <w:rPr>
          <w:rFonts w:asciiTheme="minorHAnsi" w:hAnsiTheme="minorHAnsi"/>
          <w:sz w:val="22"/>
          <w:szCs w:val="22"/>
        </w:rPr>
        <w:t>,</w:t>
      </w:r>
      <w:r w:rsidRPr="00F530C8">
        <w:rPr>
          <w:rFonts w:asciiTheme="minorHAnsi" w:hAnsiTheme="minorHAnsi"/>
          <w:sz w:val="22"/>
          <w:szCs w:val="22"/>
        </w:rPr>
        <w:t xml:space="preserve"> and publication.</w:t>
      </w:r>
    </w:p>
    <w:p w:rsidR="005C0C47" w:rsidRPr="00ED18D6" w:rsidP="00ED18D6" w14:paraId="41AEFD10" w14:textId="77777777">
      <w:pPr>
        <w:spacing w:line="228" w:lineRule="auto"/>
        <w:ind w:firstLine="720"/>
        <w:rPr>
          <w:rFonts w:asciiTheme="minorHAnsi" w:hAnsiTheme="minorHAnsi"/>
          <w:sz w:val="22"/>
          <w:szCs w:val="22"/>
        </w:rPr>
      </w:pPr>
    </w:p>
    <w:p w:rsidR="00067742" w:rsidRPr="00F530C8" w:rsidP="00C076C8" w14:paraId="712F147E" w14:textId="77777777">
      <w:pPr>
        <w:numPr>
          <w:ilvl w:val="0"/>
          <w:numId w:val="4"/>
        </w:numPr>
        <w:tabs>
          <w:tab w:val="left" w:pos="720"/>
        </w:tabs>
        <w:ind w:hanging="720"/>
        <w:rPr>
          <w:rFonts w:asciiTheme="minorHAnsi" w:hAnsiTheme="minorHAnsi"/>
          <w:b/>
          <w:bCs/>
          <w:sz w:val="22"/>
          <w:szCs w:val="22"/>
        </w:rPr>
      </w:pPr>
      <w:r w:rsidRPr="00F530C8">
        <w:rPr>
          <w:rFonts w:asciiTheme="minorHAnsi" w:hAnsiTheme="minorHAnsi"/>
          <w:b/>
          <w:bCs/>
          <w:sz w:val="22"/>
          <w:szCs w:val="22"/>
          <w:u w:val="single"/>
        </w:rPr>
        <w:t>REASONS WHY DISPLAYING THE OMB EXPIRATION DATE IS</w:t>
      </w:r>
      <w:r w:rsidRPr="00F530C8" w:rsidR="00C076C8">
        <w:rPr>
          <w:rFonts w:asciiTheme="minorHAnsi" w:hAnsiTheme="minorHAnsi"/>
          <w:b/>
          <w:bCs/>
          <w:sz w:val="22"/>
          <w:szCs w:val="22"/>
          <w:u w:val="single"/>
        </w:rPr>
        <w:t xml:space="preserve"> </w:t>
      </w:r>
      <w:r w:rsidRPr="00F530C8">
        <w:rPr>
          <w:rFonts w:asciiTheme="minorHAnsi" w:hAnsiTheme="minorHAnsi"/>
          <w:b/>
          <w:bCs/>
          <w:sz w:val="22"/>
          <w:szCs w:val="22"/>
          <w:u w:val="single"/>
        </w:rPr>
        <w:t>INAPPROPRIATE</w:t>
      </w:r>
    </w:p>
    <w:p w:rsidR="00067742" w:rsidRPr="00F530C8" w:rsidP="00C076C8" w14:paraId="36322321" w14:textId="77777777">
      <w:pPr>
        <w:tabs>
          <w:tab w:val="left" w:pos="720"/>
        </w:tabs>
        <w:ind w:left="720" w:hanging="720"/>
        <w:rPr>
          <w:rFonts w:asciiTheme="minorHAnsi" w:hAnsiTheme="minorHAnsi"/>
          <w:sz w:val="22"/>
          <w:szCs w:val="22"/>
        </w:rPr>
      </w:pPr>
    </w:p>
    <w:p w:rsidR="00421E3F" w:rsidP="00085A09" w14:paraId="3C7A7E7B" w14:textId="03902553">
      <w:pPr>
        <w:tabs>
          <w:tab w:val="num" w:pos="720"/>
        </w:tabs>
        <w:ind w:left="720"/>
        <w:rPr>
          <w:rFonts w:asciiTheme="minorHAnsi" w:hAnsiTheme="minorHAnsi"/>
          <w:sz w:val="22"/>
          <w:szCs w:val="22"/>
        </w:rPr>
      </w:pPr>
      <w:r>
        <w:rPr>
          <w:rFonts w:asciiTheme="minorHAnsi" w:hAnsiTheme="minorHAnsi"/>
          <w:sz w:val="22"/>
          <w:szCs w:val="22"/>
        </w:rPr>
        <w:t>The</w:t>
      </w:r>
      <w:r w:rsidRPr="00F530C8">
        <w:rPr>
          <w:rFonts w:asciiTheme="minorHAnsi" w:hAnsiTheme="minorHAnsi"/>
          <w:sz w:val="22"/>
          <w:szCs w:val="22"/>
        </w:rPr>
        <w:t xml:space="preserve"> </w:t>
      </w:r>
      <w:r>
        <w:rPr>
          <w:rFonts w:asciiTheme="minorHAnsi" w:hAnsiTheme="minorHAnsi"/>
          <w:sz w:val="22"/>
          <w:szCs w:val="22"/>
        </w:rPr>
        <w:t xml:space="preserve">agency </w:t>
      </w:r>
      <w:r w:rsidRPr="00F530C8">
        <w:rPr>
          <w:rFonts w:asciiTheme="minorHAnsi" w:hAnsiTheme="minorHAnsi"/>
          <w:sz w:val="22"/>
          <w:szCs w:val="22"/>
        </w:rPr>
        <w:t>believe</w:t>
      </w:r>
      <w:r>
        <w:rPr>
          <w:rFonts w:asciiTheme="minorHAnsi" w:hAnsiTheme="minorHAnsi"/>
          <w:sz w:val="22"/>
          <w:szCs w:val="22"/>
        </w:rPr>
        <w:t>s</w:t>
      </w:r>
      <w:r w:rsidRPr="00F530C8">
        <w:rPr>
          <w:rFonts w:asciiTheme="minorHAnsi" w:hAnsiTheme="minorHAnsi"/>
          <w:sz w:val="22"/>
          <w:szCs w:val="22"/>
        </w:rPr>
        <w:t xml:space="preserve"> that displaying the OMB expiration date is inappropriate because it would cause confusion by leading taxpayers to believe that the </w:t>
      </w:r>
      <w:r w:rsidR="006F20FD">
        <w:rPr>
          <w:rFonts w:asciiTheme="minorHAnsi" w:hAnsiTheme="minorHAnsi"/>
          <w:sz w:val="22"/>
          <w:szCs w:val="22"/>
        </w:rPr>
        <w:t>collection</w:t>
      </w:r>
      <w:r w:rsidRPr="00F530C8" w:rsidR="006F20FD">
        <w:rPr>
          <w:rFonts w:asciiTheme="minorHAnsi" w:hAnsiTheme="minorHAnsi"/>
          <w:sz w:val="22"/>
          <w:szCs w:val="22"/>
        </w:rPr>
        <w:t xml:space="preserve"> </w:t>
      </w:r>
      <w:r w:rsidRPr="00F530C8">
        <w:rPr>
          <w:rFonts w:asciiTheme="minorHAnsi" w:hAnsiTheme="minorHAnsi"/>
          <w:sz w:val="22"/>
          <w:szCs w:val="22"/>
        </w:rPr>
        <w:t>sunsets as of the expiration date.  Taxpayers may not be aware that the IRS intends to request renewal of the OMB approval and obtain a new expiration date before the old one expires.</w:t>
      </w:r>
    </w:p>
    <w:p w:rsidR="000063F7" w:rsidP="00085A09" w14:paraId="41D2F08F" w14:textId="6D8CC7AD">
      <w:pPr>
        <w:tabs>
          <w:tab w:val="num" w:pos="720"/>
        </w:tabs>
        <w:ind w:left="720"/>
        <w:rPr>
          <w:rFonts w:asciiTheme="minorHAnsi" w:hAnsiTheme="minorHAnsi"/>
          <w:sz w:val="22"/>
          <w:szCs w:val="22"/>
        </w:rPr>
      </w:pPr>
    </w:p>
    <w:p w:rsidR="00067742" w:rsidRPr="00ED18D6" w:rsidP="00C076C8" w14:paraId="08D3CBAC" w14:textId="0F0A7338">
      <w:pPr>
        <w:numPr>
          <w:ilvl w:val="0"/>
          <w:numId w:val="4"/>
        </w:numPr>
        <w:tabs>
          <w:tab w:val="left" w:pos="720"/>
        </w:tabs>
        <w:ind w:hanging="720"/>
        <w:rPr>
          <w:rFonts w:asciiTheme="minorHAnsi" w:hAnsiTheme="minorHAnsi"/>
          <w:sz w:val="22"/>
          <w:szCs w:val="22"/>
        </w:rPr>
      </w:pPr>
      <w:r w:rsidRPr="00F530C8">
        <w:rPr>
          <w:rFonts w:asciiTheme="minorHAnsi" w:hAnsiTheme="minorHAnsi"/>
          <w:b/>
          <w:bCs/>
          <w:sz w:val="22"/>
          <w:szCs w:val="22"/>
          <w:u w:val="single"/>
        </w:rPr>
        <w:t xml:space="preserve">EXCEPTIONS TO THE CERTIFICATION STATEMENT </w:t>
      </w:r>
    </w:p>
    <w:p w:rsidR="005C0C47" w:rsidRPr="00F530C8" w:rsidP="00ED18D6" w14:paraId="40393DFB" w14:textId="77777777">
      <w:pPr>
        <w:tabs>
          <w:tab w:val="left" w:pos="720"/>
        </w:tabs>
        <w:ind w:left="720"/>
        <w:rPr>
          <w:rFonts w:asciiTheme="minorHAnsi" w:hAnsiTheme="minorHAnsi"/>
          <w:sz w:val="22"/>
          <w:szCs w:val="22"/>
        </w:rPr>
      </w:pPr>
    </w:p>
    <w:p w:rsidR="00067742" w:rsidRPr="00F530C8" w:rsidP="00085A09" w14:paraId="6F0B9E5F" w14:textId="44A18D34">
      <w:pPr>
        <w:tabs>
          <w:tab w:val="left" w:pos="720"/>
        </w:tabs>
        <w:ind w:left="720"/>
        <w:rPr>
          <w:rFonts w:asciiTheme="minorHAnsi" w:hAnsiTheme="minorHAnsi"/>
          <w:sz w:val="22"/>
          <w:szCs w:val="22"/>
        </w:rPr>
      </w:pPr>
      <w:r w:rsidRPr="00F530C8">
        <w:rPr>
          <w:rFonts w:asciiTheme="minorHAnsi" w:hAnsiTheme="minorHAnsi"/>
          <w:sz w:val="22"/>
          <w:szCs w:val="22"/>
        </w:rPr>
        <w:t>There are no exceptions to the certification statement for this collection</w:t>
      </w:r>
      <w:r w:rsidRPr="00F530C8" w:rsidR="005C0C47">
        <w:rPr>
          <w:rFonts w:asciiTheme="minorHAnsi" w:hAnsiTheme="minorHAnsi"/>
          <w:sz w:val="22"/>
          <w:szCs w:val="22"/>
        </w:rPr>
        <w:t>.</w:t>
      </w:r>
    </w:p>
    <w:p w:rsidR="00067742" w:rsidRPr="00346083" w:rsidP="00C076C8" w14:paraId="238685FE" w14:textId="77777777">
      <w:pPr>
        <w:tabs>
          <w:tab w:val="left" w:pos="720"/>
        </w:tabs>
        <w:ind w:left="720" w:hanging="720"/>
        <w:rPr>
          <w:rFonts w:asciiTheme="minorHAnsi" w:hAnsiTheme="minorHAnsi"/>
          <w:b/>
          <w:bCs/>
          <w:sz w:val="22"/>
          <w:szCs w:val="22"/>
        </w:rPr>
      </w:pPr>
    </w:p>
    <w:p w:rsidR="00067742" w:rsidRPr="00F530C8" w:rsidP="007C74D2" w14:paraId="45EDC2B1" w14:textId="6F3A5A81">
      <w:pPr>
        <w:tabs>
          <w:tab w:val="left" w:pos="720"/>
        </w:tabs>
        <w:ind w:left="720" w:hanging="720"/>
        <w:rPr>
          <w:rFonts w:asciiTheme="minorHAnsi" w:hAnsiTheme="minorHAnsi"/>
          <w:sz w:val="22"/>
          <w:szCs w:val="22"/>
        </w:rPr>
      </w:pPr>
      <w:r w:rsidRPr="00346083">
        <w:rPr>
          <w:rFonts w:asciiTheme="minorHAnsi" w:hAnsiTheme="minorHAnsi"/>
          <w:b/>
          <w:bCs/>
          <w:sz w:val="22"/>
          <w:szCs w:val="22"/>
        </w:rPr>
        <w:tab/>
      </w:r>
    </w:p>
    <w:sectPr w:rsidSect="00ED27C8">
      <w:footerReference w:type="default" r:id="rId5"/>
      <w:type w:val="continuous"/>
      <w:pgSz w:w="12240" w:h="15840"/>
      <w:pgMar w:top="1368" w:right="1368" w:bottom="1368" w:left="1368"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Helvetica Wor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4CE" w:rsidP="002174CE" w14:paraId="0036955B" w14:textId="75B00FBF">
    <w:pPr>
      <w:pStyle w:val="Footer"/>
      <w:jc w:val="right"/>
    </w:pPr>
    <w:r>
      <w:fldChar w:fldCharType="begin"/>
    </w:r>
    <w:r>
      <w:instrText xml:space="preserve"> PAGE   \* MERGEFORMAT </w:instrText>
    </w:r>
    <w:r>
      <w:fldChar w:fldCharType="separate"/>
    </w:r>
    <w:r w:rsidR="00AD47CC">
      <w:rPr>
        <w:noProof/>
      </w:rPr>
      <w:t>1</w:t>
    </w:r>
    <w:r>
      <w:rPr>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EC7F8C"/>
    <w:multiLevelType w:val="hybridMultilevel"/>
    <w:tmpl w:val="39329A7C"/>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1DC2F33"/>
    <w:multiLevelType w:val="hybridMultilevel"/>
    <w:tmpl w:val="5FA6DE86"/>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86F01CD"/>
    <w:multiLevelType w:val="hybridMultilevel"/>
    <w:tmpl w:val="ABD2430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85B19ED"/>
    <w:multiLevelType w:val="hybridMultilevel"/>
    <w:tmpl w:val="E54C5C20"/>
    <w:lvl w:ilvl="0">
      <w:start w:val="1"/>
      <w:numFmt w:val="decimal"/>
      <w:lvlText w:val="%1."/>
      <w:lvlJc w:val="left"/>
      <w:pPr>
        <w:ind w:left="378" w:hanging="360"/>
      </w:pPr>
      <w:rPr>
        <w:rFonts w:hint="default"/>
      </w:rPr>
    </w:lvl>
    <w:lvl w:ilvl="1" w:tentative="1">
      <w:start w:val="1"/>
      <w:numFmt w:val="lowerLetter"/>
      <w:lvlText w:val="%2."/>
      <w:lvlJc w:val="left"/>
      <w:pPr>
        <w:ind w:left="1098" w:hanging="360"/>
      </w:pPr>
    </w:lvl>
    <w:lvl w:ilvl="2" w:tentative="1">
      <w:start w:val="1"/>
      <w:numFmt w:val="lowerRoman"/>
      <w:lvlText w:val="%3."/>
      <w:lvlJc w:val="right"/>
      <w:pPr>
        <w:ind w:left="1818" w:hanging="180"/>
      </w:pPr>
    </w:lvl>
    <w:lvl w:ilvl="3" w:tentative="1">
      <w:start w:val="1"/>
      <w:numFmt w:val="decimal"/>
      <w:lvlText w:val="%4."/>
      <w:lvlJc w:val="left"/>
      <w:pPr>
        <w:ind w:left="2538" w:hanging="360"/>
      </w:pPr>
    </w:lvl>
    <w:lvl w:ilvl="4" w:tentative="1">
      <w:start w:val="1"/>
      <w:numFmt w:val="lowerLetter"/>
      <w:lvlText w:val="%5."/>
      <w:lvlJc w:val="left"/>
      <w:pPr>
        <w:ind w:left="3258" w:hanging="360"/>
      </w:pPr>
    </w:lvl>
    <w:lvl w:ilvl="5" w:tentative="1">
      <w:start w:val="1"/>
      <w:numFmt w:val="lowerRoman"/>
      <w:lvlText w:val="%6."/>
      <w:lvlJc w:val="right"/>
      <w:pPr>
        <w:ind w:left="3978" w:hanging="180"/>
      </w:pPr>
    </w:lvl>
    <w:lvl w:ilvl="6" w:tentative="1">
      <w:start w:val="1"/>
      <w:numFmt w:val="decimal"/>
      <w:lvlText w:val="%7."/>
      <w:lvlJc w:val="left"/>
      <w:pPr>
        <w:ind w:left="4698" w:hanging="360"/>
      </w:pPr>
    </w:lvl>
    <w:lvl w:ilvl="7" w:tentative="1">
      <w:start w:val="1"/>
      <w:numFmt w:val="lowerLetter"/>
      <w:lvlText w:val="%8."/>
      <w:lvlJc w:val="left"/>
      <w:pPr>
        <w:ind w:left="5418" w:hanging="360"/>
      </w:pPr>
    </w:lvl>
    <w:lvl w:ilvl="8" w:tentative="1">
      <w:start w:val="1"/>
      <w:numFmt w:val="lowerRoman"/>
      <w:lvlText w:val="%9."/>
      <w:lvlJc w:val="right"/>
      <w:pPr>
        <w:ind w:left="6138" w:hanging="180"/>
      </w:pPr>
    </w:lvl>
  </w:abstractNum>
  <w:num w:numId="1" w16cid:durableId="255745598">
    <w:abstractNumId w:val="3"/>
  </w:num>
  <w:num w:numId="2" w16cid:durableId="764038537">
    <w:abstractNumId w:val="2"/>
  </w:num>
  <w:num w:numId="3" w16cid:durableId="88359169">
    <w:abstractNumId w:val="1"/>
  </w:num>
  <w:num w:numId="4" w16cid:durableId="613295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42"/>
    <w:rsid w:val="000063F7"/>
    <w:rsid w:val="00010B11"/>
    <w:rsid w:val="00032928"/>
    <w:rsid w:val="00047528"/>
    <w:rsid w:val="00067742"/>
    <w:rsid w:val="00085A09"/>
    <w:rsid w:val="00125D6B"/>
    <w:rsid w:val="001334D5"/>
    <w:rsid w:val="00153BDF"/>
    <w:rsid w:val="00164935"/>
    <w:rsid w:val="0017274F"/>
    <w:rsid w:val="001D4A3C"/>
    <w:rsid w:val="002157B5"/>
    <w:rsid w:val="002174CE"/>
    <w:rsid w:val="00224A9D"/>
    <w:rsid w:val="00230999"/>
    <w:rsid w:val="00285661"/>
    <w:rsid w:val="002952FE"/>
    <w:rsid w:val="002C7558"/>
    <w:rsid w:val="002E07C9"/>
    <w:rsid w:val="002E556F"/>
    <w:rsid w:val="00304760"/>
    <w:rsid w:val="00305B3E"/>
    <w:rsid w:val="00324A3B"/>
    <w:rsid w:val="00331F12"/>
    <w:rsid w:val="00346083"/>
    <w:rsid w:val="00392903"/>
    <w:rsid w:val="003D33B0"/>
    <w:rsid w:val="003E560A"/>
    <w:rsid w:val="003F1252"/>
    <w:rsid w:val="00415252"/>
    <w:rsid w:val="00421E3F"/>
    <w:rsid w:val="00442C61"/>
    <w:rsid w:val="00453409"/>
    <w:rsid w:val="004E1299"/>
    <w:rsid w:val="004E1B80"/>
    <w:rsid w:val="004F2A21"/>
    <w:rsid w:val="005441DC"/>
    <w:rsid w:val="00554B1E"/>
    <w:rsid w:val="005779A3"/>
    <w:rsid w:val="005A26D5"/>
    <w:rsid w:val="005C06AA"/>
    <w:rsid w:val="005C0C47"/>
    <w:rsid w:val="005C1464"/>
    <w:rsid w:val="005F1D18"/>
    <w:rsid w:val="00637E67"/>
    <w:rsid w:val="00643CFB"/>
    <w:rsid w:val="00694D3D"/>
    <w:rsid w:val="006F20FD"/>
    <w:rsid w:val="006F5205"/>
    <w:rsid w:val="007131A6"/>
    <w:rsid w:val="00724CA7"/>
    <w:rsid w:val="0078668E"/>
    <w:rsid w:val="00786FAB"/>
    <w:rsid w:val="00791E96"/>
    <w:rsid w:val="007C74D2"/>
    <w:rsid w:val="00804AC2"/>
    <w:rsid w:val="00817F40"/>
    <w:rsid w:val="00862DB8"/>
    <w:rsid w:val="00865757"/>
    <w:rsid w:val="00895958"/>
    <w:rsid w:val="008C739B"/>
    <w:rsid w:val="008E079F"/>
    <w:rsid w:val="008F75D5"/>
    <w:rsid w:val="00926740"/>
    <w:rsid w:val="00931C0C"/>
    <w:rsid w:val="00957495"/>
    <w:rsid w:val="009A6027"/>
    <w:rsid w:val="009F46A2"/>
    <w:rsid w:val="00A432BF"/>
    <w:rsid w:val="00A632C6"/>
    <w:rsid w:val="00A66906"/>
    <w:rsid w:val="00A73900"/>
    <w:rsid w:val="00A75FAF"/>
    <w:rsid w:val="00AA217D"/>
    <w:rsid w:val="00AB7031"/>
    <w:rsid w:val="00AC046A"/>
    <w:rsid w:val="00AD47CC"/>
    <w:rsid w:val="00AE1D32"/>
    <w:rsid w:val="00AE2DF3"/>
    <w:rsid w:val="00AF76C3"/>
    <w:rsid w:val="00B134FB"/>
    <w:rsid w:val="00B164D4"/>
    <w:rsid w:val="00B27BA4"/>
    <w:rsid w:val="00B356C8"/>
    <w:rsid w:val="00B6720C"/>
    <w:rsid w:val="00B953EE"/>
    <w:rsid w:val="00B978EF"/>
    <w:rsid w:val="00BE07D3"/>
    <w:rsid w:val="00BE2BAB"/>
    <w:rsid w:val="00BE5838"/>
    <w:rsid w:val="00BE6C13"/>
    <w:rsid w:val="00C04F5A"/>
    <w:rsid w:val="00C076C8"/>
    <w:rsid w:val="00C14DF1"/>
    <w:rsid w:val="00C17C03"/>
    <w:rsid w:val="00C24CE6"/>
    <w:rsid w:val="00C33A48"/>
    <w:rsid w:val="00C468C2"/>
    <w:rsid w:val="00C5120C"/>
    <w:rsid w:val="00C515A5"/>
    <w:rsid w:val="00C5228F"/>
    <w:rsid w:val="00C52684"/>
    <w:rsid w:val="00C611EA"/>
    <w:rsid w:val="00C82FFC"/>
    <w:rsid w:val="00C91DF3"/>
    <w:rsid w:val="00C94228"/>
    <w:rsid w:val="00CA0ABE"/>
    <w:rsid w:val="00CA7758"/>
    <w:rsid w:val="00CD6C2F"/>
    <w:rsid w:val="00CD796A"/>
    <w:rsid w:val="00CE2EDE"/>
    <w:rsid w:val="00CE2FBA"/>
    <w:rsid w:val="00CE3C78"/>
    <w:rsid w:val="00D11307"/>
    <w:rsid w:val="00D23733"/>
    <w:rsid w:val="00D23A01"/>
    <w:rsid w:val="00D258A7"/>
    <w:rsid w:val="00D44FBE"/>
    <w:rsid w:val="00D51379"/>
    <w:rsid w:val="00D80AE0"/>
    <w:rsid w:val="00D96486"/>
    <w:rsid w:val="00D97FA8"/>
    <w:rsid w:val="00DE48CB"/>
    <w:rsid w:val="00DF4BDD"/>
    <w:rsid w:val="00DF7B6E"/>
    <w:rsid w:val="00E049FD"/>
    <w:rsid w:val="00E11583"/>
    <w:rsid w:val="00E2129E"/>
    <w:rsid w:val="00E337DD"/>
    <w:rsid w:val="00E45B1C"/>
    <w:rsid w:val="00E52BF5"/>
    <w:rsid w:val="00E61A6D"/>
    <w:rsid w:val="00EA42E4"/>
    <w:rsid w:val="00EC175F"/>
    <w:rsid w:val="00ED18D6"/>
    <w:rsid w:val="00ED27C8"/>
    <w:rsid w:val="00ED2B32"/>
    <w:rsid w:val="00EF0BCE"/>
    <w:rsid w:val="00EF579B"/>
    <w:rsid w:val="00F13A87"/>
    <w:rsid w:val="00F30518"/>
    <w:rsid w:val="00F530C8"/>
    <w:rsid w:val="00F74BB6"/>
    <w:rsid w:val="00F841ED"/>
    <w:rsid w:val="00F85853"/>
    <w:rsid w:val="00FD50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BB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F1252"/>
    <w:pPr>
      <w:widowControl w:val="0"/>
      <w:autoSpaceDE w:val="0"/>
      <w:autoSpaceDN w:val="0"/>
      <w:adjustRightInd w:val="0"/>
    </w:pPr>
    <w:rPr>
      <w:rFonts w:ascii="Berylium" w:hAnsi="Beryliu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Default">
    <w:name w:val="Default"/>
    <w:rsid w:val="00C076C8"/>
    <w:pPr>
      <w:autoSpaceDE w:val="0"/>
      <w:autoSpaceDN w:val="0"/>
      <w:adjustRightInd w:val="0"/>
    </w:pPr>
    <w:rPr>
      <w:rFonts w:ascii="Helvetica World" w:hAnsi="Helvetica World" w:cs="Helvetica World"/>
      <w:color w:val="000000"/>
      <w:sz w:val="24"/>
      <w:szCs w:val="24"/>
    </w:rPr>
  </w:style>
  <w:style w:type="paragraph" w:styleId="Header">
    <w:name w:val="header"/>
    <w:basedOn w:val="Normal"/>
    <w:link w:val="HeaderChar"/>
    <w:rsid w:val="002174CE"/>
    <w:pPr>
      <w:tabs>
        <w:tab w:val="center" w:pos="4680"/>
        <w:tab w:val="right" w:pos="9360"/>
      </w:tabs>
    </w:pPr>
  </w:style>
  <w:style w:type="character" w:customStyle="1" w:styleId="HeaderChar">
    <w:name w:val="Header Char"/>
    <w:link w:val="Header"/>
    <w:rsid w:val="002174CE"/>
    <w:rPr>
      <w:rFonts w:ascii="Berylium" w:hAnsi="Berylium"/>
      <w:sz w:val="24"/>
      <w:szCs w:val="24"/>
    </w:rPr>
  </w:style>
  <w:style w:type="paragraph" w:styleId="Footer">
    <w:name w:val="footer"/>
    <w:basedOn w:val="Normal"/>
    <w:link w:val="FooterChar"/>
    <w:uiPriority w:val="99"/>
    <w:rsid w:val="002174CE"/>
    <w:pPr>
      <w:tabs>
        <w:tab w:val="center" w:pos="4680"/>
        <w:tab w:val="right" w:pos="9360"/>
      </w:tabs>
    </w:pPr>
  </w:style>
  <w:style w:type="character" w:customStyle="1" w:styleId="FooterChar">
    <w:name w:val="Footer Char"/>
    <w:link w:val="Footer"/>
    <w:uiPriority w:val="99"/>
    <w:rsid w:val="002174CE"/>
    <w:rPr>
      <w:rFonts w:ascii="Berylium" w:hAnsi="Berylium"/>
      <w:sz w:val="24"/>
      <w:szCs w:val="24"/>
    </w:rPr>
  </w:style>
  <w:style w:type="paragraph" w:styleId="BalloonText">
    <w:name w:val="Balloon Text"/>
    <w:basedOn w:val="Normal"/>
    <w:link w:val="BalloonTextChar"/>
    <w:rsid w:val="002174CE"/>
    <w:rPr>
      <w:rFonts w:ascii="Tahoma" w:hAnsi="Tahoma" w:cs="Tahoma"/>
      <w:sz w:val="16"/>
      <w:szCs w:val="16"/>
    </w:rPr>
  </w:style>
  <w:style w:type="character" w:customStyle="1" w:styleId="BalloonTextChar">
    <w:name w:val="Balloon Text Char"/>
    <w:link w:val="BalloonText"/>
    <w:rsid w:val="002174CE"/>
    <w:rPr>
      <w:rFonts w:ascii="Tahoma" w:hAnsi="Tahoma" w:cs="Tahoma"/>
      <w:sz w:val="16"/>
      <w:szCs w:val="16"/>
    </w:rPr>
  </w:style>
  <w:style w:type="table" w:styleId="TableGrid">
    <w:name w:val="Table Grid"/>
    <w:basedOn w:val="TableNormal"/>
    <w:rsid w:val="00C91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515A5"/>
    <w:rPr>
      <w:color w:val="0000FF" w:themeColor="hyperlink"/>
      <w:u w:val="single"/>
    </w:rPr>
  </w:style>
  <w:style w:type="character" w:customStyle="1" w:styleId="UnresolvedMention1">
    <w:name w:val="Unresolved Mention1"/>
    <w:basedOn w:val="DefaultParagraphFont"/>
    <w:uiPriority w:val="99"/>
    <w:semiHidden/>
    <w:unhideWhenUsed/>
    <w:rsid w:val="00C515A5"/>
    <w:rPr>
      <w:color w:val="808080"/>
      <w:shd w:val="clear" w:color="auto" w:fill="E6E6E6"/>
    </w:rPr>
  </w:style>
  <w:style w:type="character" w:styleId="UnresolvedMention">
    <w:name w:val="Unresolved Mention"/>
    <w:basedOn w:val="DefaultParagraphFont"/>
    <w:uiPriority w:val="99"/>
    <w:semiHidden/>
    <w:unhideWhenUsed/>
    <w:rsid w:val="00392903"/>
    <w:rPr>
      <w:color w:val="605E5C"/>
      <w:shd w:val="clear" w:color="auto" w:fill="E1DFDD"/>
    </w:rPr>
  </w:style>
  <w:style w:type="character" w:styleId="FollowedHyperlink">
    <w:name w:val="FollowedHyperlink"/>
    <w:basedOn w:val="DefaultParagraphFont"/>
    <w:semiHidden/>
    <w:unhideWhenUsed/>
    <w:rsid w:val="00392903"/>
    <w:rPr>
      <w:color w:val="800080" w:themeColor="followedHyperlink"/>
      <w:u w:val="single"/>
    </w:rPr>
  </w:style>
  <w:style w:type="paragraph" w:styleId="ListParagraph">
    <w:name w:val="List Paragraph"/>
    <w:basedOn w:val="Normal"/>
    <w:uiPriority w:val="34"/>
    <w:qFormat/>
    <w:rsid w:val="00C14DF1"/>
    <w:pPr>
      <w:ind w:left="720"/>
      <w:contextualSpacing/>
    </w:pPr>
  </w:style>
  <w:style w:type="paragraph" w:styleId="Revision">
    <w:name w:val="Revision"/>
    <w:hidden/>
    <w:uiPriority w:val="99"/>
    <w:semiHidden/>
    <w:rsid w:val="006F20FD"/>
    <w:rPr>
      <w:rFonts w:ascii="Berylium" w:hAnsi="Berylium"/>
      <w:sz w:val="24"/>
      <w:szCs w:val="24"/>
    </w:rPr>
  </w:style>
  <w:style w:type="character" w:styleId="CommentReference">
    <w:name w:val="annotation reference"/>
    <w:basedOn w:val="DefaultParagraphFont"/>
    <w:semiHidden/>
    <w:unhideWhenUsed/>
    <w:rsid w:val="006F20FD"/>
    <w:rPr>
      <w:sz w:val="16"/>
      <w:szCs w:val="16"/>
    </w:rPr>
  </w:style>
  <w:style w:type="paragraph" w:styleId="CommentText">
    <w:name w:val="annotation text"/>
    <w:basedOn w:val="Normal"/>
    <w:link w:val="CommentTextChar"/>
    <w:unhideWhenUsed/>
    <w:rsid w:val="006F20FD"/>
    <w:rPr>
      <w:sz w:val="20"/>
      <w:szCs w:val="20"/>
    </w:rPr>
  </w:style>
  <w:style w:type="character" w:customStyle="1" w:styleId="CommentTextChar">
    <w:name w:val="Comment Text Char"/>
    <w:basedOn w:val="DefaultParagraphFont"/>
    <w:link w:val="CommentText"/>
    <w:rsid w:val="006F20FD"/>
    <w:rPr>
      <w:rFonts w:ascii="Berylium" w:hAnsi="Berylium"/>
    </w:rPr>
  </w:style>
  <w:style w:type="paragraph" w:styleId="CommentSubject">
    <w:name w:val="annotation subject"/>
    <w:basedOn w:val="CommentText"/>
    <w:next w:val="CommentText"/>
    <w:link w:val="CommentSubjectChar"/>
    <w:semiHidden/>
    <w:unhideWhenUsed/>
    <w:rsid w:val="006F20FD"/>
    <w:rPr>
      <w:b/>
      <w:bCs/>
    </w:rPr>
  </w:style>
  <w:style w:type="character" w:customStyle="1" w:styleId="CommentSubjectChar">
    <w:name w:val="Comment Subject Char"/>
    <w:basedOn w:val="CommentTextChar"/>
    <w:link w:val="CommentSubject"/>
    <w:semiHidden/>
    <w:rsid w:val="006F20FD"/>
    <w:rPr>
      <w:rFonts w:ascii="Berylium" w:hAnsi="Berylium"/>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uac/Privacy-Impact-Assessments-PIA"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1352</Words>
  <Characters>7708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2025-03-26T21:48:00Z</dcterms:created>
  <dcterms:modified xsi:type="dcterms:W3CDTF">2025-03-26T21:49:00Z</dcterms:modified>
</cp:coreProperties>
</file>