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7337" w:rsidP="00A64F0C" w14:paraId="54E9BCE9" w14:textId="77777777">
      <w:pPr>
        <w:jc w:val="center"/>
        <w:rPr>
          <w:rFonts w:ascii="Arial" w:hAnsi="Arial"/>
        </w:rPr>
      </w:pPr>
      <w:r w:rsidRPr="00EB122D">
        <w:rPr>
          <w:rFonts w:ascii="Arial" w:hAnsi="Arial"/>
        </w:rPr>
        <w:t>SUPPORTING STATEMENT</w:t>
      </w:r>
    </w:p>
    <w:p w:rsidR="005873F5" w:rsidP="00A64F0C" w14:paraId="26012431" w14:textId="77777777">
      <w:pPr>
        <w:jc w:val="center"/>
        <w:rPr>
          <w:rFonts w:ascii="Arial" w:hAnsi="Arial"/>
        </w:rPr>
      </w:pPr>
      <w:r>
        <w:rPr>
          <w:rFonts w:ascii="Arial" w:hAnsi="Arial"/>
        </w:rPr>
        <w:t>Internal Revenue Service</w:t>
      </w:r>
    </w:p>
    <w:p w:rsidR="00540E26" w:rsidRPr="00EB122D" w:rsidP="00A64F0C" w14:paraId="14D634B5" w14:textId="77777777">
      <w:pPr>
        <w:jc w:val="center"/>
        <w:rPr>
          <w:rFonts w:ascii="Arial" w:hAnsi="Arial"/>
        </w:rPr>
      </w:pPr>
      <w:r>
        <w:rPr>
          <w:rFonts w:ascii="Arial" w:hAnsi="Arial"/>
        </w:rPr>
        <w:t>TD 9447</w:t>
      </w:r>
    </w:p>
    <w:p w:rsidR="002A7337" w:rsidRPr="00EB122D" w:rsidP="00A64F0C" w14:paraId="78B0D379" w14:textId="77777777">
      <w:pPr>
        <w:jc w:val="center"/>
        <w:rPr>
          <w:rFonts w:ascii="Arial" w:hAnsi="Arial"/>
        </w:rPr>
      </w:pPr>
      <w:r>
        <w:rPr>
          <w:rFonts w:ascii="Arial" w:hAnsi="Arial"/>
        </w:rPr>
        <w:t>REG-100669-24</w:t>
      </w:r>
    </w:p>
    <w:p w:rsidR="002A7337" w:rsidRPr="00EB122D" w:rsidP="00A64F0C" w14:paraId="32ADD35A" w14:textId="77777777">
      <w:pPr>
        <w:jc w:val="center"/>
        <w:rPr>
          <w:rFonts w:ascii="Arial" w:hAnsi="Arial"/>
        </w:rPr>
      </w:pPr>
      <w:r>
        <w:rPr>
          <w:rFonts w:ascii="Arial" w:hAnsi="Arial"/>
        </w:rPr>
        <w:t>OMB No. 1545-2135</w:t>
      </w:r>
    </w:p>
    <w:p w:rsidR="002A7337" w:rsidRPr="00EB122D" w14:paraId="5191EA0D" w14:textId="77777777">
      <w:pPr>
        <w:rPr>
          <w:rFonts w:ascii="Arial" w:hAnsi="Arial"/>
        </w:rPr>
      </w:pPr>
    </w:p>
    <w:p w:rsidR="002A7337" w:rsidRPr="00EB122D" w14:paraId="65CCE410" w14:textId="77777777">
      <w:pPr>
        <w:rPr>
          <w:rFonts w:ascii="Arial" w:hAnsi="Arial"/>
        </w:rPr>
      </w:pPr>
    </w:p>
    <w:p w:rsidR="002A7337" w:rsidRPr="00EB122D" w:rsidP="002A7337" w14:paraId="005636DF" w14:textId="77777777">
      <w:pPr>
        <w:rPr>
          <w:rFonts w:ascii="Arial" w:hAnsi="Arial"/>
        </w:rPr>
      </w:pPr>
      <w:r w:rsidRPr="00EB122D">
        <w:rPr>
          <w:rFonts w:ascii="Arial" w:hAnsi="Arial"/>
        </w:rPr>
        <w:t>1.</w:t>
      </w:r>
      <w:r w:rsidRPr="00EB122D">
        <w:rPr>
          <w:rFonts w:ascii="Arial" w:hAnsi="Arial"/>
        </w:rPr>
        <w:tab/>
      </w:r>
      <w:r w:rsidRPr="00EB122D">
        <w:rPr>
          <w:rFonts w:ascii="Arial" w:hAnsi="Arial"/>
          <w:u w:val="single"/>
        </w:rPr>
        <w:t>CIRCUMSTANCES NECESSITATING THE COLLECTION OF</w:t>
      </w:r>
      <w:r w:rsidR="00370E04">
        <w:rPr>
          <w:rFonts w:ascii="Arial" w:hAnsi="Arial"/>
        </w:rPr>
        <w:t xml:space="preserve"> </w:t>
      </w:r>
      <w:r w:rsidRPr="00EB122D">
        <w:rPr>
          <w:rFonts w:ascii="Arial" w:hAnsi="Arial"/>
        </w:rPr>
        <w:tab/>
      </w:r>
      <w:r w:rsidRPr="00EB122D">
        <w:rPr>
          <w:rFonts w:ascii="Arial" w:hAnsi="Arial"/>
          <w:u w:val="single"/>
        </w:rPr>
        <w:t>INFORMATION</w:t>
      </w:r>
      <w:r w:rsidRPr="00EB122D">
        <w:rPr>
          <w:rFonts w:ascii="Arial" w:hAnsi="Arial"/>
        </w:rPr>
        <w:t xml:space="preserve">  </w:t>
      </w:r>
    </w:p>
    <w:p w:rsidR="002A7337" w:rsidRPr="00EB122D" w:rsidP="002A7337" w14:paraId="0683C28F" w14:textId="77777777">
      <w:pPr>
        <w:rPr>
          <w:rFonts w:ascii="Arial" w:hAnsi="Arial"/>
        </w:rPr>
      </w:pPr>
    </w:p>
    <w:p w:rsidR="00540E26" w:rsidP="00540E26" w14:paraId="07CBAE9D" w14:textId="77777777">
      <w:pPr>
        <w:ind w:left="720"/>
        <w:rPr>
          <w:rFonts w:ascii="Arial" w:hAnsi="Arial" w:cs="Arial"/>
        </w:rPr>
      </w:pPr>
      <w:r>
        <w:rPr>
          <w:rFonts w:ascii="Arial" w:hAnsi="Arial" w:cs="Arial"/>
        </w:rPr>
        <w:t xml:space="preserve">Treasury Decision 9447 relates </w:t>
      </w:r>
      <w:r w:rsidRPr="000E581E">
        <w:rPr>
          <w:rFonts w:ascii="Arial" w:hAnsi="Arial" w:cs="Arial"/>
        </w:rPr>
        <w:t xml:space="preserve">to automatic contribution arrangements that affect administrators of, employers maintaining, participants in, and beneficiaries of section 401(k) plans and other eligible plans that include an automatic contribution arrangement.  Amendments prescribed by sections 401(k), 401(m), 402(c), 411(a), and 4979 of the Internal Revenue Code (Code) and section 414(w) are </w:t>
      </w:r>
      <w:r w:rsidRPr="000E581E">
        <w:rPr>
          <w:rFonts w:ascii="Arial" w:hAnsi="Arial" w:cs="Arial"/>
        </w:rPr>
        <w:t>in order to</w:t>
      </w:r>
      <w:r w:rsidRPr="000E581E">
        <w:rPr>
          <w:rFonts w:ascii="Arial" w:hAnsi="Arial" w:cs="Arial"/>
        </w:rPr>
        <w:t xml:space="preserve"> reflect certain provisions of section 902 of the Pension Protection Act of 2006, Public Law 109-280 (PPA 06), taking into account certain changes made by section 109(b) of the Worker, Retiree, and Employer Recovery Act of 2008, Public Law 110-458 (WRERA).</w:t>
      </w:r>
    </w:p>
    <w:p w:rsidR="00540E26" w:rsidRPr="000E581E" w:rsidP="00540E26" w14:paraId="2BF66389" w14:textId="77777777">
      <w:pPr>
        <w:spacing w:before="120"/>
        <w:ind w:left="720"/>
        <w:rPr>
          <w:rFonts w:ascii="Arial" w:hAnsi="Arial" w:cs="Arial"/>
        </w:rPr>
      </w:pPr>
      <w:r w:rsidRPr="000E581E">
        <w:rPr>
          <w:rFonts w:ascii="Arial" w:hAnsi="Arial" w:cs="Arial"/>
        </w:rPr>
        <w:t>The information in § 1.401(k)-3 is required to comply with the statutory notice requirements in sections 401(k)(13) and 401(m)(12)</w:t>
      </w:r>
      <w:r>
        <w:rPr>
          <w:rFonts w:ascii="Arial" w:hAnsi="Arial" w:cs="Arial"/>
        </w:rPr>
        <w:t xml:space="preserve"> </w:t>
      </w:r>
      <w:r w:rsidRPr="000E581E">
        <w:rPr>
          <w:rFonts w:ascii="Arial" w:hAnsi="Arial" w:cs="Arial"/>
        </w:rPr>
        <w:t>and is expected to be included in the notices currently provided to employees that inform them of their rights and benefits under the plan.  The collection of information under § 1.414(w)-1 is required to comply with the statutory notice requirements of section 414(w) and is expected to be included in the notices currently provided to employees that inform them of their rights and benefits under the plan.</w:t>
      </w:r>
    </w:p>
    <w:p w:rsidR="00550A92" w:rsidP="00540E26" w14:paraId="26554FA8" w14:textId="77777777">
      <w:pPr>
        <w:ind w:left="720"/>
        <w:rPr>
          <w:rFonts w:ascii="Arial" w:hAnsi="Arial" w:cs="Arial"/>
        </w:rPr>
      </w:pPr>
      <w:r w:rsidRPr="000E581E">
        <w:rPr>
          <w:rFonts w:ascii="Arial" w:hAnsi="Arial" w:cs="Arial"/>
        </w:rPr>
        <w:t xml:space="preserve"> </w:t>
      </w:r>
    </w:p>
    <w:p w:rsidR="000E581E" w:rsidRPr="000E581E" w:rsidP="000E581E" w14:paraId="31DDA9CD" w14:textId="77777777">
      <w:pPr>
        <w:ind w:left="720"/>
        <w:rPr>
          <w:rFonts w:ascii="Arial" w:hAnsi="Arial" w:cs="Arial"/>
        </w:rPr>
      </w:pPr>
      <w:r>
        <w:rPr>
          <w:rFonts w:ascii="Arial" w:hAnsi="Arial" w:cs="Arial"/>
        </w:rPr>
        <w:t>REG-100669-24</w:t>
      </w:r>
      <w:r w:rsidRPr="000E581E">
        <w:rPr>
          <w:rFonts w:ascii="Arial" w:hAnsi="Arial" w:cs="Arial"/>
        </w:rPr>
        <w:t xml:space="preserve"> </w:t>
      </w:r>
      <w:r>
        <w:rPr>
          <w:rFonts w:ascii="Arial" w:hAnsi="Arial" w:cs="Arial"/>
        </w:rPr>
        <w:t xml:space="preserve">would provide guidance with respect </w:t>
      </w:r>
      <w:r w:rsidRPr="000E581E">
        <w:rPr>
          <w:rFonts w:ascii="Arial" w:hAnsi="Arial" w:cs="Arial"/>
        </w:rPr>
        <w:t xml:space="preserve">to </w:t>
      </w:r>
      <w:r>
        <w:rPr>
          <w:rFonts w:ascii="Arial" w:hAnsi="Arial" w:cs="Arial"/>
        </w:rPr>
        <w:t xml:space="preserve">the </w:t>
      </w:r>
      <w:r w:rsidRPr="000E581E">
        <w:rPr>
          <w:rFonts w:ascii="Arial" w:hAnsi="Arial" w:cs="Arial"/>
        </w:rPr>
        <w:t xml:space="preserve">automatic </w:t>
      </w:r>
      <w:r w:rsidRPr="0039286F">
        <w:rPr>
          <w:rFonts w:ascii="Arial" w:hAnsi="Arial" w:cs="Arial"/>
        </w:rPr>
        <w:t xml:space="preserve">enrollment requirements </w:t>
      </w:r>
      <w:r w:rsidRPr="000E581E">
        <w:rPr>
          <w:rFonts w:ascii="Arial" w:hAnsi="Arial" w:cs="Arial"/>
        </w:rPr>
        <w:t xml:space="preserve">that </w:t>
      </w:r>
      <w:r>
        <w:rPr>
          <w:rFonts w:ascii="Arial" w:hAnsi="Arial" w:cs="Arial"/>
        </w:rPr>
        <w:t>apply to certain retirement plans. REG</w:t>
      </w:r>
      <w:r w:rsidR="009A1607">
        <w:rPr>
          <w:rFonts w:ascii="Arial" w:hAnsi="Arial" w:cs="Arial"/>
        </w:rPr>
        <w:noBreakHyphen/>
      </w:r>
      <w:r>
        <w:rPr>
          <w:rFonts w:ascii="Arial" w:hAnsi="Arial" w:cs="Arial"/>
        </w:rPr>
        <w:t xml:space="preserve">100669-24 would </w:t>
      </w:r>
      <w:r w:rsidRPr="000E581E">
        <w:rPr>
          <w:rFonts w:ascii="Arial" w:hAnsi="Arial" w:cs="Arial"/>
        </w:rPr>
        <w:t xml:space="preserve">affect administrators of, employers maintaining, participants in, and beneficiaries of </w:t>
      </w:r>
      <w:r w:rsidR="00656F6F">
        <w:rPr>
          <w:rFonts w:ascii="Arial" w:hAnsi="Arial" w:cs="Arial"/>
        </w:rPr>
        <w:t xml:space="preserve">certain </w:t>
      </w:r>
      <w:r w:rsidRPr="000E581E">
        <w:rPr>
          <w:rFonts w:ascii="Arial" w:hAnsi="Arial" w:cs="Arial"/>
        </w:rPr>
        <w:t>section</w:t>
      </w:r>
      <w:r w:rsidR="00426981">
        <w:rPr>
          <w:rFonts w:ascii="Arial" w:hAnsi="Arial" w:cs="Arial"/>
        </w:rPr>
        <w:t> </w:t>
      </w:r>
      <w:r w:rsidRPr="000E581E">
        <w:rPr>
          <w:rFonts w:ascii="Arial" w:hAnsi="Arial" w:cs="Arial"/>
        </w:rPr>
        <w:t xml:space="preserve">401(k) </w:t>
      </w:r>
      <w:r w:rsidR="00656F6F">
        <w:rPr>
          <w:rFonts w:ascii="Arial" w:hAnsi="Arial" w:cs="Arial"/>
        </w:rPr>
        <w:t xml:space="preserve">and 403(b) </w:t>
      </w:r>
      <w:r w:rsidRPr="000E581E">
        <w:rPr>
          <w:rFonts w:ascii="Arial" w:hAnsi="Arial" w:cs="Arial"/>
        </w:rPr>
        <w:t>plans</w:t>
      </w:r>
      <w:r w:rsidR="00CF53CE">
        <w:rPr>
          <w:rFonts w:ascii="Arial" w:hAnsi="Arial" w:cs="Arial"/>
        </w:rPr>
        <w:t>,</w:t>
      </w:r>
      <w:r w:rsidRPr="000E581E">
        <w:rPr>
          <w:rFonts w:ascii="Arial" w:hAnsi="Arial" w:cs="Arial"/>
        </w:rPr>
        <w:t xml:space="preserve"> and other </w:t>
      </w:r>
      <w:r w:rsidR="00656F6F">
        <w:rPr>
          <w:rFonts w:ascii="Arial" w:hAnsi="Arial" w:cs="Arial"/>
        </w:rPr>
        <w:t xml:space="preserve">retirement </w:t>
      </w:r>
      <w:r w:rsidRPr="000E581E">
        <w:rPr>
          <w:rFonts w:ascii="Arial" w:hAnsi="Arial" w:cs="Arial"/>
        </w:rPr>
        <w:t xml:space="preserve">plans that include </w:t>
      </w:r>
      <w:r w:rsidR="00656F6F">
        <w:rPr>
          <w:rFonts w:ascii="Arial" w:hAnsi="Arial" w:cs="Arial"/>
        </w:rPr>
        <w:t xml:space="preserve">eligible </w:t>
      </w:r>
      <w:r w:rsidRPr="000E581E">
        <w:rPr>
          <w:rFonts w:ascii="Arial" w:hAnsi="Arial" w:cs="Arial"/>
        </w:rPr>
        <w:t>automatic contribution arrangement</w:t>
      </w:r>
      <w:r w:rsidR="005C7B42">
        <w:rPr>
          <w:rFonts w:ascii="Arial" w:hAnsi="Arial" w:cs="Arial"/>
        </w:rPr>
        <w:t>s</w:t>
      </w:r>
      <w:r w:rsidR="00656F6F">
        <w:rPr>
          <w:rFonts w:ascii="Arial" w:hAnsi="Arial" w:cs="Arial"/>
        </w:rPr>
        <w:t xml:space="preserve"> (EACA</w:t>
      </w:r>
      <w:r w:rsidR="005C7B42">
        <w:rPr>
          <w:rFonts w:ascii="Arial" w:hAnsi="Arial" w:cs="Arial"/>
        </w:rPr>
        <w:t>s</w:t>
      </w:r>
      <w:r w:rsidR="00656F6F">
        <w:rPr>
          <w:rFonts w:ascii="Arial" w:hAnsi="Arial" w:cs="Arial"/>
        </w:rPr>
        <w:t>)</w:t>
      </w:r>
      <w:r w:rsidRPr="000E581E">
        <w:rPr>
          <w:rFonts w:ascii="Arial" w:hAnsi="Arial" w:cs="Arial"/>
        </w:rPr>
        <w:t>.</w:t>
      </w:r>
    </w:p>
    <w:p w:rsidR="000E581E" w:rsidP="000E581E" w14:paraId="1FC7DD6D" w14:textId="77777777">
      <w:pPr>
        <w:ind w:left="720"/>
        <w:rPr>
          <w:rFonts w:ascii="Arial" w:hAnsi="Arial" w:cs="Arial"/>
        </w:rPr>
      </w:pPr>
    </w:p>
    <w:p w:rsidR="00C3021C" w:rsidP="00C3021C" w14:paraId="5186666A" w14:textId="77777777">
      <w:pPr>
        <w:ind w:left="720"/>
        <w:rPr>
          <w:rFonts w:ascii="Arial" w:hAnsi="Arial" w:cs="Arial"/>
        </w:rPr>
      </w:pPr>
      <w:r>
        <w:rPr>
          <w:rFonts w:ascii="Arial" w:hAnsi="Arial" w:cs="Arial"/>
        </w:rPr>
        <w:t>REG-100669-24</w:t>
      </w:r>
      <w:r w:rsidRPr="00C3021C">
        <w:rPr>
          <w:rFonts w:ascii="Arial" w:hAnsi="Arial" w:cs="Arial"/>
        </w:rPr>
        <w:t xml:space="preserve"> would </w:t>
      </w:r>
      <w:r>
        <w:rPr>
          <w:rFonts w:ascii="Arial" w:hAnsi="Arial" w:cs="Arial"/>
        </w:rPr>
        <w:t xml:space="preserve">reflect certain statutory changes made by </w:t>
      </w:r>
      <w:r w:rsidRPr="00EA78B6">
        <w:rPr>
          <w:rFonts w:ascii="Arial" w:hAnsi="Arial" w:cs="Arial"/>
        </w:rPr>
        <w:t>the SECURE 2.0 Act of 2022 (SECURE 2.0 Act), Division T of the Consolidated Appropriations Act, 2023, Public Law 117</w:t>
      </w:r>
      <w:r w:rsidRPr="00EA78B6">
        <w:rPr>
          <w:rFonts w:ascii="Arial" w:hAnsi="Arial" w:cs="Arial"/>
        </w:rPr>
        <w:noBreakHyphen/>
        <w:t>328</w:t>
      </w:r>
      <w:r w:rsidR="00A93800">
        <w:rPr>
          <w:rFonts w:ascii="Arial" w:hAnsi="Arial" w:cs="Arial"/>
        </w:rPr>
        <w:t xml:space="preserve">. The collections of information contained in REG-100669-24 are necessary to reflect </w:t>
      </w:r>
      <w:r w:rsidR="00C607E7">
        <w:rPr>
          <w:rFonts w:ascii="Arial" w:hAnsi="Arial" w:cs="Arial"/>
        </w:rPr>
        <w:t>Code sections 414(bb) and 414A, which were added to the Code by the SECURE 2.0 Act.</w:t>
      </w:r>
    </w:p>
    <w:p w:rsidR="005E7398" w:rsidP="009A1607" w14:paraId="2C13E177" w14:textId="77777777">
      <w:pPr>
        <w:ind w:left="720"/>
        <w:rPr>
          <w:rFonts w:ascii="Arial" w:hAnsi="Arial" w:cs="Arial"/>
        </w:rPr>
      </w:pPr>
      <w:r w:rsidRPr="000E581E">
        <w:rPr>
          <w:rFonts w:ascii="Arial" w:hAnsi="Arial" w:cs="Arial"/>
        </w:rPr>
        <w:t xml:space="preserve"> </w:t>
      </w:r>
    </w:p>
    <w:p w:rsidR="00AB0F6D" w:rsidP="0039286F" w14:paraId="11BD5213" w14:textId="77777777">
      <w:pPr>
        <w:ind w:left="720"/>
        <w:rPr>
          <w:rFonts w:ascii="Arial" w:hAnsi="Arial" w:cs="Arial"/>
        </w:rPr>
      </w:pPr>
      <w:r>
        <w:rPr>
          <w:rFonts w:ascii="Arial" w:hAnsi="Arial" w:cs="Arial"/>
        </w:rPr>
        <w:t>REG</w:t>
      </w:r>
      <w:r>
        <w:rPr>
          <w:rFonts w:ascii="Arial" w:hAnsi="Arial" w:cs="Arial"/>
        </w:rPr>
        <w:noBreakHyphen/>
        <w:t xml:space="preserve">100669-24 </w:t>
      </w:r>
      <w:r w:rsidR="009A1607">
        <w:rPr>
          <w:rFonts w:ascii="Arial" w:hAnsi="Arial" w:cs="Arial"/>
        </w:rPr>
        <w:t xml:space="preserve">would </w:t>
      </w:r>
      <w:r w:rsidRPr="00EA78B6" w:rsidR="0039176F">
        <w:rPr>
          <w:rFonts w:ascii="Arial" w:hAnsi="Arial" w:cs="Arial"/>
        </w:rPr>
        <w:t xml:space="preserve">amend </w:t>
      </w:r>
      <w:r w:rsidRPr="0039286F" w:rsidR="00C512A3">
        <w:rPr>
          <w:rFonts w:ascii="Arial" w:hAnsi="Arial" w:cs="Arial"/>
          <w:color w:val="222222"/>
        </w:rPr>
        <w:t xml:space="preserve">§ 1.414(w)-1 to </w:t>
      </w:r>
      <w:r w:rsidR="00C607E7">
        <w:rPr>
          <w:rFonts w:ascii="Arial" w:hAnsi="Arial" w:cs="Arial"/>
          <w:color w:val="222222"/>
        </w:rPr>
        <w:t xml:space="preserve">add § 1.414(w)-1(b)(4), which would </w:t>
      </w:r>
      <w:r w:rsidR="00F73F45">
        <w:rPr>
          <w:rFonts w:ascii="Arial" w:hAnsi="Arial" w:cs="Arial"/>
          <w:color w:val="222222"/>
        </w:rPr>
        <w:t>reflect</w:t>
      </w:r>
      <w:r w:rsidRPr="0039286F" w:rsidR="00C512A3">
        <w:rPr>
          <w:rFonts w:ascii="Arial" w:hAnsi="Arial" w:cs="Arial"/>
          <w:color w:val="222222"/>
        </w:rPr>
        <w:t xml:space="preserve"> section 414(bb)</w:t>
      </w:r>
      <w:r w:rsidRPr="00EA78B6" w:rsidR="00C512A3">
        <w:rPr>
          <w:rFonts w:ascii="Arial" w:hAnsi="Arial" w:cs="Arial"/>
        </w:rPr>
        <w:t xml:space="preserve"> </w:t>
      </w:r>
      <w:r w:rsidR="002D44CC">
        <w:rPr>
          <w:rFonts w:ascii="Arial" w:hAnsi="Arial" w:cs="Arial"/>
        </w:rPr>
        <w:t>by</w:t>
      </w:r>
      <w:r w:rsidRPr="00EA78B6" w:rsidR="0039176F">
        <w:rPr>
          <w:rFonts w:ascii="Arial" w:hAnsi="Arial" w:cs="Arial"/>
        </w:rPr>
        <w:t xml:space="preserve"> allow</w:t>
      </w:r>
      <w:r w:rsidR="002D44CC">
        <w:rPr>
          <w:rFonts w:ascii="Arial" w:hAnsi="Arial" w:cs="Arial"/>
        </w:rPr>
        <w:t>ing</w:t>
      </w:r>
      <w:r w:rsidRPr="00EA78B6" w:rsidR="0039176F">
        <w:rPr>
          <w:rFonts w:ascii="Arial" w:hAnsi="Arial" w:cs="Arial"/>
        </w:rPr>
        <w:t xml:space="preserve"> </w:t>
      </w:r>
      <w:r w:rsidRPr="00EA78B6" w:rsidR="00C512A3">
        <w:rPr>
          <w:rFonts w:ascii="Arial" w:hAnsi="Arial" w:cs="Arial"/>
        </w:rPr>
        <w:t>unenrolled participants to be furnished an annual reminder notice instead of the annual notice required for EACAs under section</w:t>
      </w:r>
      <w:r w:rsidR="00B80557">
        <w:rPr>
          <w:rFonts w:ascii="Arial" w:hAnsi="Arial" w:cs="Arial"/>
        </w:rPr>
        <w:t> </w:t>
      </w:r>
      <w:r w:rsidRPr="00EA78B6" w:rsidR="00C512A3">
        <w:rPr>
          <w:rFonts w:ascii="Arial" w:hAnsi="Arial" w:cs="Arial"/>
        </w:rPr>
        <w:t>414(w)(4) and § 1.414(w)</w:t>
      </w:r>
      <w:r w:rsidRPr="00EA78B6" w:rsidR="00C512A3">
        <w:rPr>
          <w:rFonts w:ascii="Arial" w:hAnsi="Arial" w:cs="Arial"/>
        </w:rPr>
        <w:noBreakHyphen/>
        <w:t>1(b)(3).</w:t>
      </w:r>
      <w:r w:rsidRPr="0039286F" w:rsidR="00C512A3">
        <w:rPr>
          <w:rFonts w:ascii="Arial" w:hAnsi="Arial" w:cs="Arial"/>
        </w:rPr>
        <w:t xml:space="preserve"> </w:t>
      </w:r>
    </w:p>
    <w:p w:rsidR="00AB0F6D" w:rsidP="0039286F" w14:paraId="27024D17" w14:textId="77777777">
      <w:pPr>
        <w:ind w:left="720"/>
        <w:rPr>
          <w:rFonts w:ascii="Arial" w:hAnsi="Arial" w:cs="Arial"/>
        </w:rPr>
      </w:pPr>
    </w:p>
    <w:p w:rsidR="0039176F" w:rsidRPr="00EA78B6" w:rsidP="0039286F" w14:paraId="1E5428F3" w14:textId="77777777">
      <w:pPr>
        <w:ind w:left="720"/>
        <w:rPr>
          <w:rFonts w:ascii="Arial" w:hAnsi="Arial" w:cs="Arial"/>
        </w:rPr>
      </w:pPr>
      <w:r w:rsidRPr="00EA78B6">
        <w:rPr>
          <w:rFonts w:ascii="Arial" w:hAnsi="Arial" w:cs="Arial"/>
        </w:rPr>
        <w:t xml:space="preserve">Additionally, </w:t>
      </w:r>
      <w:r w:rsidR="00B80557">
        <w:rPr>
          <w:rFonts w:ascii="Arial" w:hAnsi="Arial" w:cs="Arial"/>
        </w:rPr>
        <w:t>the collection of information under</w:t>
      </w:r>
      <w:r w:rsidR="002310A2">
        <w:rPr>
          <w:rFonts w:ascii="Arial" w:hAnsi="Arial" w:cs="Arial"/>
        </w:rPr>
        <w:t xml:space="preserve"> </w:t>
      </w:r>
      <w:r w:rsidR="007B284A">
        <w:rPr>
          <w:rFonts w:ascii="Arial" w:hAnsi="Arial" w:cs="Arial"/>
        </w:rPr>
        <w:t xml:space="preserve">proposed </w:t>
      </w:r>
      <w:r w:rsidRPr="005E131E" w:rsidR="002310A2">
        <w:rPr>
          <w:rFonts w:ascii="Arial" w:hAnsi="Arial" w:cs="Arial"/>
        </w:rPr>
        <w:t>§ 1.414A</w:t>
      </w:r>
      <w:r w:rsidRPr="005E131E" w:rsidR="002310A2">
        <w:rPr>
          <w:rFonts w:ascii="Arial" w:hAnsi="Arial" w:cs="Arial"/>
        </w:rPr>
        <w:noBreakHyphen/>
        <w:t>1</w:t>
      </w:r>
      <w:r w:rsidR="00B80557">
        <w:rPr>
          <w:rFonts w:ascii="Arial" w:hAnsi="Arial" w:cs="Arial"/>
        </w:rPr>
        <w:t xml:space="preserve"> is</w:t>
      </w:r>
      <w:r w:rsidRPr="005E131E" w:rsidR="002310A2">
        <w:rPr>
          <w:rFonts w:ascii="Arial" w:hAnsi="Arial" w:cs="Arial"/>
        </w:rPr>
        <w:t xml:space="preserve"> </w:t>
      </w:r>
      <w:r w:rsidRPr="0039286F" w:rsidR="00730C0F">
        <w:rPr>
          <w:rFonts w:ascii="Arial" w:hAnsi="Arial" w:cs="Arial"/>
        </w:rPr>
        <w:t>necessary to comply with section 414A</w:t>
      </w:r>
      <w:r w:rsidR="00743530">
        <w:rPr>
          <w:rFonts w:ascii="Arial" w:hAnsi="Arial" w:cs="Arial"/>
        </w:rPr>
        <w:t>,</w:t>
      </w:r>
      <w:r w:rsidRPr="0039286F" w:rsidR="000C3595">
        <w:rPr>
          <w:rFonts w:ascii="Arial" w:hAnsi="Arial" w:cs="Arial"/>
        </w:rPr>
        <w:t xml:space="preserve"> </w:t>
      </w:r>
      <w:r w:rsidR="008378DD">
        <w:rPr>
          <w:rFonts w:ascii="Arial" w:hAnsi="Arial" w:cs="Arial"/>
        </w:rPr>
        <w:t>which</w:t>
      </w:r>
      <w:r w:rsidR="00C607E7">
        <w:rPr>
          <w:rFonts w:ascii="Arial" w:hAnsi="Arial" w:cs="Arial"/>
        </w:rPr>
        <w:t xml:space="preserve"> </w:t>
      </w:r>
      <w:r w:rsidRPr="005E131E" w:rsidR="00B80557">
        <w:rPr>
          <w:rFonts w:ascii="Arial" w:hAnsi="Arial" w:cs="Arial"/>
        </w:rPr>
        <w:t>requir</w:t>
      </w:r>
      <w:r w:rsidR="00743530">
        <w:rPr>
          <w:rFonts w:ascii="Arial" w:hAnsi="Arial" w:cs="Arial"/>
        </w:rPr>
        <w:t>es</w:t>
      </w:r>
      <w:r w:rsidRPr="005E131E" w:rsidR="00B80557">
        <w:rPr>
          <w:rFonts w:ascii="Arial" w:hAnsi="Arial" w:cs="Arial"/>
        </w:rPr>
        <w:t xml:space="preserve"> </w:t>
      </w:r>
      <w:r w:rsidR="00B80557">
        <w:rPr>
          <w:rFonts w:ascii="Arial" w:hAnsi="Arial" w:cs="Arial"/>
        </w:rPr>
        <w:t>certain</w:t>
      </w:r>
      <w:r w:rsidRPr="005E131E" w:rsidR="00B80557">
        <w:rPr>
          <w:rFonts w:ascii="Arial" w:hAnsi="Arial" w:cs="Arial"/>
        </w:rPr>
        <w:t xml:space="preserve"> </w:t>
      </w:r>
      <w:r w:rsidR="00B80557">
        <w:rPr>
          <w:rFonts w:ascii="Arial" w:hAnsi="Arial" w:cs="Arial"/>
        </w:rPr>
        <w:t xml:space="preserve">cash or deferred </w:t>
      </w:r>
      <w:r w:rsidR="00B80557">
        <w:rPr>
          <w:rFonts w:ascii="Arial" w:hAnsi="Arial" w:cs="Arial"/>
        </w:rPr>
        <w:t>arrangements (</w:t>
      </w:r>
      <w:r w:rsidRPr="005E131E" w:rsidR="00B80557">
        <w:rPr>
          <w:rFonts w:ascii="Arial" w:hAnsi="Arial" w:cs="Arial"/>
        </w:rPr>
        <w:t>CODAs</w:t>
      </w:r>
      <w:r w:rsidR="00B80557">
        <w:rPr>
          <w:rFonts w:ascii="Arial" w:hAnsi="Arial" w:cs="Arial"/>
        </w:rPr>
        <w:t>)</w:t>
      </w:r>
      <w:r w:rsidRPr="005E131E" w:rsidR="00B80557">
        <w:rPr>
          <w:rFonts w:ascii="Arial" w:hAnsi="Arial" w:cs="Arial"/>
        </w:rPr>
        <w:t xml:space="preserve"> </w:t>
      </w:r>
      <w:r w:rsidR="00743530">
        <w:rPr>
          <w:rFonts w:ascii="Arial" w:hAnsi="Arial" w:cs="Arial"/>
        </w:rPr>
        <w:t>under section 401(k) plans</w:t>
      </w:r>
      <w:r w:rsidR="00136434">
        <w:rPr>
          <w:rFonts w:ascii="Arial" w:hAnsi="Arial" w:cs="Arial"/>
        </w:rPr>
        <w:t>,</w:t>
      </w:r>
      <w:r w:rsidR="00743530">
        <w:rPr>
          <w:rFonts w:ascii="Arial" w:hAnsi="Arial" w:cs="Arial"/>
        </w:rPr>
        <w:t xml:space="preserve"> </w:t>
      </w:r>
      <w:r w:rsidRPr="005E131E" w:rsidR="00B80557">
        <w:rPr>
          <w:rFonts w:ascii="Arial" w:hAnsi="Arial" w:cs="Arial"/>
        </w:rPr>
        <w:t xml:space="preserve">and salary reduction agreements </w:t>
      </w:r>
      <w:r w:rsidR="00743530">
        <w:rPr>
          <w:rFonts w:ascii="Arial" w:hAnsi="Arial" w:cs="Arial"/>
        </w:rPr>
        <w:t>under section</w:t>
      </w:r>
      <w:r w:rsidR="009A1607">
        <w:rPr>
          <w:rFonts w:ascii="Arial" w:hAnsi="Arial" w:cs="Arial"/>
        </w:rPr>
        <w:t> </w:t>
      </w:r>
      <w:r w:rsidR="00743530">
        <w:rPr>
          <w:rFonts w:ascii="Arial" w:hAnsi="Arial" w:cs="Arial"/>
        </w:rPr>
        <w:t>403(b) plans</w:t>
      </w:r>
      <w:r w:rsidR="00136434">
        <w:rPr>
          <w:rFonts w:ascii="Arial" w:hAnsi="Arial" w:cs="Arial"/>
        </w:rPr>
        <w:t>,</w:t>
      </w:r>
      <w:r w:rsidR="00743530">
        <w:rPr>
          <w:rFonts w:ascii="Arial" w:hAnsi="Arial" w:cs="Arial"/>
        </w:rPr>
        <w:t xml:space="preserve"> </w:t>
      </w:r>
      <w:r w:rsidRPr="005E131E" w:rsidR="00B80557">
        <w:rPr>
          <w:rFonts w:ascii="Arial" w:hAnsi="Arial" w:cs="Arial"/>
        </w:rPr>
        <w:t>to be EACAs</w:t>
      </w:r>
      <w:r w:rsidR="002310A2">
        <w:rPr>
          <w:rFonts w:ascii="Arial" w:hAnsi="Arial" w:cs="Arial"/>
        </w:rPr>
        <w:t>.</w:t>
      </w:r>
      <w:r w:rsidRPr="0039286F" w:rsidR="00730C0F">
        <w:rPr>
          <w:rFonts w:ascii="Arial" w:hAnsi="Arial" w:cs="Arial"/>
        </w:rPr>
        <w:t xml:space="preserve"> </w:t>
      </w:r>
      <w:r w:rsidR="002310A2">
        <w:rPr>
          <w:rFonts w:ascii="Arial" w:hAnsi="Arial" w:cs="Arial"/>
        </w:rPr>
        <w:t>Section</w:t>
      </w:r>
      <w:r w:rsidRPr="0039286F" w:rsidR="00730C0F">
        <w:rPr>
          <w:rFonts w:ascii="Arial" w:hAnsi="Arial" w:cs="Arial"/>
        </w:rPr>
        <w:t> 1.414A</w:t>
      </w:r>
      <w:r w:rsidRPr="0039286F" w:rsidR="00730C0F">
        <w:rPr>
          <w:rFonts w:ascii="Arial" w:hAnsi="Arial" w:cs="Arial"/>
        </w:rPr>
        <w:noBreakHyphen/>
        <w:t xml:space="preserve">1 </w:t>
      </w:r>
      <w:r w:rsidR="008378DD">
        <w:rPr>
          <w:rFonts w:ascii="Arial" w:hAnsi="Arial" w:cs="Arial"/>
        </w:rPr>
        <w:t xml:space="preserve">would </w:t>
      </w:r>
      <w:r w:rsidRPr="0039286F" w:rsidR="00730C0F">
        <w:rPr>
          <w:rFonts w:ascii="Arial" w:hAnsi="Arial" w:cs="Arial"/>
        </w:rPr>
        <w:t>not change the notice requirements for EACA</w:t>
      </w:r>
      <w:r w:rsidR="00750470">
        <w:rPr>
          <w:rFonts w:ascii="Arial" w:hAnsi="Arial" w:cs="Arial"/>
        </w:rPr>
        <w:t>s</w:t>
      </w:r>
      <w:r w:rsidRPr="0039286F" w:rsidR="00730C0F">
        <w:rPr>
          <w:rFonts w:ascii="Arial" w:hAnsi="Arial" w:cs="Arial"/>
        </w:rPr>
        <w:t xml:space="preserve"> under § 1.414(w)</w:t>
      </w:r>
      <w:r w:rsidRPr="0039286F" w:rsidR="00730C0F">
        <w:rPr>
          <w:rFonts w:ascii="Arial" w:hAnsi="Arial" w:cs="Arial"/>
        </w:rPr>
        <w:noBreakHyphen/>
        <w:t xml:space="preserve">1 but </w:t>
      </w:r>
      <w:r w:rsidR="00743530">
        <w:rPr>
          <w:rFonts w:ascii="Arial" w:hAnsi="Arial" w:cs="Arial"/>
        </w:rPr>
        <w:t>would</w:t>
      </w:r>
      <w:r w:rsidRPr="0039286F" w:rsidR="00730C0F">
        <w:rPr>
          <w:rFonts w:ascii="Arial" w:hAnsi="Arial" w:cs="Arial"/>
        </w:rPr>
        <w:t xml:space="preserve"> subject </w:t>
      </w:r>
      <w:r w:rsidR="00B80557">
        <w:rPr>
          <w:rFonts w:ascii="Arial" w:hAnsi="Arial" w:cs="Arial"/>
        </w:rPr>
        <w:t>those</w:t>
      </w:r>
      <w:r w:rsidRPr="0039286F" w:rsidR="00730C0F">
        <w:rPr>
          <w:rFonts w:ascii="Arial" w:hAnsi="Arial" w:cs="Arial"/>
        </w:rPr>
        <w:t xml:space="preserve"> CODAs and salary reduction agreements to the notice requirements for EACA</w:t>
      </w:r>
      <w:r w:rsidR="00750470">
        <w:rPr>
          <w:rFonts w:ascii="Arial" w:hAnsi="Arial" w:cs="Arial"/>
        </w:rPr>
        <w:t>s</w:t>
      </w:r>
      <w:r w:rsidRPr="0039286F" w:rsidR="00730C0F">
        <w:rPr>
          <w:rFonts w:ascii="Arial" w:hAnsi="Arial" w:cs="Arial"/>
        </w:rPr>
        <w:t>.</w:t>
      </w:r>
      <w:r w:rsidRPr="00AB0F6D" w:rsidR="00AB0F6D">
        <w:rPr>
          <w:rFonts w:ascii="Arial" w:hAnsi="Arial" w:cs="Arial"/>
        </w:rPr>
        <w:t xml:space="preserve"> </w:t>
      </w:r>
      <w:r w:rsidRPr="000E581E" w:rsidR="00AB0F6D">
        <w:rPr>
          <w:rFonts w:ascii="Arial" w:hAnsi="Arial" w:cs="Arial"/>
        </w:rPr>
        <w:t>The collection of information under §</w:t>
      </w:r>
      <w:r w:rsidR="00AB0F6D">
        <w:rPr>
          <w:rFonts w:ascii="Arial" w:hAnsi="Arial" w:cs="Arial"/>
        </w:rPr>
        <w:t> </w:t>
      </w:r>
      <w:r w:rsidRPr="000E581E" w:rsidR="00AB0F6D">
        <w:rPr>
          <w:rFonts w:ascii="Arial" w:hAnsi="Arial" w:cs="Arial"/>
        </w:rPr>
        <w:t>1.414(w)</w:t>
      </w:r>
      <w:r w:rsidR="00AB0F6D">
        <w:rPr>
          <w:rFonts w:ascii="Arial" w:hAnsi="Arial" w:cs="Arial"/>
        </w:rPr>
        <w:noBreakHyphen/>
      </w:r>
      <w:r w:rsidRPr="000E581E" w:rsidR="00AB0F6D">
        <w:rPr>
          <w:rFonts w:ascii="Arial" w:hAnsi="Arial" w:cs="Arial"/>
        </w:rPr>
        <w:t xml:space="preserve">1 </w:t>
      </w:r>
      <w:r w:rsidR="009A1607">
        <w:rPr>
          <w:rFonts w:ascii="Arial" w:hAnsi="Arial" w:cs="Arial"/>
        </w:rPr>
        <w:t xml:space="preserve">for EACAs </w:t>
      </w:r>
      <w:r w:rsidRPr="000E581E" w:rsidR="00AB0F6D">
        <w:rPr>
          <w:rFonts w:ascii="Arial" w:hAnsi="Arial" w:cs="Arial"/>
        </w:rPr>
        <w:t>is required to comply with the statutory notice requirements of section</w:t>
      </w:r>
      <w:r w:rsidR="00AB0F6D">
        <w:rPr>
          <w:rFonts w:ascii="Arial" w:hAnsi="Arial" w:cs="Arial"/>
        </w:rPr>
        <w:t> </w:t>
      </w:r>
      <w:r w:rsidRPr="000E581E" w:rsidR="00AB0F6D">
        <w:rPr>
          <w:rFonts w:ascii="Arial" w:hAnsi="Arial" w:cs="Arial"/>
        </w:rPr>
        <w:t>414(w)</w:t>
      </w:r>
      <w:r w:rsidR="00AB0F6D">
        <w:rPr>
          <w:rFonts w:ascii="Arial" w:hAnsi="Arial" w:cs="Arial"/>
        </w:rPr>
        <w:t xml:space="preserve"> </w:t>
      </w:r>
      <w:r w:rsidRPr="000E581E" w:rsidR="00AB0F6D">
        <w:rPr>
          <w:rFonts w:ascii="Arial" w:hAnsi="Arial" w:cs="Arial"/>
        </w:rPr>
        <w:t>and is expected to be included in the notices currently provided to employees that inform them of their rights and benefits under the plan.</w:t>
      </w:r>
    </w:p>
    <w:p w:rsidR="00A97964" w:rsidRPr="00EA78B6" w:rsidP="00A97964" w14:paraId="1DB3B198" w14:textId="77777777">
      <w:pPr>
        <w:rPr>
          <w:rFonts w:ascii="Arial" w:hAnsi="Arial" w:cs="Arial"/>
        </w:rPr>
      </w:pPr>
    </w:p>
    <w:p w:rsidR="00A97964" w:rsidP="00A97964" w14:paraId="11B0DA5B" w14:textId="77777777">
      <w:pPr>
        <w:rPr>
          <w:rFonts w:ascii="Arial" w:hAnsi="Arial"/>
          <w:u w:val="single"/>
        </w:rPr>
      </w:pPr>
      <w:r>
        <w:rPr>
          <w:rFonts w:ascii="Arial" w:hAnsi="Arial"/>
        </w:rPr>
        <w:t>2</w:t>
      </w:r>
      <w:r w:rsidR="00370E04">
        <w:rPr>
          <w:rFonts w:ascii="Arial" w:hAnsi="Arial"/>
        </w:rPr>
        <w:t>.</w:t>
      </w:r>
      <w:r w:rsidR="00370E04">
        <w:rPr>
          <w:rFonts w:ascii="Arial" w:hAnsi="Arial"/>
        </w:rPr>
        <w:tab/>
      </w:r>
      <w:r>
        <w:rPr>
          <w:rFonts w:ascii="Arial" w:hAnsi="Arial"/>
          <w:u w:val="single"/>
        </w:rPr>
        <w:t>USE OF DATA</w:t>
      </w:r>
    </w:p>
    <w:p w:rsidR="00A97964" w:rsidP="00A97964" w14:paraId="48B58922" w14:textId="77777777">
      <w:pPr>
        <w:rPr>
          <w:rFonts w:ascii="Arial" w:hAnsi="Arial"/>
          <w:u w:val="single"/>
        </w:rPr>
      </w:pPr>
    </w:p>
    <w:p w:rsidR="00540E26" w:rsidP="00540E26" w14:paraId="775AC067" w14:textId="77777777">
      <w:pPr>
        <w:ind w:left="720"/>
        <w:rPr>
          <w:rFonts w:ascii="Arial" w:hAnsi="Arial"/>
        </w:rPr>
      </w:pPr>
      <w:r>
        <w:rPr>
          <w:rFonts w:ascii="Arial" w:hAnsi="Arial"/>
        </w:rPr>
        <w:t>The information contained in §1.401(k)-3 will enable an eligible employee to decide whether he or he wishes to participate in the employer’s QACA and at what level or to elect out of participation in the QACA. The information provided to an employee in §1.414(w)-1 will enable the employee to decide whether he wishes to make a withdrawal from the EACA.</w:t>
      </w:r>
    </w:p>
    <w:p w:rsidR="00540E26" w:rsidP="00210ABD" w14:paraId="6F943490" w14:textId="77777777">
      <w:pPr>
        <w:ind w:left="720"/>
        <w:rPr>
          <w:rFonts w:ascii="Arial" w:hAnsi="Arial" w:cs="Arial"/>
        </w:rPr>
      </w:pPr>
    </w:p>
    <w:p w:rsidR="00F16A5E" w:rsidP="00210ABD" w14:paraId="23B16FFA" w14:textId="77777777">
      <w:pPr>
        <w:ind w:left="720"/>
        <w:rPr>
          <w:rFonts w:ascii="Arial" w:hAnsi="Arial"/>
        </w:rPr>
      </w:pPr>
      <w:r>
        <w:rPr>
          <w:rFonts w:ascii="Arial" w:hAnsi="Arial"/>
        </w:rPr>
        <w:t xml:space="preserve">The information provided </w:t>
      </w:r>
      <w:r w:rsidRPr="00C64962" w:rsidR="000362EF">
        <w:rPr>
          <w:rFonts w:ascii="Arial" w:hAnsi="Arial"/>
        </w:rPr>
        <w:t xml:space="preserve">to unenrolled participants </w:t>
      </w:r>
      <w:r w:rsidR="00C64962">
        <w:rPr>
          <w:rFonts w:ascii="Arial" w:hAnsi="Arial"/>
        </w:rPr>
        <w:t>under</w:t>
      </w:r>
      <w:r w:rsidR="00911A22">
        <w:rPr>
          <w:rFonts w:ascii="Arial" w:hAnsi="Arial"/>
        </w:rPr>
        <w:t xml:space="preserve"> </w:t>
      </w:r>
      <w:r w:rsidR="00210ABD">
        <w:rPr>
          <w:rFonts w:ascii="Arial" w:hAnsi="Arial"/>
        </w:rPr>
        <w:t xml:space="preserve">proposed </w:t>
      </w:r>
      <w:r w:rsidR="00911A22">
        <w:rPr>
          <w:rFonts w:ascii="Arial" w:hAnsi="Arial"/>
        </w:rPr>
        <w:t>§</w:t>
      </w:r>
      <w:r w:rsidR="00210ABD">
        <w:rPr>
          <w:rFonts w:ascii="Arial" w:hAnsi="Arial"/>
        </w:rPr>
        <w:t> </w:t>
      </w:r>
      <w:r w:rsidR="00911A22">
        <w:rPr>
          <w:rFonts w:ascii="Arial" w:hAnsi="Arial"/>
        </w:rPr>
        <w:t>1.414(w)</w:t>
      </w:r>
      <w:r w:rsidR="003C0B69">
        <w:rPr>
          <w:rFonts w:ascii="Arial" w:hAnsi="Arial"/>
        </w:rPr>
        <w:noBreakHyphen/>
      </w:r>
      <w:r w:rsidR="00911A22">
        <w:rPr>
          <w:rFonts w:ascii="Arial" w:hAnsi="Arial"/>
        </w:rPr>
        <w:t xml:space="preserve">1(b)(4) </w:t>
      </w:r>
      <w:r w:rsidR="00713253">
        <w:rPr>
          <w:rFonts w:ascii="Arial" w:hAnsi="Arial"/>
        </w:rPr>
        <w:t xml:space="preserve">would </w:t>
      </w:r>
      <w:r w:rsidR="00C64962">
        <w:rPr>
          <w:rFonts w:ascii="Arial" w:hAnsi="Arial"/>
        </w:rPr>
        <w:t xml:space="preserve">remind the unenrolled participants of their </w:t>
      </w:r>
      <w:r w:rsidR="00B133D0">
        <w:rPr>
          <w:rFonts w:ascii="Arial" w:hAnsi="Arial"/>
        </w:rPr>
        <w:t>eligibility</w:t>
      </w:r>
      <w:r w:rsidR="00C64962">
        <w:rPr>
          <w:rFonts w:ascii="Arial" w:hAnsi="Arial"/>
        </w:rPr>
        <w:t xml:space="preserve"> to participate in </w:t>
      </w:r>
      <w:r w:rsidR="00B133D0">
        <w:rPr>
          <w:rFonts w:ascii="Arial" w:hAnsi="Arial"/>
        </w:rPr>
        <w:t>an</w:t>
      </w:r>
      <w:r w:rsidR="00C64962">
        <w:rPr>
          <w:rFonts w:ascii="Arial" w:hAnsi="Arial"/>
        </w:rPr>
        <w:t xml:space="preserve"> EACA should they wish</w:t>
      </w:r>
      <w:r w:rsidR="00AC239A">
        <w:rPr>
          <w:rFonts w:ascii="Arial" w:hAnsi="Arial"/>
        </w:rPr>
        <w:t xml:space="preserve">. </w:t>
      </w:r>
      <w:r w:rsidR="00210ABD">
        <w:rPr>
          <w:rFonts w:ascii="Arial" w:hAnsi="Arial"/>
        </w:rPr>
        <w:t xml:space="preserve">Proposed </w:t>
      </w:r>
      <w:r w:rsidR="00210ABD">
        <w:rPr>
          <w:rFonts w:ascii="Arial" w:hAnsi="Arial" w:cs="Arial"/>
        </w:rPr>
        <w:t>§</w:t>
      </w:r>
      <w:r w:rsidR="00210ABD">
        <w:rPr>
          <w:rFonts w:ascii="Arial" w:hAnsi="Arial"/>
        </w:rPr>
        <w:t> </w:t>
      </w:r>
      <w:r w:rsidR="00AC239A">
        <w:rPr>
          <w:rFonts w:ascii="Arial" w:hAnsi="Arial"/>
        </w:rPr>
        <w:t>1.414(w)</w:t>
      </w:r>
      <w:r w:rsidR="00AC239A">
        <w:rPr>
          <w:rFonts w:ascii="Arial" w:hAnsi="Arial"/>
        </w:rPr>
        <w:noBreakHyphen/>
        <w:t xml:space="preserve">1(b)(4) also </w:t>
      </w:r>
      <w:r w:rsidR="007B23F7">
        <w:rPr>
          <w:rFonts w:ascii="Arial" w:hAnsi="Arial" w:cs="Arial"/>
        </w:rPr>
        <w:t>would</w:t>
      </w:r>
      <w:r w:rsidRPr="003C0B69" w:rsidR="003C0B69">
        <w:rPr>
          <w:rFonts w:ascii="Arial" w:hAnsi="Arial" w:cs="Arial"/>
        </w:rPr>
        <w:t xml:space="preserve"> eliminate certain disclosure and notice requirements if </w:t>
      </w:r>
      <w:r w:rsidR="00DA0E67">
        <w:rPr>
          <w:rFonts w:ascii="Arial" w:hAnsi="Arial" w:cs="Arial"/>
        </w:rPr>
        <w:t>the</w:t>
      </w:r>
      <w:r w:rsidR="003C0B69">
        <w:rPr>
          <w:rFonts w:ascii="Arial" w:hAnsi="Arial" w:cs="Arial"/>
        </w:rPr>
        <w:t xml:space="preserve"> </w:t>
      </w:r>
      <w:r w:rsidR="00DA4845">
        <w:rPr>
          <w:rFonts w:ascii="Arial" w:hAnsi="Arial" w:cs="Arial"/>
        </w:rPr>
        <w:t>annual reminder notice</w:t>
      </w:r>
      <w:r w:rsidR="00AC239A">
        <w:rPr>
          <w:rFonts w:ascii="Arial" w:hAnsi="Arial" w:cs="Arial"/>
        </w:rPr>
        <w:t xml:space="preserve"> </w:t>
      </w:r>
      <w:r w:rsidRPr="003C0B69" w:rsidR="003C0B69">
        <w:rPr>
          <w:rFonts w:ascii="Arial" w:hAnsi="Arial" w:cs="Arial"/>
        </w:rPr>
        <w:t xml:space="preserve">is provided </w:t>
      </w:r>
      <w:r w:rsidR="00AC239A">
        <w:rPr>
          <w:rFonts w:ascii="Arial" w:hAnsi="Arial" w:cs="Arial"/>
        </w:rPr>
        <w:t>instead of the annual notice required for EACAs</w:t>
      </w:r>
      <w:r w:rsidR="00911A22">
        <w:rPr>
          <w:rFonts w:ascii="Arial" w:hAnsi="Arial"/>
        </w:rPr>
        <w:t>.</w:t>
      </w:r>
    </w:p>
    <w:p w:rsidR="00F16A5E" w:rsidP="009149D0" w14:paraId="69218071" w14:textId="77777777">
      <w:pPr>
        <w:ind w:left="720"/>
        <w:rPr>
          <w:rFonts w:ascii="Arial" w:hAnsi="Arial"/>
        </w:rPr>
      </w:pPr>
    </w:p>
    <w:p w:rsidR="00F16A5E" w:rsidRPr="00210ABD" w:rsidP="00210ABD" w14:paraId="454958D9" w14:textId="77777777">
      <w:pPr>
        <w:ind w:left="720"/>
        <w:rPr>
          <w:rFonts w:ascii="Arial" w:hAnsi="Arial"/>
        </w:rPr>
      </w:pPr>
      <w:r>
        <w:rPr>
          <w:rFonts w:ascii="Arial" w:hAnsi="Arial" w:cs="Arial"/>
        </w:rPr>
        <w:t xml:space="preserve">The information contained in </w:t>
      </w:r>
      <w:r w:rsidR="007B284A">
        <w:rPr>
          <w:rFonts w:ascii="Arial" w:hAnsi="Arial" w:cs="Arial"/>
        </w:rPr>
        <w:t xml:space="preserve">proposed </w:t>
      </w:r>
      <w:r w:rsidRPr="006649DC">
        <w:rPr>
          <w:rFonts w:ascii="Arial" w:hAnsi="Arial" w:cs="Arial"/>
        </w:rPr>
        <w:t>§ 1.414A</w:t>
      </w:r>
      <w:r w:rsidRPr="006649DC">
        <w:rPr>
          <w:rFonts w:ascii="Arial" w:hAnsi="Arial" w:cs="Arial"/>
        </w:rPr>
        <w:noBreakHyphen/>
        <w:t xml:space="preserve">1 </w:t>
      </w:r>
      <w:r w:rsidR="007754FC">
        <w:rPr>
          <w:rFonts w:ascii="Arial" w:hAnsi="Arial" w:cs="Arial"/>
        </w:rPr>
        <w:t>would</w:t>
      </w:r>
      <w:r w:rsidRPr="006649DC">
        <w:rPr>
          <w:rFonts w:ascii="Arial" w:hAnsi="Arial" w:cs="Arial"/>
        </w:rPr>
        <w:t xml:space="preserve"> not change the </w:t>
      </w:r>
      <w:r>
        <w:rPr>
          <w:rFonts w:ascii="Arial" w:hAnsi="Arial" w:cs="Arial"/>
        </w:rPr>
        <w:t>information</w:t>
      </w:r>
      <w:r w:rsidRPr="006649DC">
        <w:rPr>
          <w:rFonts w:ascii="Arial" w:hAnsi="Arial" w:cs="Arial"/>
        </w:rPr>
        <w:t xml:space="preserve"> </w:t>
      </w:r>
      <w:r>
        <w:rPr>
          <w:rFonts w:ascii="Arial" w:hAnsi="Arial" w:cs="Arial"/>
        </w:rPr>
        <w:t xml:space="preserve">provided to an employee </w:t>
      </w:r>
      <w:r w:rsidR="00210ABD">
        <w:rPr>
          <w:rFonts w:ascii="Arial" w:hAnsi="Arial" w:cs="Arial"/>
        </w:rPr>
        <w:t>under</w:t>
      </w:r>
      <w:r w:rsidRPr="006649DC">
        <w:rPr>
          <w:rFonts w:ascii="Arial" w:hAnsi="Arial" w:cs="Arial"/>
        </w:rPr>
        <w:t xml:space="preserve"> § 1.414(w)</w:t>
      </w:r>
      <w:r w:rsidRPr="006649DC">
        <w:rPr>
          <w:rFonts w:ascii="Arial" w:hAnsi="Arial" w:cs="Arial"/>
        </w:rPr>
        <w:noBreakHyphen/>
        <w:t>1</w:t>
      </w:r>
      <w:r>
        <w:rPr>
          <w:rFonts w:ascii="Arial" w:hAnsi="Arial" w:cs="Arial"/>
        </w:rPr>
        <w:t xml:space="preserve"> to </w:t>
      </w:r>
      <w:r w:rsidRPr="000E581E">
        <w:rPr>
          <w:rFonts w:ascii="Arial" w:hAnsi="Arial" w:cs="Arial"/>
        </w:rPr>
        <w:t>inform the</w:t>
      </w:r>
      <w:r>
        <w:rPr>
          <w:rFonts w:ascii="Arial" w:hAnsi="Arial" w:cs="Arial"/>
        </w:rPr>
        <w:t xml:space="preserve"> employee</w:t>
      </w:r>
      <w:r w:rsidRPr="000E581E">
        <w:rPr>
          <w:rFonts w:ascii="Arial" w:hAnsi="Arial" w:cs="Arial"/>
        </w:rPr>
        <w:t xml:space="preserve"> of </w:t>
      </w:r>
      <w:r w:rsidRPr="002310A2">
        <w:rPr>
          <w:rFonts w:ascii="Arial" w:hAnsi="Arial" w:cs="Arial"/>
        </w:rPr>
        <w:t xml:space="preserve">their </w:t>
      </w:r>
      <w:r w:rsidRPr="00F16A5E">
        <w:rPr>
          <w:rFonts w:ascii="Arial" w:hAnsi="Arial" w:cs="Arial"/>
        </w:rPr>
        <w:t>rights and obligations under the EACA</w:t>
      </w:r>
      <w:r w:rsidRPr="002310A2">
        <w:rPr>
          <w:rFonts w:ascii="Arial" w:hAnsi="Arial" w:cs="Arial"/>
        </w:rPr>
        <w:t>. Rather</w:t>
      </w:r>
      <w:r>
        <w:rPr>
          <w:rFonts w:ascii="Arial" w:hAnsi="Arial" w:cs="Arial"/>
        </w:rPr>
        <w:t xml:space="preserve">, </w:t>
      </w:r>
      <w:r w:rsidR="007B284A">
        <w:rPr>
          <w:rFonts w:ascii="Arial" w:hAnsi="Arial" w:cs="Arial"/>
        </w:rPr>
        <w:t xml:space="preserve">proposed </w:t>
      </w:r>
      <w:r w:rsidRPr="006649DC">
        <w:rPr>
          <w:rFonts w:ascii="Arial" w:hAnsi="Arial" w:cs="Arial"/>
        </w:rPr>
        <w:t>§ 1.414A</w:t>
      </w:r>
      <w:r w:rsidRPr="006649DC">
        <w:rPr>
          <w:rFonts w:ascii="Arial" w:hAnsi="Arial" w:cs="Arial"/>
        </w:rPr>
        <w:noBreakHyphen/>
        <w:t xml:space="preserve">1 </w:t>
      </w:r>
      <w:r w:rsidR="007754FC">
        <w:rPr>
          <w:rFonts w:ascii="Arial" w:hAnsi="Arial" w:cs="Arial"/>
        </w:rPr>
        <w:t>would</w:t>
      </w:r>
      <w:r>
        <w:rPr>
          <w:rFonts w:ascii="Arial" w:hAnsi="Arial" w:cs="Arial"/>
        </w:rPr>
        <w:t xml:space="preserve"> expand the universe of respondents required to provide the information contained in</w:t>
      </w:r>
      <w:r w:rsidRPr="006649DC">
        <w:rPr>
          <w:rFonts w:ascii="Arial" w:hAnsi="Arial" w:cs="Arial"/>
        </w:rPr>
        <w:t xml:space="preserve"> § 1.414(w)</w:t>
      </w:r>
      <w:r w:rsidRPr="006649DC">
        <w:rPr>
          <w:rFonts w:ascii="Arial" w:hAnsi="Arial" w:cs="Arial"/>
        </w:rPr>
        <w:noBreakHyphen/>
        <w:t>1.</w:t>
      </w:r>
      <w:r w:rsidRPr="00210ABD" w:rsidR="00210ABD">
        <w:rPr>
          <w:rFonts w:ascii="Arial" w:hAnsi="Arial"/>
        </w:rPr>
        <w:t xml:space="preserve"> </w:t>
      </w:r>
      <w:r w:rsidR="00210ABD">
        <w:rPr>
          <w:rFonts w:ascii="Arial" w:hAnsi="Arial"/>
        </w:rPr>
        <w:t>The information provided to an employee under § 1.414(w)</w:t>
      </w:r>
      <w:r w:rsidR="00210ABD">
        <w:rPr>
          <w:rFonts w:ascii="Arial" w:hAnsi="Arial"/>
        </w:rPr>
        <w:noBreakHyphen/>
        <w:t>1(b)(3) enables the employee to decide whether the employee wishes to make a withdrawal from the EACA.</w:t>
      </w:r>
    </w:p>
    <w:p w:rsidR="00BD7B83" w:rsidP="0039286F" w14:paraId="29E268F5" w14:textId="77777777">
      <w:pPr>
        <w:ind w:left="720"/>
        <w:rPr>
          <w:rFonts w:ascii="Arial" w:hAnsi="Arial"/>
        </w:rPr>
      </w:pPr>
    </w:p>
    <w:p w:rsidR="00BD7B83" w:rsidP="00BD7B83" w14:paraId="6DE13699" w14:textId="77777777">
      <w:pPr>
        <w:ind w:left="720" w:hanging="720"/>
        <w:rPr>
          <w:rFonts w:ascii="Arial" w:hAnsi="Arial"/>
          <w:u w:val="single"/>
        </w:rPr>
      </w:pPr>
      <w:r>
        <w:rPr>
          <w:rFonts w:ascii="Arial" w:hAnsi="Arial"/>
        </w:rPr>
        <w:t>3.</w:t>
      </w:r>
      <w:r>
        <w:rPr>
          <w:rFonts w:ascii="Arial" w:hAnsi="Arial"/>
        </w:rPr>
        <w:tab/>
      </w:r>
      <w:r>
        <w:rPr>
          <w:rFonts w:ascii="Arial" w:hAnsi="Arial"/>
          <w:u w:val="single"/>
        </w:rPr>
        <w:t xml:space="preserve">USE OF IMPROVED INFORMATION TECHNOLOGY TO REDUCE BURDEN </w:t>
      </w:r>
    </w:p>
    <w:p w:rsidR="00BD7B83" w:rsidP="00BD7B83" w14:paraId="73F8833D" w14:textId="77777777">
      <w:pPr>
        <w:ind w:left="720" w:hanging="720"/>
        <w:rPr>
          <w:rFonts w:ascii="Arial" w:hAnsi="Arial"/>
          <w:u w:val="single"/>
        </w:rPr>
      </w:pPr>
    </w:p>
    <w:p w:rsidR="00BD7B83" w:rsidP="00BD7B83" w14:paraId="1FCFBE83" w14:textId="77777777">
      <w:pPr>
        <w:ind w:left="720" w:hanging="720"/>
        <w:rPr>
          <w:rFonts w:ascii="Arial" w:hAnsi="Arial"/>
        </w:rPr>
      </w:pPr>
      <w:r>
        <w:rPr>
          <w:rFonts w:ascii="Arial" w:hAnsi="Arial"/>
        </w:rPr>
        <w:tab/>
      </w:r>
      <w:r w:rsidR="005E05FB">
        <w:rPr>
          <w:rFonts w:ascii="Arial" w:hAnsi="Arial"/>
        </w:rPr>
        <w:t xml:space="preserve">IRS has no plans to offer electronic filing as these are third-party disclosures. </w:t>
      </w:r>
    </w:p>
    <w:p w:rsidR="003B6E14" w:rsidP="00BD7B83" w14:paraId="7FCC6B19" w14:textId="77777777">
      <w:pPr>
        <w:ind w:left="720" w:hanging="720"/>
        <w:rPr>
          <w:rFonts w:ascii="Arial" w:hAnsi="Arial"/>
        </w:rPr>
      </w:pPr>
    </w:p>
    <w:p w:rsidR="003B6E14" w:rsidP="00BD7B83" w14:paraId="6035912C" w14:textId="77777777">
      <w:pPr>
        <w:ind w:left="720" w:hanging="720"/>
        <w:rPr>
          <w:rFonts w:ascii="Arial" w:hAnsi="Arial"/>
        </w:rPr>
      </w:pPr>
      <w:r>
        <w:rPr>
          <w:rFonts w:ascii="Arial" w:hAnsi="Arial"/>
        </w:rPr>
        <w:t xml:space="preserve">4. </w:t>
      </w:r>
      <w:r>
        <w:rPr>
          <w:rFonts w:ascii="Arial" w:hAnsi="Arial"/>
        </w:rPr>
        <w:tab/>
      </w:r>
      <w:r>
        <w:rPr>
          <w:rFonts w:ascii="Arial" w:hAnsi="Arial"/>
          <w:u w:val="single"/>
        </w:rPr>
        <w:t>EFFORTS TO IDENTIFY DUPLICATION</w:t>
      </w:r>
    </w:p>
    <w:p w:rsidR="003B6E14" w:rsidP="00BD7B83" w14:paraId="020F1ED4" w14:textId="77777777">
      <w:pPr>
        <w:ind w:left="720" w:hanging="720"/>
        <w:rPr>
          <w:rFonts w:ascii="Arial" w:hAnsi="Arial"/>
        </w:rPr>
      </w:pPr>
    </w:p>
    <w:p w:rsidR="002C1F05" w:rsidRPr="002C1F05" w14:paraId="191E5654" w14:textId="77777777">
      <w:pPr>
        <w:ind w:left="720"/>
        <w:rPr>
          <w:rFonts w:ascii="Arial" w:hAnsi="Arial" w:cs="Arial"/>
          <w:iCs/>
        </w:rPr>
      </w:pPr>
      <w:r w:rsidRPr="002C1F05">
        <w:rPr>
          <w:rFonts w:ascii="Arial" w:hAnsi="Arial" w:cs="Arial"/>
          <w:iCs/>
        </w:rPr>
        <w:t>The information obtained through this collection is unique and is not already available for use or adaptation from another source.</w:t>
      </w:r>
    </w:p>
    <w:p w:rsidR="003B6E14" w:rsidP="00BD7B83" w14:paraId="3BE2878B" w14:textId="77777777">
      <w:pPr>
        <w:ind w:left="720" w:hanging="720"/>
        <w:rPr>
          <w:rFonts w:ascii="Arial" w:hAnsi="Arial"/>
        </w:rPr>
      </w:pPr>
      <w:r>
        <w:rPr>
          <w:rFonts w:ascii="Arial" w:hAnsi="Arial"/>
        </w:rPr>
        <w:t xml:space="preserve"> </w:t>
      </w:r>
    </w:p>
    <w:p w:rsidR="003B6E14" w:rsidP="00BD7B83" w14:paraId="7C76C4B9" w14:textId="77777777">
      <w:pPr>
        <w:ind w:left="720" w:hanging="720"/>
        <w:rPr>
          <w:rFonts w:ascii="Arial" w:hAnsi="Arial"/>
        </w:rPr>
      </w:pPr>
      <w:r>
        <w:rPr>
          <w:rFonts w:ascii="Arial" w:hAnsi="Arial"/>
        </w:rPr>
        <w:t>5.</w:t>
      </w:r>
      <w:r>
        <w:rPr>
          <w:rFonts w:ascii="Arial" w:hAnsi="Arial"/>
        </w:rPr>
        <w:tab/>
      </w:r>
      <w:r>
        <w:rPr>
          <w:rFonts w:ascii="Arial" w:hAnsi="Arial"/>
          <w:u w:val="single"/>
        </w:rPr>
        <w:t>METHODS TO MINIMIZE BURDEN ON S</w:t>
      </w:r>
      <w:r w:rsidR="00EF3A66">
        <w:rPr>
          <w:rFonts w:ascii="Arial" w:hAnsi="Arial"/>
          <w:u w:val="single"/>
        </w:rPr>
        <w:t xml:space="preserve">MALL BUSINESSES OR OTHER SMALL </w:t>
      </w:r>
      <w:r>
        <w:rPr>
          <w:rFonts w:ascii="Arial" w:hAnsi="Arial"/>
          <w:u w:val="single"/>
        </w:rPr>
        <w:t>ENTITIES</w:t>
      </w:r>
    </w:p>
    <w:p w:rsidR="003B6E14" w:rsidP="00BD7B83" w14:paraId="7365D641" w14:textId="77777777">
      <w:pPr>
        <w:ind w:left="720" w:hanging="720"/>
        <w:rPr>
          <w:rFonts w:ascii="Arial" w:hAnsi="Arial"/>
        </w:rPr>
      </w:pPr>
    </w:p>
    <w:p w:rsidR="003B6E14" w:rsidP="00BD7B83" w14:paraId="24D96EEE" w14:textId="77777777">
      <w:pPr>
        <w:ind w:left="720" w:hanging="720"/>
        <w:rPr>
          <w:rFonts w:ascii="Arial" w:hAnsi="Arial"/>
        </w:rPr>
      </w:pPr>
      <w:r>
        <w:rPr>
          <w:rFonts w:ascii="Arial" w:hAnsi="Arial"/>
        </w:rPr>
        <w:tab/>
      </w:r>
      <w:r w:rsidR="000E581E">
        <w:rPr>
          <w:rFonts w:ascii="Arial" w:hAnsi="Arial" w:cs="Arial"/>
        </w:rPr>
        <w:t>There are no small entities affected by this collection.</w:t>
      </w:r>
    </w:p>
    <w:p w:rsidR="003B6E14" w:rsidP="00BD7B83" w14:paraId="448168EB" w14:textId="77777777">
      <w:pPr>
        <w:ind w:left="720" w:hanging="720"/>
        <w:rPr>
          <w:rFonts w:ascii="Arial" w:hAnsi="Arial"/>
        </w:rPr>
      </w:pPr>
    </w:p>
    <w:p w:rsidR="003B6E14" w:rsidP="00BD7B83" w14:paraId="33A2CBA6" w14:textId="77777777">
      <w:pPr>
        <w:ind w:left="720" w:hanging="720"/>
        <w:rPr>
          <w:rFonts w:ascii="Arial" w:hAnsi="Arial"/>
        </w:rPr>
      </w:pPr>
      <w:r>
        <w:rPr>
          <w:rFonts w:ascii="Arial" w:hAnsi="Arial"/>
        </w:rPr>
        <w:t>6.</w:t>
      </w:r>
      <w:r>
        <w:rPr>
          <w:rFonts w:ascii="Arial" w:hAnsi="Arial"/>
        </w:rPr>
        <w:tab/>
      </w:r>
      <w:r>
        <w:rPr>
          <w:rFonts w:ascii="Arial" w:hAnsi="Arial"/>
          <w:u w:val="single"/>
        </w:rPr>
        <w:t>CONSEQUENCES OF LESS FREQUENT COLLECTION ON FEDERAL PROGRAMS</w:t>
      </w:r>
    </w:p>
    <w:p w:rsidR="003B6E14" w:rsidP="00BD7B83" w14:paraId="076B75B3" w14:textId="77777777">
      <w:pPr>
        <w:ind w:left="720" w:hanging="720"/>
        <w:rPr>
          <w:rFonts w:ascii="Arial" w:hAnsi="Arial"/>
        </w:rPr>
      </w:pPr>
    </w:p>
    <w:p w:rsidR="003B6E14" w:rsidP="00BD7B83" w14:paraId="408F1810" w14:textId="77777777">
      <w:pPr>
        <w:ind w:left="720" w:hanging="720"/>
        <w:rPr>
          <w:rFonts w:ascii="Arial" w:hAnsi="Arial"/>
        </w:rPr>
      </w:pPr>
      <w:r>
        <w:rPr>
          <w:rFonts w:ascii="Arial" w:hAnsi="Arial"/>
        </w:rPr>
        <w:tab/>
      </w:r>
      <w:r w:rsidRPr="00013CFA" w:rsidR="000E581E">
        <w:rPr>
          <w:rFonts w:ascii="Arial" w:hAnsi="Arial" w:cs="Arial"/>
        </w:rPr>
        <w:t>Less frequent collection on federal programs or policy activities could affect the correct calculation of interest charges and the association to taxpayers</w:t>
      </w:r>
      <w:r w:rsidR="005873F5">
        <w:rPr>
          <w:rFonts w:ascii="Arial" w:hAnsi="Arial" w:cs="Arial"/>
        </w:rPr>
        <w:t xml:space="preserve"> and thereby hinder the IRS from meeting its mission</w:t>
      </w:r>
      <w:r w:rsidRPr="00013CFA" w:rsidR="000E581E">
        <w:rPr>
          <w:rFonts w:ascii="Arial" w:hAnsi="Arial" w:cs="Arial"/>
        </w:rPr>
        <w:t>.</w:t>
      </w:r>
    </w:p>
    <w:p w:rsidR="003B6E14" w:rsidP="00BD7B83" w14:paraId="4C9AF4F4" w14:textId="77777777">
      <w:pPr>
        <w:ind w:left="720" w:hanging="720"/>
        <w:rPr>
          <w:rFonts w:ascii="Arial" w:hAnsi="Arial"/>
        </w:rPr>
      </w:pPr>
    </w:p>
    <w:p w:rsidR="003B6E14" w:rsidP="00BD7B83" w14:paraId="6FB417FE" w14:textId="77777777">
      <w:pPr>
        <w:ind w:left="720" w:hanging="720"/>
        <w:rPr>
          <w:rFonts w:ascii="Arial" w:hAnsi="Arial"/>
        </w:rPr>
      </w:pPr>
      <w:r>
        <w:rPr>
          <w:rFonts w:ascii="Arial" w:hAnsi="Arial"/>
        </w:rPr>
        <w:t>7.</w:t>
      </w:r>
      <w:r>
        <w:rPr>
          <w:rFonts w:ascii="Arial" w:hAnsi="Arial"/>
        </w:rPr>
        <w:tab/>
      </w:r>
      <w:r>
        <w:rPr>
          <w:rFonts w:ascii="Arial" w:hAnsi="Arial"/>
          <w:u w:val="single"/>
        </w:rPr>
        <w:t>SPECIAL CIRCUMSTANCES REQUIRING DATA COLLECTION TO BE INCONSISTENT WITH GUIDELINES IN 5 CFR 1320.5(d)(2)</w:t>
      </w:r>
    </w:p>
    <w:p w:rsidR="003B6E14" w:rsidP="00BD7B83" w14:paraId="6B0965EE" w14:textId="77777777">
      <w:pPr>
        <w:ind w:left="720" w:hanging="720"/>
        <w:rPr>
          <w:rFonts w:ascii="Arial" w:hAnsi="Arial"/>
        </w:rPr>
      </w:pPr>
    </w:p>
    <w:p w:rsidR="000E581E" w:rsidRPr="006F6EEE" w:rsidP="00D46079" w14:paraId="629842A3" w14:textId="77777777">
      <w:pPr>
        <w:ind w:left="720"/>
        <w:jc w:val="both"/>
        <w:rPr>
          <w:rFonts w:ascii="Arial" w:hAnsi="Arial" w:cs="Arial"/>
        </w:rPr>
      </w:pPr>
      <w:r w:rsidRPr="006F6EEE">
        <w:rPr>
          <w:rFonts w:ascii="Arial" w:hAnsi="Arial" w:cs="Arial"/>
        </w:rPr>
        <w:t>There are no special circumstances requiring data collection to be inconsistent with guidelines in 5 CFR 1320.5(d)(2).</w:t>
      </w:r>
    </w:p>
    <w:p w:rsidR="00BE7B24" w:rsidP="00D46079" w14:paraId="064145B4" w14:textId="77777777">
      <w:pPr>
        <w:ind w:left="720"/>
        <w:rPr>
          <w:rFonts w:ascii="Arial" w:hAnsi="Arial"/>
        </w:rPr>
      </w:pPr>
    </w:p>
    <w:p w:rsidR="00BE7B24" w:rsidP="00BD7B83" w14:paraId="111BBFBE" w14:textId="77777777">
      <w:pPr>
        <w:ind w:left="720" w:hanging="720"/>
        <w:rPr>
          <w:rFonts w:ascii="Arial" w:hAnsi="Arial"/>
          <w:u w:val="single"/>
        </w:rPr>
      </w:pPr>
      <w:r>
        <w:rPr>
          <w:rFonts w:ascii="Arial" w:hAnsi="Arial"/>
        </w:rPr>
        <w:t>8.</w:t>
      </w:r>
      <w:r w:rsidR="000B1356">
        <w:rPr>
          <w:rFonts w:ascii="Arial" w:hAnsi="Arial"/>
        </w:rPr>
        <w:tab/>
      </w:r>
      <w:r w:rsidR="000B1356">
        <w:rPr>
          <w:rFonts w:ascii="Arial" w:hAnsi="Arial"/>
          <w:u w:val="single"/>
        </w:rPr>
        <w:t>CONSULTATION WITH INDIVIDUALS OUTSIDE OF THE AGENCY ON AVAILABILITY OF DATA</w:t>
      </w:r>
      <w:r w:rsidR="00113297">
        <w:rPr>
          <w:rFonts w:ascii="Arial" w:hAnsi="Arial"/>
          <w:u w:val="single"/>
        </w:rPr>
        <w:t xml:space="preserve">, </w:t>
      </w:r>
      <w:r w:rsidR="000B1356">
        <w:rPr>
          <w:rFonts w:ascii="Arial" w:hAnsi="Arial"/>
          <w:u w:val="single"/>
        </w:rPr>
        <w:t xml:space="preserve">FREQUENCY OF COLLECTION, CLARITY OF INSTRUCTIONS AND FORMS AND DATA ELEMENTS </w:t>
      </w:r>
    </w:p>
    <w:p w:rsidR="000B1356" w:rsidP="00BD7B83" w14:paraId="70979C16" w14:textId="77777777">
      <w:pPr>
        <w:ind w:left="720" w:hanging="720"/>
        <w:rPr>
          <w:rFonts w:ascii="Arial" w:hAnsi="Arial"/>
          <w:u w:val="single"/>
        </w:rPr>
      </w:pPr>
    </w:p>
    <w:p w:rsidR="007F4F4F" w:rsidRPr="007F4F4F" w:rsidP="007F4F4F" w14:paraId="034BDD73" w14:textId="77777777">
      <w:pPr>
        <w:ind w:left="720"/>
        <w:jc w:val="both"/>
        <w:rPr>
          <w:rFonts w:ascii="Arial" w:hAnsi="Arial" w:cs="Arial"/>
        </w:rPr>
      </w:pPr>
      <w:r w:rsidRPr="007F4F4F">
        <w:rPr>
          <w:rFonts w:ascii="Arial" w:hAnsi="Arial" w:cs="Arial"/>
        </w:rPr>
        <w:t xml:space="preserve">A notice of proposed rulemaking (NPRM) was published on </w:t>
      </w:r>
      <w:r w:rsidR="0040443E">
        <w:rPr>
          <w:rFonts w:ascii="Arial" w:hAnsi="Arial" w:cs="Arial"/>
        </w:rPr>
        <w:t>January 14, 2025</w:t>
      </w:r>
      <w:r w:rsidR="00544464">
        <w:rPr>
          <w:rFonts w:ascii="Arial" w:hAnsi="Arial" w:cs="Arial"/>
        </w:rPr>
        <w:t>,</w:t>
      </w:r>
      <w:r w:rsidRPr="007F4F4F">
        <w:rPr>
          <w:rFonts w:ascii="Arial" w:hAnsi="Arial" w:cs="Arial"/>
        </w:rPr>
        <w:t xml:space="preserve"> at </w:t>
      </w:r>
      <w:r w:rsidR="00544464">
        <w:rPr>
          <w:rFonts w:ascii="Arial" w:hAnsi="Arial" w:cs="Arial"/>
        </w:rPr>
        <w:t>90</w:t>
      </w:r>
      <w:r w:rsidRPr="007F4F4F">
        <w:rPr>
          <w:rFonts w:ascii="Arial" w:hAnsi="Arial" w:cs="Arial"/>
        </w:rPr>
        <w:t xml:space="preserve"> FR </w:t>
      </w:r>
      <w:r w:rsidRPr="00544464" w:rsidR="00544464">
        <w:rPr>
          <w:rFonts w:ascii="Arial" w:hAnsi="Arial" w:cs="Arial"/>
        </w:rPr>
        <w:t>3092</w:t>
      </w:r>
      <w:r w:rsidRPr="007F4F4F">
        <w:rPr>
          <w:rFonts w:ascii="Arial" w:hAnsi="Arial" w:cs="Arial"/>
        </w:rPr>
        <w:t>, soliciting comments.  Substantive comments will be addressed in the final rule.</w:t>
      </w:r>
    </w:p>
    <w:p w:rsidR="00204442" w:rsidP="00385E4E" w14:paraId="107B3629" w14:textId="77777777">
      <w:pPr>
        <w:rPr>
          <w:rFonts w:ascii="Arial" w:hAnsi="Arial"/>
        </w:rPr>
      </w:pPr>
    </w:p>
    <w:p w:rsidR="00204442" w:rsidP="00BD7B83" w14:paraId="61D96AE8" w14:textId="77777777">
      <w:pPr>
        <w:ind w:left="720" w:hanging="720"/>
        <w:rPr>
          <w:rFonts w:ascii="Arial" w:hAnsi="Arial"/>
        </w:rPr>
      </w:pPr>
      <w:r>
        <w:rPr>
          <w:rFonts w:ascii="Arial" w:hAnsi="Arial"/>
        </w:rPr>
        <w:t>9.</w:t>
      </w:r>
      <w:r>
        <w:rPr>
          <w:rFonts w:ascii="Arial" w:hAnsi="Arial"/>
        </w:rPr>
        <w:tab/>
      </w:r>
      <w:r>
        <w:rPr>
          <w:rFonts w:ascii="Arial" w:hAnsi="Arial"/>
          <w:u w:val="single"/>
        </w:rPr>
        <w:t>EXPLANATION OF DECISION TO PROVIDE ANY PAYMENT OR GIFT TO RESPONDENTS</w:t>
      </w:r>
    </w:p>
    <w:p w:rsidR="00204442" w:rsidP="00BD7B83" w14:paraId="6CE736F9" w14:textId="77777777">
      <w:pPr>
        <w:ind w:left="720" w:hanging="720"/>
        <w:rPr>
          <w:rFonts w:ascii="Arial" w:hAnsi="Arial"/>
        </w:rPr>
      </w:pPr>
    </w:p>
    <w:p w:rsidR="00C713A7" w:rsidP="00BD7B83" w14:paraId="7D34CF7C" w14:textId="77777777">
      <w:pPr>
        <w:ind w:left="720" w:hanging="720"/>
        <w:rPr>
          <w:rFonts w:ascii="Arial" w:hAnsi="Arial"/>
        </w:rPr>
      </w:pPr>
      <w:r>
        <w:rPr>
          <w:rFonts w:ascii="Arial" w:hAnsi="Arial"/>
        </w:rPr>
        <w:tab/>
      </w:r>
      <w:r w:rsidRPr="006F6EEE" w:rsidR="000E581E">
        <w:rPr>
          <w:rFonts w:ascii="Arial" w:hAnsi="Arial" w:cs="Arial"/>
        </w:rPr>
        <w:t>No payment or gift has been provided to any respondents.</w:t>
      </w:r>
    </w:p>
    <w:p w:rsidR="00C713A7" w:rsidP="00BD7B83" w14:paraId="6E08D0F0" w14:textId="77777777">
      <w:pPr>
        <w:ind w:left="720" w:hanging="720"/>
        <w:rPr>
          <w:rFonts w:ascii="Arial" w:hAnsi="Arial"/>
        </w:rPr>
      </w:pPr>
    </w:p>
    <w:p w:rsidR="00204442" w:rsidP="00BD7B83" w14:paraId="634481FE" w14:textId="77777777">
      <w:pPr>
        <w:ind w:left="720" w:hanging="720"/>
        <w:rPr>
          <w:rFonts w:ascii="Arial" w:hAnsi="Arial"/>
        </w:rPr>
      </w:pPr>
      <w:r>
        <w:rPr>
          <w:rFonts w:ascii="Arial" w:hAnsi="Arial"/>
        </w:rPr>
        <w:t>10.</w:t>
      </w:r>
      <w:r>
        <w:rPr>
          <w:rFonts w:ascii="Arial" w:hAnsi="Arial"/>
        </w:rPr>
        <w:tab/>
      </w:r>
      <w:r>
        <w:rPr>
          <w:rFonts w:ascii="Arial" w:hAnsi="Arial"/>
          <w:u w:val="single"/>
        </w:rPr>
        <w:t>ASSUERANCE OF CONFIDENTIALITYOF RESPONSES</w:t>
      </w:r>
    </w:p>
    <w:p w:rsidR="00204442" w:rsidP="00BD7B83" w14:paraId="563BE263" w14:textId="77777777">
      <w:pPr>
        <w:ind w:left="720" w:hanging="720"/>
        <w:rPr>
          <w:rFonts w:ascii="Arial" w:hAnsi="Arial"/>
        </w:rPr>
      </w:pPr>
    </w:p>
    <w:p w:rsidR="00204442" w:rsidP="00BD7B83" w14:paraId="5268C622" w14:textId="77777777">
      <w:pPr>
        <w:ind w:left="720" w:hanging="720"/>
        <w:rPr>
          <w:rFonts w:ascii="Arial" w:hAnsi="Arial"/>
        </w:rPr>
      </w:pPr>
      <w:r>
        <w:rPr>
          <w:rFonts w:ascii="Arial" w:hAnsi="Arial"/>
        </w:rPr>
        <w:tab/>
        <w:t>Generally, tax returns and tax return information are confidential as required by 26 USC 6103.</w:t>
      </w:r>
    </w:p>
    <w:p w:rsidR="00204442" w:rsidP="00BD7B83" w14:paraId="1885DBD9" w14:textId="77777777">
      <w:pPr>
        <w:ind w:left="720" w:hanging="720"/>
        <w:rPr>
          <w:rFonts w:ascii="Arial" w:hAnsi="Arial"/>
        </w:rPr>
      </w:pPr>
    </w:p>
    <w:p w:rsidR="00204442" w:rsidP="00BD7B83" w14:paraId="624FD0F9" w14:textId="77777777">
      <w:pPr>
        <w:ind w:left="720" w:hanging="720"/>
        <w:rPr>
          <w:rFonts w:ascii="Arial" w:hAnsi="Arial"/>
        </w:rPr>
      </w:pPr>
      <w:r>
        <w:rPr>
          <w:rFonts w:ascii="Arial" w:hAnsi="Arial"/>
        </w:rPr>
        <w:t>11.</w:t>
      </w:r>
      <w:r>
        <w:rPr>
          <w:rFonts w:ascii="Arial" w:hAnsi="Arial"/>
        </w:rPr>
        <w:tab/>
      </w:r>
      <w:r>
        <w:rPr>
          <w:rFonts w:ascii="Arial" w:hAnsi="Arial"/>
          <w:u w:val="single"/>
        </w:rPr>
        <w:t>JUSTIFICATION OF SENSITIVE QUESTIONS</w:t>
      </w:r>
    </w:p>
    <w:p w:rsidR="00204442" w:rsidP="00BD7B83" w14:paraId="2B10C2B1" w14:textId="77777777">
      <w:pPr>
        <w:ind w:left="720" w:hanging="720"/>
        <w:rPr>
          <w:rFonts w:ascii="Arial" w:hAnsi="Arial"/>
        </w:rPr>
      </w:pPr>
    </w:p>
    <w:p w:rsidR="00204442" w:rsidP="00BD7B83" w14:paraId="3D09B8CC" w14:textId="77777777">
      <w:pPr>
        <w:ind w:left="720" w:hanging="720"/>
        <w:rPr>
          <w:rFonts w:ascii="Arial" w:hAnsi="Arial"/>
        </w:rPr>
      </w:pPr>
      <w:r>
        <w:rPr>
          <w:rFonts w:ascii="Arial" w:hAnsi="Arial"/>
        </w:rPr>
        <w:tab/>
      </w:r>
      <w:r w:rsidRPr="00425AC7" w:rsidR="000E581E">
        <w:rPr>
          <w:rFonts w:ascii="Arial" w:hAnsi="Arial" w:cs="Arial"/>
        </w:rPr>
        <w:t>No personally identifiable information (PII) is collected.</w:t>
      </w:r>
    </w:p>
    <w:p w:rsidR="00A208C2" w:rsidP="00BD7B83" w14:paraId="3903424D" w14:textId="77777777">
      <w:pPr>
        <w:ind w:left="720" w:hanging="720"/>
        <w:rPr>
          <w:rFonts w:ascii="Arial" w:hAnsi="Arial"/>
        </w:rPr>
      </w:pPr>
    </w:p>
    <w:p w:rsidR="00A208C2" w:rsidP="00BD7B83" w14:paraId="4D1355CB" w14:textId="77777777">
      <w:pPr>
        <w:ind w:left="720" w:hanging="720"/>
        <w:rPr>
          <w:rFonts w:ascii="Arial" w:hAnsi="Arial"/>
        </w:rPr>
      </w:pPr>
      <w:r>
        <w:rPr>
          <w:rFonts w:ascii="Arial" w:hAnsi="Arial"/>
        </w:rPr>
        <w:t>12.</w:t>
      </w:r>
      <w:r>
        <w:rPr>
          <w:rFonts w:ascii="Arial" w:hAnsi="Arial"/>
        </w:rPr>
        <w:tab/>
      </w:r>
      <w:r>
        <w:rPr>
          <w:rFonts w:ascii="Arial" w:hAnsi="Arial"/>
          <w:u w:val="single"/>
        </w:rPr>
        <w:t>ESTIMATED BURDEN OF INFORMATION COLLECTION</w:t>
      </w:r>
    </w:p>
    <w:p w:rsidR="00A208C2" w:rsidP="00BD7B83" w14:paraId="79CF3412" w14:textId="77777777">
      <w:pPr>
        <w:ind w:left="720" w:hanging="720"/>
        <w:rPr>
          <w:rFonts w:ascii="Arial" w:hAnsi="Arial"/>
        </w:rPr>
      </w:pPr>
    </w:p>
    <w:p w:rsidR="00A208C2" w:rsidP="00BD7B83" w14:paraId="1D0D82E3" w14:textId="77777777">
      <w:pPr>
        <w:ind w:left="720" w:hanging="720"/>
        <w:rPr>
          <w:rFonts w:ascii="Arial" w:hAnsi="Arial"/>
        </w:rPr>
      </w:pPr>
      <w:r>
        <w:rPr>
          <w:rFonts w:ascii="Arial" w:hAnsi="Arial"/>
        </w:rPr>
        <w:tab/>
      </w:r>
      <w:r w:rsidR="00D679A4">
        <w:rPr>
          <w:rFonts w:ascii="Arial" w:hAnsi="Arial"/>
        </w:rPr>
        <w:t>For 1.401(k)-3, w</w:t>
      </w:r>
      <w:r>
        <w:rPr>
          <w:rFonts w:ascii="Arial" w:hAnsi="Arial"/>
        </w:rPr>
        <w:t>e estimate 25,000 employers will maintain QACA’s.  We estimate the number of eligible employees will be 5,000,000. We anticipate it will take each employer</w:t>
      </w:r>
      <w:r w:rsidR="00080B55">
        <w:rPr>
          <w:rFonts w:ascii="Arial" w:hAnsi="Arial"/>
        </w:rPr>
        <w:t xml:space="preserve"> one</w:t>
      </w:r>
      <w:r>
        <w:rPr>
          <w:rFonts w:ascii="Arial" w:hAnsi="Arial"/>
        </w:rPr>
        <w:t xml:space="preserve"> hour to get to all eligible employees the information</w:t>
      </w:r>
      <w:r w:rsidR="00D679A4">
        <w:rPr>
          <w:rFonts w:ascii="Arial" w:hAnsi="Arial"/>
        </w:rPr>
        <w:t xml:space="preserve">. </w:t>
      </w:r>
      <w:r>
        <w:rPr>
          <w:rFonts w:ascii="Arial" w:hAnsi="Arial"/>
        </w:rPr>
        <w:t>Thus, the total burden</w:t>
      </w:r>
      <w:r w:rsidR="00080B55">
        <w:rPr>
          <w:rFonts w:ascii="Arial" w:hAnsi="Arial"/>
        </w:rPr>
        <w:t xml:space="preserve"> </w:t>
      </w:r>
      <w:r>
        <w:rPr>
          <w:rFonts w:ascii="Arial" w:hAnsi="Arial"/>
        </w:rPr>
        <w:t>will be 2</w:t>
      </w:r>
      <w:r w:rsidR="00080B55">
        <w:rPr>
          <w:rFonts w:ascii="Arial" w:hAnsi="Arial"/>
        </w:rPr>
        <w:t>5</w:t>
      </w:r>
      <w:r>
        <w:rPr>
          <w:rFonts w:ascii="Arial" w:hAnsi="Arial"/>
        </w:rPr>
        <w:t>,000 hours.</w:t>
      </w:r>
    </w:p>
    <w:p w:rsidR="00884E8F" w:rsidP="00BD7B83" w14:paraId="2A630B1E" w14:textId="77777777">
      <w:pPr>
        <w:ind w:left="720" w:hanging="720"/>
        <w:rPr>
          <w:rFonts w:ascii="Arial" w:hAnsi="Arial"/>
        </w:rPr>
      </w:pPr>
    </w:p>
    <w:p w:rsidR="00855F30" w:rsidP="00D679A4" w14:paraId="34AE50C5" w14:textId="77777777">
      <w:pPr>
        <w:ind w:left="720" w:hanging="720"/>
        <w:rPr>
          <w:rFonts w:ascii="Arial" w:hAnsi="Arial"/>
        </w:rPr>
      </w:pPr>
      <w:r>
        <w:rPr>
          <w:rFonts w:ascii="Arial" w:hAnsi="Arial"/>
        </w:rPr>
        <w:tab/>
      </w:r>
      <w:r w:rsidR="00D679A4">
        <w:rPr>
          <w:rFonts w:ascii="Arial" w:hAnsi="Arial"/>
        </w:rPr>
        <w:t>For 1.414(w)-1, w</w:t>
      </w:r>
      <w:r>
        <w:rPr>
          <w:rFonts w:ascii="Arial" w:hAnsi="Arial"/>
        </w:rPr>
        <w:t xml:space="preserve">e estimate 30,000 employers will maintain EACA’s.  However, we anticipate that 25,000 of these </w:t>
      </w:r>
      <w:r>
        <w:rPr>
          <w:rFonts w:ascii="Arial" w:hAnsi="Arial"/>
        </w:rPr>
        <w:t xml:space="preserve">will be the employers who maintain QACA’s.  We estimate the total number of employees will be 6,000,000. We anticipate it will take each employer </w:t>
      </w:r>
      <w:r w:rsidR="00080B55">
        <w:rPr>
          <w:rFonts w:ascii="Arial" w:hAnsi="Arial"/>
        </w:rPr>
        <w:t>one</w:t>
      </w:r>
      <w:r>
        <w:rPr>
          <w:rFonts w:ascii="Arial" w:hAnsi="Arial"/>
        </w:rPr>
        <w:t xml:space="preserve"> hour to g</w:t>
      </w:r>
      <w:r w:rsidR="00080B55">
        <w:rPr>
          <w:rFonts w:ascii="Arial" w:hAnsi="Arial"/>
        </w:rPr>
        <w:t>ive</w:t>
      </w:r>
      <w:r>
        <w:rPr>
          <w:rFonts w:ascii="Arial" w:hAnsi="Arial"/>
        </w:rPr>
        <w:t xml:space="preserve"> the information</w:t>
      </w:r>
      <w:r w:rsidR="00D679A4">
        <w:rPr>
          <w:rFonts w:ascii="Arial" w:hAnsi="Arial"/>
        </w:rPr>
        <w:t xml:space="preserve">.  </w:t>
      </w:r>
      <w:r>
        <w:rPr>
          <w:rFonts w:ascii="Arial" w:hAnsi="Arial"/>
        </w:rPr>
        <w:t xml:space="preserve">We anticipate that the </w:t>
      </w:r>
      <w:r>
        <w:rPr>
          <w:rFonts w:ascii="Arial" w:hAnsi="Arial"/>
        </w:rPr>
        <w:t xml:space="preserve">employers who maintain QACA’s will furnish the QACA and EACA information at the same time. Thus, there will only be an additional 5,000 employers who furnish only EACA information.  Thus, the total </w:t>
      </w:r>
      <w:r w:rsidR="00080B55">
        <w:rPr>
          <w:rFonts w:ascii="Arial" w:hAnsi="Arial"/>
        </w:rPr>
        <w:t xml:space="preserve">additional </w:t>
      </w:r>
      <w:r>
        <w:rPr>
          <w:rFonts w:ascii="Arial" w:hAnsi="Arial"/>
        </w:rPr>
        <w:t xml:space="preserve">burden will be </w:t>
      </w:r>
      <w:r w:rsidR="00080B55">
        <w:rPr>
          <w:rFonts w:ascii="Arial" w:hAnsi="Arial"/>
        </w:rPr>
        <w:t>5</w:t>
      </w:r>
      <w:r>
        <w:rPr>
          <w:rFonts w:ascii="Arial" w:hAnsi="Arial"/>
        </w:rPr>
        <w:t>,000 hours.</w:t>
      </w:r>
    </w:p>
    <w:p w:rsidR="00667A83" w:rsidP="00D679A4" w14:paraId="1E5D6B5D" w14:textId="77777777">
      <w:pPr>
        <w:ind w:left="720" w:hanging="720"/>
        <w:rPr>
          <w:rFonts w:ascii="Arial" w:hAnsi="Arial"/>
        </w:rPr>
      </w:pPr>
    </w:p>
    <w:p w:rsidR="00EF7F50" w:rsidP="00D679A4" w14:paraId="00EC8171" w14:textId="77777777">
      <w:pPr>
        <w:ind w:left="720" w:hanging="720"/>
        <w:rPr>
          <w:rFonts w:ascii="Arial" w:hAnsi="Arial"/>
        </w:rPr>
      </w:pPr>
      <w:r>
        <w:rPr>
          <w:rFonts w:ascii="Arial" w:hAnsi="Arial"/>
        </w:rPr>
        <w:tab/>
        <w:t xml:space="preserve">For proposed </w:t>
      </w:r>
      <w:r w:rsidRPr="00667A83">
        <w:rPr>
          <w:rFonts w:ascii="Arial" w:hAnsi="Arial"/>
        </w:rPr>
        <w:t>§1.414(w)-1</w:t>
      </w:r>
      <w:r>
        <w:rPr>
          <w:rFonts w:ascii="Arial" w:hAnsi="Arial"/>
        </w:rPr>
        <w:t xml:space="preserve">, we </w:t>
      </w:r>
      <w:r>
        <w:rPr>
          <w:rFonts w:ascii="Arial" w:hAnsi="Arial"/>
        </w:rPr>
        <w:t xml:space="preserve">estimate the number of affect plans could be 90,000 to 140,000 plans, for an average of 115,000. Each plan could have multiple unenrolled participants within a given year.  For calculation purposes, </w:t>
      </w:r>
      <w:r>
        <w:rPr>
          <w:rFonts w:ascii="Arial" w:hAnsi="Arial"/>
        </w:rPr>
        <w:t>We</w:t>
      </w:r>
      <w:r>
        <w:rPr>
          <w:rFonts w:ascii="Arial" w:hAnsi="Arial"/>
        </w:rPr>
        <w:t xml:space="preserve"> estimate that each employer plan has 35 unenrolled participants that could receive the annual notice. We estimate that it would take hour to draft and provide the notice to all unenrolled employees. </w:t>
      </w:r>
    </w:p>
    <w:p w:rsidR="00EF7F50" w:rsidP="00D679A4" w14:paraId="0C2E7770" w14:textId="77777777">
      <w:pPr>
        <w:ind w:left="720" w:hanging="720"/>
        <w:rPr>
          <w:rFonts w:ascii="Arial" w:hAnsi="Arial"/>
        </w:rPr>
      </w:pPr>
    </w:p>
    <w:p w:rsidR="00667A83" w:rsidP="00EF7F50" w14:paraId="6DA8BDAE" w14:textId="77777777">
      <w:pPr>
        <w:ind w:left="720"/>
        <w:rPr>
          <w:rFonts w:ascii="Arial" w:hAnsi="Arial"/>
        </w:rPr>
      </w:pPr>
      <w:r>
        <w:rPr>
          <w:rFonts w:ascii="Arial" w:hAnsi="Arial"/>
        </w:rPr>
        <w:t xml:space="preserve">For proposed </w:t>
      </w:r>
      <w:r w:rsidRPr="00667A83">
        <w:rPr>
          <w:rFonts w:ascii="Arial" w:hAnsi="Arial"/>
        </w:rPr>
        <w:t>§1.414</w:t>
      </w:r>
      <w:r>
        <w:rPr>
          <w:rFonts w:ascii="Arial" w:hAnsi="Arial"/>
        </w:rPr>
        <w:t>A-</w:t>
      </w:r>
      <w:r w:rsidRPr="00667A83">
        <w:rPr>
          <w:rFonts w:ascii="Arial" w:hAnsi="Arial"/>
        </w:rPr>
        <w:t>1</w:t>
      </w:r>
      <w:r>
        <w:rPr>
          <w:rFonts w:ascii="Arial" w:hAnsi="Arial"/>
        </w:rPr>
        <w:t xml:space="preserve">, we estimate the 16,000 new plans could be established within a given year that would not otherwise be EACAs, except for the requirements of section 414A.  Notice would be given to eligible employees once per year. Plans may have multiple eligible employees. For calculation purposes, we estimate that each new plan would have 60 eligible employees. We estimate that it would take 1 hours to draft and provide notice to all eligible employees. </w:t>
      </w:r>
    </w:p>
    <w:p w:rsidR="00855F30" w:rsidP="00BD7B83" w14:paraId="7D81B82D" w14:textId="77777777">
      <w:pPr>
        <w:ind w:left="720" w:hanging="720"/>
        <w:rPr>
          <w:rFonts w:ascii="Arial" w:hAnsi="Arial"/>
        </w:rPr>
      </w:pPr>
    </w:p>
    <w:tbl>
      <w:tblPr>
        <w:tblW w:w="90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537"/>
        <w:gridCol w:w="1610"/>
        <w:gridCol w:w="1488"/>
        <w:gridCol w:w="1390"/>
        <w:gridCol w:w="1488"/>
        <w:gridCol w:w="1012"/>
      </w:tblGrid>
      <w:tr w14:paraId="44A8597A" w14:textId="77777777" w:rsidTr="00EF7F50">
        <w:tblPrEx>
          <w:tblW w:w="90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12"/>
        </w:trPr>
        <w:tc>
          <w:tcPr>
            <w:tcW w:w="1169" w:type="dxa"/>
            <w:shd w:val="clear" w:color="auto" w:fill="auto"/>
            <w:vAlign w:val="bottom"/>
          </w:tcPr>
          <w:p w:rsidR="005873F5" w:rsidRPr="000F43AA" w:rsidP="00862F85" w14:paraId="74839799" w14:textId="77777777">
            <w:pPr>
              <w:keepNext/>
              <w:keepLines/>
              <w:numPr>
                <w:ilvl w:val="12"/>
                <w:numId w:val="0"/>
              </w:numPr>
              <w:jc w:val="center"/>
              <w:rPr>
                <w:rFonts w:ascii="Arial" w:hAnsi="Arial" w:cs="Arial"/>
                <w:b/>
                <w:sz w:val="22"/>
                <w:szCs w:val="22"/>
              </w:rPr>
            </w:pPr>
            <w:bookmarkStart w:id="0" w:name="_Hlk495931810"/>
            <w:r w:rsidRPr="000F43AA">
              <w:rPr>
                <w:rFonts w:ascii="Arial" w:hAnsi="Arial" w:cs="Arial"/>
                <w:b/>
                <w:sz w:val="22"/>
                <w:szCs w:val="22"/>
              </w:rPr>
              <w:t>Authority</w:t>
            </w:r>
          </w:p>
        </w:tc>
        <w:tc>
          <w:tcPr>
            <w:tcW w:w="1420" w:type="dxa"/>
            <w:vAlign w:val="bottom"/>
          </w:tcPr>
          <w:p w:rsidR="005873F5" w:rsidRPr="000F43AA" w:rsidP="00862F85" w14:paraId="775BAF28" w14:textId="77777777">
            <w:pPr>
              <w:keepNext/>
              <w:keepLines/>
              <w:numPr>
                <w:ilvl w:val="12"/>
                <w:numId w:val="0"/>
              </w:numPr>
              <w:jc w:val="center"/>
              <w:rPr>
                <w:rFonts w:ascii="Arial" w:hAnsi="Arial" w:cs="Arial"/>
                <w:b/>
                <w:sz w:val="22"/>
                <w:szCs w:val="22"/>
              </w:rPr>
            </w:pPr>
            <w:r w:rsidRPr="000F43AA">
              <w:rPr>
                <w:rFonts w:ascii="Arial" w:hAnsi="Arial" w:cs="Arial"/>
                <w:b/>
                <w:sz w:val="22"/>
                <w:szCs w:val="22"/>
              </w:rPr>
              <w:t>Description</w:t>
            </w:r>
          </w:p>
        </w:tc>
        <w:tc>
          <w:tcPr>
            <w:tcW w:w="1488" w:type="dxa"/>
            <w:vAlign w:val="bottom"/>
          </w:tcPr>
          <w:p w:rsidR="005873F5" w:rsidRPr="000F43AA" w:rsidP="00862F85" w14:paraId="135B8500" w14:textId="77777777">
            <w:pPr>
              <w:keepNext/>
              <w:keepLines/>
              <w:numPr>
                <w:ilvl w:val="12"/>
                <w:numId w:val="0"/>
              </w:numPr>
              <w:jc w:val="center"/>
              <w:rPr>
                <w:rFonts w:ascii="Arial" w:hAnsi="Arial" w:cs="Arial"/>
                <w:b/>
                <w:sz w:val="22"/>
                <w:szCs w:val="22"/>
              </w:rPr>
            </w:pPr>
            <w:r w:rsidRPr="000F43AA">
              <w:rPr>
                <w:rFonts w:ascii="Arial" w:hAnsi="Arial" w:cs="Arial"/>
                <w:b/>
                <w:sz w:val="22"/>
                <w:szCs w:val="22"/>
              </w:rPr>
              <w:t># of Respondents</w:t>
            </w:r>
          </w:p>
        </w:tc>
        <w:tc>
          <w:tcPr>
            <w:tcW w:w="1374" w:type="dxa"/>
            <w:vAlign w:val="bottom"/>
          </w:tcPr>
          <w:p w:rsidR="005873F5" w:rsidRPr="000F43AA" w:rsidP="00862F85" w14:paraId="390A0108" w14:textId="77777777">
            <w:pPr>
              <w:keepNext/>
              <w:keepLines/>
              <w:numPr>
                <w:ilvl w:val="12"/>
                <w:numId w:val="0"/>
              </w:numPr>
              <w:jc w:val="center"/>
              <w:rPr>
                <w:rFonts w:ascii="Arial" w:hAnsi="Arial" w:cs="Arial"/>
                <w:b/>
                <w:sz w:val="22"/>
                <w:szCs w:val="22"/>
              </w:rPr>
            </w:pPr>
            <w:r w:rsidRPr="000F43AA">
              <w:rPr>
                <w:rFonts w:ascii="Arial" w:hAnsi="Arial" w:cs="Arial"/>
                <w:b/>
                <w:sz w:val="22"/>
                <w:szCs w:val="22"/>
              </w:rPr>
              <w:t># Responses per Respondent</w:t>
            </w:r>
          </w:p>
        </w:tc>
        <w:tc>
          <w:tcPr>
            <w:tcW w:w="1283" w:type="dxa"/>
            <w:shd w:val="clear" w:color="auto" w:fill="auto"/>
            <w:vAlign w:val="bottom"/>
          </w:tcPr>
          <w:p w:rsidR="005873F5" w:rsidRPr="000F43AA" w:rsidP="00862F85" w14:paraId="4FD653F1" w14:textId="77777777">
            <w:pPr>
              <w:keepNext/>
              <w:keepLines/>
              <w:numPr>
                <w:ilvl w:val="12"/>
                <w:numId w:val="0"/>
              </w:numPr>
              <w:jc w:val="center"/>
              <w:rPr>
                <w:rFonts w:ascii="Arial" w:hAnsi="Arial" w:cs="Arial"/>
                <w:b/>
                <w:sz w:val="22"/>
                <w:szCs w:val="22"/>
              </w:rPr>
            </w:pPr>
            <w:r w:rsidRPr="000F43AA">
              <w:rPr>
                <w:rFonts w:ascii="Arial" w:hAnsi="Arial" w:cs="Arial"/>
                <w:b/>
                <w:sz w:val="22"/>
                <w:szCs w:val="22"/>
              </w:rPr>
              <w:t>Annual Responses</w:t>
            </w:r>
          </w:p>
        </w:tc>
        <w:tc>
          <w:tcPr>
            <w:tcW w:w="1374" w:type="dxa"/>
            <w:vAlign w:val="bottom"/>
          </w:tcPr>
          <w:p w:rsidR="005873F5" w:rsidRPr="000F43AA" w:rsidP="00862F85" w14:paraId="6C5F1BB1" w14:textId="77777777">
            <w:pPr>
              <w:keepNext/>
              <w:keepLines/>
              <w:numPr>
                <w:ilvl w:val="12"/>
                <w:numId w:val="0"/>
              </w:numPr>
              <w:jc w:val="center"/>
              <w:rPr>
                <w:rFonts w:ascii="Arial" w:hAnsi="Arial" w:cs="Arial"/>
                <w:b/>
                <w:sz w:val="22"/>
                <w:szCs w:val="22"/>
              </w:rPr>
            </w:pPr>
            <w:r w:rsidRPr="000F43AA">
              <w:rPr>
                <w:rFonts w:ascii="Arial" w:hAnsi="Arial" w:cs="Arial"/>
                <w:b/>
                <w:sz w:val="22"/>
                <w:szCs w:val="22"/>
              </w:rPr>
              <w:t xml:space="preserve">Hours per </w:t>
            </w:r>
            <w:r w:rsidRPr="000F43AA" w:rsidR="00D6656F">
              <w:rPr>
                <w:rFonts w:ascii="Arial" w:hAnsi="Arial" w:cs="Arial"/>
                <w:b/>
                <w:sz w:val="22"/>
                <w:szCs w:val="22"/>
              </w:rPr>
              <w:t>Respondent</w:t>
            </w:r>
          </w:p>
        </w:tc>
        <w:tc>
          <w:tcPr>
            <w:tcW w:w="929" w:type="dxa"/>
            <w:shd w:val="clear" w:color="auto" w:fill="auto"/>
            <w:vAlign w:val="bottom"/>
          </w:tcPr>
          <w:p w:rsidR="005873F5" w:rsidRPr="000F43AA" w:rsidP="00862F85" w14:paraId="17B638A9" w14:textId="77777777">
            <w:pPr>
              <w:keepNext/>
              <w:keepLines/>
              <w:numPr>
                <w:ilvl w:val="12"/>
                <w:numId w:val="0"/>
              </w:numPr>
              <w:jc w:val="center"/>
              <w:rPr>
                <w:rFonts w:ascii="Arial" w:hAnsi="Arial" w:cs="Arial"/>
                <w:b/>
                <w:sz w:val="22"/>
                <w:szCs w:val="22"/>
              </w:rPr>
            </w:pPr>
            <w:r w:rsidRPr="000F43AA">
              <w:rPr>
                <w:rFonts w:ascii="Arial" w:hAnsi="Arial" w:cs="Arial"/>
                <w:b/>
                <w:sz w:val="22"/>
                <w:szCs w:val="22"/>
              </w:rPr>
              <w:t>Total Burden</w:t>
            </w:r>
          </w:p>
        </w:tc>
      </w:tr>
      <w:tr w14:paraId="51AD456E" w14:textId="77777777" w:rsidTr="00EF7F50">
        <w:tblPrEx>
          <w:tblW w:w="9037" w:type="dxa"/>
          <w:tblInd w:w="828" w:type="dxa"/>
          <w:tblLook w:val="04A0"/>
        </w:tblPrEx>
        <w:trPr>
          <w:trHeight w:val="136"/>
        </w:trPr>
        <w:tc>
          <w:tcPr>
            <w:tcW w:w="1169" w:type="dxa"/>
            <w:shd w:val="clear" w:color="auto" w:fill="auto"/>
            <w:vAlign w:val="bottom"/>
          </w:tcPr>
          <w:p w:rsidR="005873F5" w:rsidRPr="000F43AA" w:rsidP="00862F85" w14:paraId="097D6C00" w14:textId="77777777">
            <w:pPr>
              <w:keepNext/>
              <w:keepLines/>
              <w:numPr>
                <w:ilvl w:val="12"/>
                <w:numId w:val="0"/>
              </w:numPr>
              <w:jc w:val="center"/>
              <w:rPr>
                <w:rFonts w:ascii="Arial" w:hAnsi="Arial" w:cs="Arial"/>
                <w:sz w:val="22"/>
                <w:szCs w:val="22"/>
              </w:rPr>
            </w:pPr>
            <w:r w:rsidRPr="000F43AA">
              <w:rPr>
                <w:rFonts w:ascii="Arial" w:hAnsi="Arial" w:cs="Arial"/>
                <w:sz w:val="22"/>
                <w:szCs w:val="22"/>
              </w:rPr>
              <w:t>§</w:t>
            </w:r>
            <w:r w:rsidRPr="000F43AA">
              <w:rPr>
                <w:rFonts w:ascii="Arial" w:hAnsi="Arial" w:cs="Arial"/>
                <w:sz w:val="22"/>
                <w:szCs w:val="22"/>
              </w:rPr>
              <w:t>1.401(k)-3</w:t>
            </w:r>
          </w:p>
        </w:tc>
        <w:tc>
          <w:tcPr>
            <w:tcW w:w="1420" w:type="dxa"/>
            <w:vAlign w:val="bottom"/>
          </w:tcPr>
          <w:p w:rsidR="005873F5" w:rsidRPr="000F43AA" w:rsidP="00862F85" w14:paraId="2BA4E4D6" w14:textId="77777777">
            <w:pPr>
              <w:keepNext/>
              <w:keepLines/>
              <w:numPr>
                <w:ilvl w:val="12"/>
                <w:numId w:val="0"/>
              </w:numPr>
              <w:jc w:val="center"/>
              <w:rPr>
                <w:rFonts w:ascii="Arial" w:hAnsi="Arial" w:cs="Arial"/>
                <w:sz w:val="22"/>
                <w:szCs w:val="22"/>
              </w:rPr>
            </w:pPr>
            <w:r w:rsidRPr="000F43AA">
              <w:rPr>
                <w:rFonts w:ascii="Arial" w:hAnsi="Arial" w:cs="Arial"/>
                <w:sz w:val="22"/>
                <w:szCs w:val="22"/>
              </w:rPr>
              <w:t>QACA</w:t>
            </w:r>
          </w:p>
        </w:tc>
        <w:tc>
          <w:tcPr>
            <w:tcW w:w="1488" w:type="dxa"/>
            <w:vAlign w:val="bottom"/>
          </w:tcPr>
          <w:p w:rsidR="005873F5" w:rsidRPr="000F43AA" w:rsidP="00862F85" w14:paraId="6FEBBF5B" w14:textId="77777777">
            <w:pPr>
              <w:keepNext/>
              <w:keepLines/>
              <w:numPr>
                <w:ilvl w:val="12"/>
                <w:numId w:val="0"/>
              </w:numPr>
              <w:jc w:val="center"/>
              <w:rPr>
                <w:rFonts w:ascii="Arial" w:hAnsi="Arial" w:cs="Arial"/>
                <w:sz w:val="22"/>
                <w:szCs w:val="22"/>
              </w:rPr>
            </w:pPr>
            <w:r w:rsidRPr="000F43AA">
              <w:rPr>
                <w:rFonts w:ascii="Arial" w:hAnsi="Arial" w:cs="Arial"/>
                <w:sz w:val="22"/>
                <w:szCs w:val="22"/>
              </w:rPr>
              <w:t>25</w:t>
            </w:r>
            <w:r w:rsidRPr="000F43AA" w:rsidR="00D6656F">
              <w:rPr>
                <w:rFonts w:ascii="Arial" w:hAnsi="Arial" w:cs="Arial"/>
                <w:sz w:val="22"/>
                <w:szCs w:val="22"/>
              </w:rPr>
              <w:t>,</w:t>
            </w:r>
            <w:r w:rsidRPr="000F43AA">
              <w:rPr>
                <w:rFonts w:ascii="Arial" w:hAnsi="Arial" w:cs="Arial"/>
                <w:sz w:val="22"/>
                <w:szCs w:val="22"/>
              </w:rPr>
              <w:t>000</w:t>
            </w:r>
          </w:p>
        </w:tc>
        <w:tc>
          <w:tcPr>
            <w:tcW w:w="1374" w:type="dxa"/>
            <w:vAlign w:val="bottom"/>
          </w:tcPr>
          <w:p w:rsidR="005873F5" w:rsidRPr="000F43AA" w:rsidP="00862F85" w14:paraId="4218E930" w14:textId="77777777">
            <w:pPr>
              <w:keepNext/>
              <w:keepLines/>
              <w:numPr>
                <w:ilvl w:val="12"/>
                <w:numId w:val="0"/>
              </w:numPr>
              <w:jc w:val="center"/>
              <w:rPr>
                <w:rFonts w:ascii="Arial" w:hAnsi="Arial" w:cs="Arial"/>
                <w:sz w:val="22"/>
                <w:szCs w:val="22"/>
              </w:rPr>
            </w:pPr>
            <w:r w:rsidRPr="000F43AA">
              <w:rPr>
                <w:rFonts w:ascii="Arial" w:hAnsi="Arial" w:cs="Arial"/>
                <w:sz w:val="22"/>
                <w:szCs w:val="22"/>
              </w:rPr>
              <w:t>200</w:t>
            </w:r>
          </w:p>
        </w:tc>
        <w:tc>
          <w:tcPr>
            <w:tcW w:w="1283" w:type="dxa"/>
            <w:shd w:val="clear" w:color="auto" w:fill="auto"/>
            <w:vAlign w:val="bottom"/>
          </w:tcPr>
          <w:p w:rsidR="005873F5" w:rsidRPr="000F43AA" w:rsidP="00862F85" w14:paraId="50B6BC44" w14:textId="77777777">
            <w:pPr>
              <w:keepNext/>
              <w:keepLines/>
              <w:numPr>
                <w:ilvl w:val="12"/>
                <w:numId w:val="0"/>
              </w:numPr>
              <w:jc w:val="center"/>
              <w:rPr>
                <w:rFonts w:ascii="Arial" w:hAnsi="Arial" w:cs="Arial"/>
                <w:sz w:val="22"/>
                <w:szCs w:val="22"/>
              </w:rPr>
            </w:pPr>
            <w:r w:rsidRPr="000F43AA">
              <w:rPr>
                <w:rFonts w:ascii="Arial" w:hAnsi="Arial" w:cs="Arial"/>
                <w:sz w:val="22"/>
                <w:szCs w:val="22"/>
              </w:rPr>
              <w:t>5,000,000</w:t>
            </w:r>
          </w:p>
        </w:tc>
        <w:tc>
          <w:tcPr>
            <w:tcW w:w="1374" w:type="dxa"/>
            <w:vAlign w:val="bottom"/>
          </w:tcPr>
          <w:p w:rsidR="005873F5" w:rsidRPr="000F43AA" w:rsidP="00862F85" w14:paraId="0D6150C7" w14:textId="77777777">
            <w:pPr>
              <w:keepNext/>
              <w:keepLines/>
              <w:numPr>
                <w:ilvl w:val="12"/>
                <w:numId w:val="0"/>
              </w:numPr>
              <w:jc w:val="center"/>
              <w:rPr>
                <w:rFonts w:ascii="Arial" w:hAnsi="Arial" w:cs="Arial"/>
                <w:sz w:val="22"/>
                <w:szCs w:val="22"/>
              </w:rPr>
            </w:pPr>
            <w:r w:rsidRPr="000F43AA">
              <w:rPr>
                <w:rFonts w:ascii="Arial" w:hAnsi="Arial" w:cs="Arial"/>
                <w:sz w:val="22"/>
                <w:szCs w:val="22"/>
              </w:rPr>
              <w:t>1</w:t>
            </w:r>
          </w:p>
        </w:tc>
        <w:tc>
          <w:tcPr>
            <w:tcW w:w="929" w:type="dxa"/>
            <w:shd w:val="clear" w:color="auto" w:fill="auto"/>
            <w:vAlign w:val="bottom"/>
          </w:tcPr>
          <w:p w:rsidR="005873F5" w:rsidRPr="000F43AA" w:rsidP="00862F85" w14:paraId="69648E20" w14:textId="77777777">
            <w:pPr>
              <w:keepNext/>
              <w:keepLines/>
              <w:numPr>
                <w:ilvl w:val="12"/>
                <w:numId w:val="0"/>
              </w:numPr>
              <w:jc w:val="center"/>
              <w:rPr>
                <w:rFonts w:ascii="Arial" w:hAnsi="Arial" w:cs="Arial"/>
                <w:sz w:val="22"/>
                <w:szCs w:val="22"/>
              </w:rPr>
            </w:pPr>
            <w:r w:rsidRPr="000F43AA">
              <w:rPr>
                <w:rFonts w:ascii="Arial" w:hAnsi="Arial" w:cs="Arial"/>
                <w:sz w:val="22"/>
                <w:szCs w:val="22"/>
              </w:rPr>
              <w:t>25,000</w:t>
            </w:r>
          </w:p>
        </w:tc>
      </w:tr>
      <w:tr w14:paraId="44987B30" w14:textId="77777777" w:rsidTr="00EF7F50">
        <w:tblPrEx>
          <w:tblW w:w="9037" w:type="dxa"/>
          <w:tblInd w:w="828" w:type="dxa"/>
          <w:tblLook w:val="04A0"/>
        </w:tblPrEx>
        <w:trPr>
          <w:trHeight w:val="606"/>
        </w:trPr>
        <w:tc>
          <w:tcPr>
            <w:tcW w:w="1169" w:type="dxa"/>
            <w:shd w:val="clear" w:color="auto" w:fill="auto"/>
            <w:vAlign w:val="bottom"/>
          </w:tcPr>
          <w:p w:rsidR="005873F5" w:rsidRPr="000F43AA" w:rsidP="00862F85" w14:paraId="7F4D64B3" w14:textId="77777777">
            <w:pPr>
              <w:keepNext/>
              <w:keepLines/>
              <w:numPr>
                <w:ilvl w:val="12"/>
                <w:numId w:val="0"/>
              </w:numPr>
              <w:jc w:val="center"/>
              <w:rPr>
                <w:rFonts w:ascii="Arial" w:hAnsi="Arial" w:cs="Arial"/>
                <w:sz w:val="22"/>
                <w:szCs w:val="22"/>
              </w:rPr>
            </w:pPr>
            <w:r w:rsidRPr="000F43AA">
              <w:rPr>
                <w:rFonts w:ascii="Arial" w:hAnsi="Arial" w:cs="Arial"/>
                <w:sz w:val="22"/>
                <w:szCs w:val="22"/>
              </w:rPr>
              <w:t>§1.414(w)-1</w:t>
            </w:r>
          </w:p>
        </w:tc>
        <w:tc>
          <w:tcPr>
            <w:tcW w:w="1420" w:type="dxa"/>
            <w:vAlign w:val="bottom"/>
          </w:tcPr>
          <w:p w:rsidR="005873F5" w:rsidRPr="000F43AA" w:rsidP="00862F85" w14:paraId="571D1BC4" w14:textId="77777777">
            <w:pPr>
              <w:keepNext/>
              <w:keepLines/>
              <w:numPr>
                <w:ilvl w:val="12"/>
                <w:numId w:val="0"/>
              </w:numPr>
              <w:jc w:val="center"/>
              <w:rPr>
                <w:rFonts w:ascii="Arial" w:hAnsi="Arial" w:cs="Arial"/>
                <w:sz w:val="22"/>
                <w:szCs w:val="22"/>
              </w:rPr>
            </w:pPr>
            <w:r w:rsidRPr="000F43AA">
              <w:rPr>
                <w:rFonts w:ascii="Arial" w:hAnsi="Arial" w:cs="Arial"/>
                <w:sz w:val="22"/>
                <w:szCs w:val="22"/>
              </w:rPr>
              <w:t>EACA</w:t>
            </w:r>
          </w:p>
        </w:tc>
        <w:tc>
          <w:tcPr>
            <w:tcW w:w="1488" w:type="dxa"/>
            <w:vAlign w:val="bottom"/>
          </w:tcPr>
          <w:p w:rsidR="005873F5" w:rsidRPr="000F43AA" w:rsidP="00862F85" w14:paraId="12BF080C" w14:textId="77777777">
            <w:pPr>
              <w:keepNext/>
              <w:keepLines/>
              <w:numPr>
                <w:ilvl w:val="12"/>
                <w:numId w:val="0"/>
              </w:numPr>
              <w:jc w:val="center"/>
              <w:rPr>
                <w:rFonts w:ascii="Arial" w:hAnsi="Arial" w:cs="Arial"/>
                <w:sz w:val="22"/>
                <w:szCs w:val="22"/>
              </w:rPr>
            </w:pPr>
            <w:r w:rsidRPr="000F43AA">
              <w:rPr>
                <w:rFonts w:ascii="Arial" w:hAnsi="Arial" w:cs="Arial"/>
                <w:sz w:val="22"/>
                <w:szCs w:val="22"/>
              </w:rPr>
              <w:t>5</w:t>
            </w:r>
            <w:r w:rsidRPr="000F43AA" w:rsidR="00D6656F">
              <w:rPr>
                <w:rFonts w:ascii="Arial" w:hAnsi="Arial" w:cs="Arial"/>
                <w:sz w:val="22"/>
                <w:szCs w:val="22"/>
              </w:rPr>
              <w:t>,</w:t>
            </w:r>
            <w:r w:rsidRPr="000F43AA">
              <w:rPr>
                <w:rFonts w:ascii="Arial" w:hAnsi="Arial" w:cs="Arial"/>
                <w:sz w:val="22"/>
                <w:szCs w:val="22"/>
              </w:rPr>
              <w:t>000</w:t>
            </w:r>
          </w:p>
        </w:tc>
        <w:tc>
          <w:tcPr>
            <w:tcW w:w="1374" w:type="dxa"/>
            <w:vAlign w:val="bottom"/>
          </w:tcPr>
          <w:p w:rsidR="005873F5" w:rsidRPr="000F43AA" w:rsidP="00862F85" w14:paraId="45A45FAB" w14:textId="77777777">
            <w:pPr>
              <w:keepNext/>
              <w:keepLines/>
              <w:numPr>
                <w:ilvl w:val="12"/>
                <w:numId w:val="0"/>
              </w:numPr>
              <w:jc w:val="center"/>
              <w:rPr>
                <w:rFonts w:ascii="Arial" w:hAnsi="Arial" w:cs="Arial"/>
                <w:sz w:val="22"/>
                <w:szCs w:val="22"/>
              </w:rPr>
            </w:pPr>
            <w:r w:rsidRPr="000F43AA">
              <w:rPr>
                <w:rFonts w:ascii="Arial" w:hAnsi="Arial" w:cs="Arial"/>
                <w:sz w:val="22"/>
                <w:szCs w:val="22"/>
              </w:rPr>
              <w:t>200</w:t>
            </w:r>
          </w:p>
        </w:tc>
        <w:tc>
          <w:tcPr>
            <w:tcW w:w="1283" w:type="dxa"/>
            <w:shd w:val="clear" w:color="auto" w:fill="auto"/>
            <w:vAlign w:val="bottom"/>
          </w:tcPr>
          <w:p w:rsidR="005873F5" w:rsidRPr="000F43AA" w:rsidP="00862F85" w14:paraId="4DF6FC83" w14:textId="77777777">
            <w:pPr>
              <w:keepNext/>
              <w:keepLines/>
              <w:numPr>
                <w:ilvl w:val="12"/>
                <w:numId w:val="0"/>
              </w:numPr>
              <w:jc w:val="center"/>
              <w:rPr>
                <w:rFonts w:ascii="Arial" w:hAnsi="Arial" w:cs="Arial"/>
                <w:sz w:val="22"/>
                <w:szCs w:val="22"/>
              </w:rPr>
            </w:pPr>
            <w:r w:rsidRPr="000F43AA">
              <w:rPr>
                <w:rFonts w:ascii="Arial" w:hAnsi="Arial" w:cs="Arial"/>
                <w:sz w:val="22"/>
                <w:szCs w:val="22"/>
              </w:rPr>
              <w:t>1,000,000</w:t>
            </w:r>
          </w:p>
        </w:tc>
        <w:tc>
          <w:tcPr>
            <w:tcW w:w="1374" w:type="dxa"/>
            <w:vAlign w:val="bottom"/>
          </w:tcPr>
          <w:p w:rsidR="005873F5" w:rsidRPr="000F43AA" w:rsidP="00862F85" w14:paraId="1741FBD1" w14:textId="77777777">
            <w:pPr>
              <w:keepNext/>
              <w:keepLines/>
              <w:numPr>
                <w:ilvl w:val="12"/>
                <w:numId w:val="0"/>
              </w:numPr>
              <w:jc w:val="center"/>
              <w:rPr>
                <w:rFonts w:ascii="Arial" w:hAnsi="Arial" w:cs="Arial"/>
                <w:sz w:val="22"/>
                <w:szCs w:val="22"/>
              </w:rPr>
            </w:pPr>
            <w:r w:rsidRPr="000F43AA">
              <w:rPr>
                <w:rFonts w:ascii="Arial" w:hAnsi="Arial" w:cs="Arial"/>
                <w:sz w:val="22"/>
                <w:szCs w:val="22"/>
              </w:rPr>
              <w:t>1</w:t>
            </w:r>
          </w:p>
        </w:tc>
        <w:tc>
          <w:tcPr>
            <w:tcW w:w="929" w:type="dxa"/>
            <w:shd w:val="clear" w:color="auto" w:fill="auto"/>
            <w:vAlign w:val="bottom"/>
          </w:tcPr>
          <w:p w:rsidR="005873F5" w:rsidRPr="000F43AA" w:rsidP="00862F85" w14:paraId="59664CAD" w14:textId="77777777">
            <w:pPr>
              <w:keepNext/>
              <w:keepLines/>
              <w:numPr>
                <w:ilvl w:val="12"/>
                <w:numId w:val="0"/>
              </w:numPr>
              <w:jc w:val="center"/>
              <w:rPr>
                <w:rFonts w:ascii="Arial" w:hAnsi="Arial" w:cs="Arial"/>
                <w:sz w:val="22"/>
                <w:szCs w:val="22"/>
              </w:rPr>
            </w:pPr>
            <w:r w:rsidRPr="000F43AA">
              <w:rPr>
                <w:rFonts w:ascii="Arial" w:hAnsi="Arial" w:cs="Arial"/>
                <w:sz w:val="22"/>
                <w:szCs w:val="22"/>
              </w:rPr>
              <w:t>5,000</w:t>
            </w:r>
          </w:p>
        </w:tc>
      </w:tr>
      <w:tr w14:paraId="62FEDD13" w14:textId="77777777" w:rsidTr="00EF7F50">
        <w:tblPrEx>
          <w:tblW w:w="9037" w:type="dxa"/>
          <w:tblInd w:w="828" w:type="dxa"/>
          <w:tblLook w:val="04A0"/>
        </w:tblPrEx>
        <w:trPr>
          <w:trHeight w:val="587"/>
        </w:trPr>
        <w:tc>
          <w:tcPr>
            <w:tcW w:w="1169" w:type="dxa"/>
            <w:shd w:val="clear" w:color="auto" w:fill="auto"/>
            <w:vAlign w:val="bottom"/>
          </w:tcPr>
          <w:p w:rsidR="00D679A4" w:rsidRPr="000F43AA" w:rsidP="00862F85" w14:paraId="28BAC152" w14:textId="77777777">
            <w:pPr>
              <w:keepNext/>
              <w:keepLines/>
              <w:numPr>
                <w:ilvl w:val="12"/>
                <w:numId w:val="0"/>
              </w:numPr>
              <w:jc w:val="center"/>
              <w:rPr>
                <w:rFonts w:ascii="Arial" w:hAnsi="Arial" w:cs="Arial"/>
                <w:sz w:val="22"/>
                <w:szCs w:val="22"/>
              </w:rPr>
            </w:pPr>
            <w:r w:rsidRPr="000F43AA">
              <w:rPr>
                <w:rFonts w:ascii="Arial" w:hAnsi="Arial" w:cs="Arial"/>
                <w:sz w:val="22"/>
                <w:szCs w:val="22"/>
              </w:rPr>
              <w:t>§</w:t>
            </w:r>
            <w:r w:rsidRPr="000F43AA" w:rsidR="00667A83">
              <w:rPr>
                <w:rFonts w:ascii="Arial" w:hAnsi="Arial" w:cs="Arial"/>
                <w:sz w:val="22"/>
                <w:szCs w:val="22"/>
              </w:rPr>
              <w:t>1.414(w)-1</w:t>
            </w:r>
          </w:p>
        </w:tc>
        <w:tc>
          <w:tcPr>
            <w:tcW w:w="1420" w:type="dxa"/>
            <w:vAlign w:val="bottom"/>
          </w:tcPr>
          <w:p w:rsidR="00D679A4" w:rsidRPr="000F43AA" w:rsidP="00862F85" w14:paraId="1F973B4F" w14:textId="77777777">
            <w:pPr>
              <w:keepNext/>
              <w:keepLines/>
              <w:numPr>
                <w:ilvl w:val="12"/>
                <w:numId w:val="0"/>
              </w:numPr>
              <w:jc w:val="center"/>
              <w:rPr>
                <w:rFonts w:ascii="Arial" w:hAnsi="Arial" w:cs="Arial"/>
                <w:sz w:val="22"/>
                <w:szCs w:val="22"/>
              </w:rPr>
            </w:pPr>
            <w:r w:rsidRPr="000F43AA">
              <w:rPr>
                <w:rFonts w:ascii="Arial" w:hAnsi="Arial" w:cs="Arial"/>
                <w:sz w:val="22"/>
                <w:szCs w:val="22"/>
              </w:rPr>
              <w:t xml:space="preserve">Unenrolled participants </w:t>
            </w:r>
          </w:p>
        </w:tc>
        <w:tc>
          <w:tcPr>
            <w:tcW w:w="1488" w:type="dxa"/>
            <w:vAlign w:val="bottom"/>
          </w:tcPr>
          <w:p w:rsidR="00D679A4" w:rsidRPr="000F43AA" w:rsidP="00862F85" w14:paraId="07CB1B59" w14:textId="77777777">
            <w:pPr>
              <w:keepNext/>
              <w:keepLines/>
              <w:numPr>
                <w:ilvl w:val="12"/>
                <w:numId w:val="0"/>
              </w:numPr>
              <w:jc w:val="center"/>
              <w:rPr>
                <w:rFonts w:ascii="Arial" w:hAnsi="Arial" w:cs="Arial"/>
                <w:sz w:val="22"/>
                <w:szCs w:val="22"/>
              </w:rPr>
            </w:pPr>
            <w:r w:rsidRPr="000F43AA">
              <w:rPr>
                <w:rFonts w:ascii="Arial" w:hAnsi="Arial" w:cs="Arial"/>
                <w:sz w:val="22"/>
                <w:szCs w:val="22"/>
              </w:rPr>
              <w:t>115</w:t>
            </w:r>
            <w:r w:rsidRPr="000F43AA" w:rsidR="00667A83">
              <w:rPr>
                <w:rFonts w:ascii="Arial" w:hAnsi="Arial" w:cs="Arial"/>
                <w:sz w:val="22"/>
                <w:szCs w:val="22"/>
              </w:rPr>
              <w:t>,000</w:t>
            </w:r>
          </w:p>
        </w:tc>
        <w:tc>
          <w:tcPr>
            <w:tcW w:w="1374" w:type="dxa"/>
            <w:vAlign w:val="bottom"/>
          </w:tcPr>
          <w:p w:rsidR="00D679A4" w:rsidRPr="000F43AA" w:rsidP="00862F85" w14:paraId="15E4CA0D" w14:textId="77777777">
            <w:pPr>
              <w:keepNext/>
              <w:keepLines/>
              <w:numPr>
                <w:ilvl w:val="12"/>
                <w:numId w:val="0"/>
              </w:numPr>
              <w:jc w:val="center"/>
              <w:rPr>
                <w:rFonts w:ascii="Arial" w:hAnsi="Arial" w:cs="Arial"/>
                <w:sz w:val="22"/>
                <w:szCs w:val="22"/>
              </w:rPr>
            </w:pPr>
            <w:r w:rsidRPr="000F43AA">
              <w:rPr>
                <w:rFonts w:ascii="Arial" w:hAnsi="Arial" w:cs="Arial"/>
                <w:sz w:val="22"/>
                <w:szCs w:val="22"/>
              </w:rPr>
              <w:t>35</w:t>
            </w:r>
          </w:p>
        </w:tc>
        <w:tc>
          <w:tcPr>
            <w:tcW w:w="1283" w:type="dxa"/>
            <w:shd w:val="clear" w:color="auto" w:fill="auto"/>
            <w:vAlign w:val="bottom"/>
          </w:tcPr>
          <w:p w:rsidR="00D679A4" w:rsidRPr="000F43AA" w:rsidP="00862F85" w14:paraId="0528085A" w14:textId="77777777">
            <w:pPr>
              <w:keepNext/>
              <w:keepLines/>
              <w:numPr>
                <w:ilvl w:val="12"/>
                <w:numId w:val="0"/>
              </w:numPr>
              <w:jc w:val="center"/>
              <w:rPr>
                <w:rFonts w:ascii="Arial" w:hAnsi="Arial" w:cs="Arial"/>
                <w:sz w:val="22"/>
                <w:szCs w:val="22"/>
              </w:rPr>
            </w:pPr>
            <w:r w:rsidRPr="000F43AA">
              <w:rPr>
                <w:rFonts w:ascii="Arial" w:hAnsi="Arial" w:cs="Arial"/>
                <w:sz w:val="22"/>
                <w:szCs w:val="22"/>
              </w:rPr>
              <w:t>4,025,000</w:t>
            </w:r>
          </w:p>
        </w:tc>
        <w:tc>
          <w:tcPr>
            <w:tcW w:w="1374" w:type="dxa"/>
            <w:vAlign w:val="bottom"/>
          </w:tcPr>
          <w:p w:rsidR="00D679A4" w:rsidRPr="000F43AA" w:rsidP="00862F85" w14:paraId="6BD51DF0" w14:textId="77777777">
            <w:pPr>
              <w:keepNext/>
              <w:keepLines/>
              <w:numPr>
                <w:ilvl w:val="12"/>
                <w:numId w:val="0"/>
              </w:numPr>
              <w:jc w:val="center"/>
              <w:rPr>
                <w:rFonts w:ascii="Arial" w:hAnsi="Arial" w:cs="Arial"/>
                <w:sz w:val="22"/>
                <w:szCs w:val="22"/>
              </w:rPr>
            </w:pPr>
            <w:r w:rsidRPr="000F43AA">
              <w:rPr>
                <w:rFonts w:ascii="Arial" w:hAnsi="Arial" w:cs="Arial"/>
                <w:sz w:val="22"/>
                <w:szCs w:val="22"/>
              </w:rPr>
              <w:t>1</w:t>
            </w:r>
          </w:p>
        </w:tc>
        <w:tc>
          <w:tcPr>
            <w:tcW w:w="929" w:type="dxa"/>
            <w:shd w:val="clear" w:color="auto" w:fill="auto"/>
            <w:vAlign w:val="bottom"/>
          </w:tcPr>
          <w:p w:rsidR="00D679A4" w:rsidRPr="000F43AA" w:rsidP="00862F85" w14:paraId="69EA77B2" w14:textId="77777777">
            <w:pPr>
              <w:keepNext/>
              <w:keepLines/>
              <w:numPr>
                <w:ilvl w:val="12"/>
                <w:numId w:val="0"/>
              </w:numPr>
              <w:jc w:val="center"/>
              <w:rPr>
                <w:rFonts w:ascii="Arial" w:hAnsi="Arial" w:cs="Arial"/>
                <w:sz w:val="22"/>
                <w:szCs w:val="22"/>
              </w:rPr>
            </w:pPr>
            <w:r w:rsidRPr="000F43AA">
              <w:rPr>
                <w:rFonts w:ascii="Arial" w:hAnsi="Arial" w:cs="Arial"/>
                <w:sz w:val="22"/>
                <w:szCs w:val="22"/>
              </w:rPr>
              <w:t>115,000</w:t>
            </w:r>
          </w:p>
        </w:tc>
      </w:tr>
      <w:tr w14:paraId="115D1C74" w14:textId="77777777" w:rsidTr="00EF7F50">
        <w:tblPrEx>
          <w:tblW w:w="9037" w:type="dxa"/>
          <w:tblInd w:w="828" w:type="dxa"/>
          <w:tblLook w:val="04A0"/>
        </w:tblPrEx>
        <w:trPr>
          <w:trHeight w:val="607"/>
        </w:trPr>
        <w:tc>
          <w:tcPr>
            <w:tcW w:w="1169" w:type="dxa"/>
            <w:shd w:val="clear" w:color="auto" w:fill="auto"/>
            <w:vAlign w:val="bottom"/>
          </w:tcPr>
          <w:p w:rsidR="00667A83" w:rsidRPr="000F43AA" w:rsidP="00862F85" w14:paraId="667413F1" w14:textId="77777777">
            <w:pPr>
              <w:keepNext/>
              <w:keepLines/>
              <w:numPr>
                <w:ilvl w:val="12"/>
                <w:numId w:val="0"/>
              </w:numPr>
              <w:jc w:val="center"/>
              <w:rPr>
                <w:rFonts w:ascii="Arial" w:hAnsi="Arial" w:cs="Arial"/>
                <w:sz w:val="22"/>
                <w:szCs w:val="22"/>
              </w:rPr>
            </w:pPr>
            <w:r w:rsidRPr="000F43AA">
              <w:rPr>
                <w:rFonts w:ascii="Arial" w:hAnsi="Arial" w:cs="Arial"/>
                <w:sz w:val="22"/>
                <w:szCs w:val="22"/>
              </w:rPr>
              <w:t>§1.414A-1</w:t>
            </w:r>
          </w:p>
        </w:tc>
        <w:tc>
          <w:tcPr>
            <w:tcW w:w="1420" w:type="dxa"/>
            <w:vAlign w:val="bottom"/>
          </w:tcPr>
          <w:p w:rsidR="00667A83" w:rsidRPr="000F43AA" w:rsidP="00862F85" w14:paraId="0E2DEFED" w14:textId="77777777">
            <w:pPr>
              <w:keepNext/>
              <w:keepLines/>
              <w:numPr>
                <w:ilvl w:val="12"/>
                <w:numId w:val="0"/>
              </w:numPr>
              <w:jc w:val="center"/>
              <w:rPr>
                <w:rFonts w:ascii="Arial" w:hAnsi="Arial" w:cs="Arial"/>
                <w:sz w:val="22"/>
                <w:szCs w:val="22"/>
              </w:rPr>
            </w:pPr>
            <w:r w:rsidRPr="000F43AA">
              <w:rPr>
                <w:rFonts w:ascii="Arial" w:hAnsi="Arial" w:cs="Arial"/>
                <w:sz w:val="22"/>
                <w:szCs w:val="22"/>
              </w:rPr>
              <w:t>CODA/Salary Reductions</w:t>
            </w:r>
          </w:p>
        </w:tc>
        <w:tc>
          <w:tcPr>
            <w:tcW w:w="1488" w:type="dxa"/>
            <w:vAlign w:val="bottom"/>
          </w:tcPr>
          <w:p w:rsidR="00667A83" w:rsidRPr="000F43AA" w:rsidP="00862F85" w14:paraId="135A15BE" w14:textId="77777777">
            <w:pPr>
              <w:keepNext/>
              <w:keepLines/>
              <w:numPr>
                <w:ilvl w:val="12"/>
                <w:numId w:val="0"/>
              </w:numPr>
              <w:jc w:val="center"/>
              <w:rPr>
                <w:rFonts w:ascii="Arial" w:hAnsi="Arial" w:cs="Arial"/>
                <w:sz w:val="22"/>
                <w:szCs w:val="22"/>
              </w:rPr>
            </w:pPr>
            <w:r w:rsidRPr="000F43AA">
              <w:rPr>
                <w:rFonts w:ascii="Arial" w:hAnsi="Arial" w:cs="Arial"/>
                <w:sz w:val="22"/>
                <w:szCs w:val="22"/>
              </w:rPr>
              <w:t>16,000</w:t>
            </w:r>
          </w:p>
        </w:tc>
        <w:tc>
          <w:tcPr>
            <w:tcW w:w="1374" w:type="dxa"/>
            <w:vAlign w:val="bottom"/>
          </w:tcPr>
          <w:p w:rsidR="00667A83" w:rsidRPr="000F43AA" w:rsidP="00862F85" w14:paraId="0200C7CF" w14:textId="77777777">
            <w:pPr>
              <w:keepNext/>
              <w:keepLines/>
              <w:numPr>
                <w:ilvl w:val="12"/>
                <w:numId w:val="0"/>
              </w:numPr>
              <w:jc w:val="center"/>
              <w:rPr>
                <w:rFonts w:ascii="Arial" w:hAnsi="Arial" w:cs="Arial"/>
                <w:sz w:val="22"/>
                <w:szCs w:val="22"/>
              </w:rPr>
            </w:pPr>
            <w:r w:rsidRPr="000F43AA">
              <w:rPr>
                <w:rFonts w:ascii="Arial" w:hAnsi="Arial" w:cs="Arial"/>
                <w:sz w:val="22"/>
                <w:szCs w:val="22"/>
              </w:rPr>
              <w:t>60</w:t>
            </w:r>
          </w:p>
        </w:tc>
        <w:tc>
          <w:tcPr>
            <w:tcW w:w="1283" w:type="dxa"/>
            <w:shd w:val="clear" w:color="auto" w:fill="auto"/>
            <w:vAlign w:val="bottom"/>
          </w:tcPr>
          <w:p w:rsidR="00667A83" w:rsidRPr="000F43AA" w:rsidP="00862F85" w14:paraId="72FE02FF" w14:textId="77777777">
            <w:pPr>
              <w:keepNext/>
              <w:keepLines/>
              <w:numPr>
                <w:ilvl w:val="12"/>
                <w:numId w:val="0"/>
              </w:numPr>
              <w:jc w:val="center"/>
              <w:rPr>
                <w:rFonts w:ascii="Arial" w:hAnsi="Arial" w:cs="Arial"/>
                <w:sz w:val="22"/>
                <w:szCs w:val="22"/>
              </w:rPr>
            </w:pPr>
            <w:r w:rsidRPr="000F43AA">
              <w:rPr>
                <w:rFonts w:ascii="Arial" w:hAnsi="Arial" w:cs="Arial"/>
                <w:sz w:val="22"/>
                <w:szCs w:val="22"/>
              </w:rPr>
              <w:t>960,000</w:t>
            </w:r>
          </w:p>
        </w:tc>
        <w:tc>
          <w:tcPr>
            <w:tcW w:w="1374" w:type="dxa"/>
            <w:vAlign w:val="bottom"/>
          </w:tcPr>
          <w:p w:rsidR="00667A83" w:rsidRPr="000F43AA" w:rsidP="00862F85" w14:paraId="15C5F6B0" w14:textId="77777777">
            <w:pPr>
              <w:keepNext/>
              <w:keepLines/>
              <w:numPr>
                <w:ilvl w:val="12"/>
                <w:numId w:val="0"/>
              </w:numPr>
              <w:jc w:val="center"/>
              <w:rPr>
                <w:rFonts w:ascii="Arial" w:hAnsi="Arial" w:cs="Arial"/>
                <w:sz w:val="22"/>
                <w:szCs w:val="22"/>
              </w:rPr>
            </w:pPr>
            <w:r w:rsidRPr="000F43AA">
              <w:rPr>
                <w:rFonts w:ascii="Arial" w:hAnsi="Arial" w:cs="Arial"/>
                <w:sz w:val="22"/>
                <w:szCs w:val="22"/>
              </w:rPr>
              <w:t>1</w:t>
            </w:r>
          </w:p>
        </w:tc>
        <w:tc>
          <w:tcPr>
            <w:tcW w:w="929" w:type="dxa"/>
            <w:shd w:val="clear" w:color="auto" w:fill="auto"/>
            <w:vAlign w:val="bottom"/>
          </w:tcPr>
          <w:p w:rsidR="00667A83" w:rsidRPr="000F43AA" w:rsidP="00862F85" w14:paraId="669586B1" w14:textId="77777777">
            <w:pPr>
              <w:keepNext/>
              <w:keepLines/>
              <w:numPr>
                <w:ilvl w:val="12"/>
                <w:numId w:val="0"/>
              </w:numPr>
              <w:jc w:val="center"/>
              <w:rPr>
                <w:rFonts w:ascii="Arial" w:hAnsi="Arial" w:cs="Arial"/>
                <w:sz w:val="22"/>
                <w:szCs w:val="22"/>
              </w:rPr>
            </w:pPr>
            <w:r w:rsidRPr="000F43AA">
              <w:rPr>
                <w:rFonts w:ascii="Arial" w:hAnsi="Arial" w:cs="Arial"/>
                <w:sz w:val="22"/>
                <w:szCs w:val="22"/>
              </w:rPr>
              <w:t>16,000</w:t>
            </w:r>
          </w:p>
        </w:tc>
      </w:tr>
      <w:tr w14:paraId="51527C73" w14:textId="77777777" w:rsidTr="00714D5F">
        <w:tblPrEx>
          <w:tblW w:w="9037" w:type="dxa"/>
          <w:tblInd w:w="828" w:type="dxa"/>
          <w:tblLook w:val="04A0"/>
        </w:tblPrEx>
        <w:trPr>
          <w:trHeight w:val="293"/>
        </w:trPr>
        <w:tc>
          <w:tcPr>
            <w:tcW w:w="1169" w:type="dxa"/>
            <w:shd w:val="clear" w:color="auto" w:fill="auto"/>
            <w:vAlign w:val="bottom"/>
          </w:tcPr>
          <w:p w:rsidR="005873F5" w:rsidRPr="000F43AA" w:rsidP="00667A83" w14:paraId="3C19540D" w14:textId="77777777">
            <w:pPr>
              <w:keepNext/>
              <w:keepLines/>
              <w:numPr>
                <w:ilvl w:val="12"/>
                <w:numId w:val="0"/>
              </w:numPr>
              <w:jc w:val="right"/>
              <w:rPr>
                <w:rFonts w:ascii="Arial" w:hAnsi="Arial" w:cs="Arial"/>
                <w:b/>
                <w:bCs/>
                <w:sz w:val="22"/>
                <w:szCs w:val="22"/>
              </w:rPr>
            </w:pPr>
            <w:r w:rsidRPr="000F43AA">
              <w:rPr>
                <w:rFonts w:ascii="Arial" w:hAnsi="Arial" w:cs="Arial"/>
                <w:b/>
                <w:bCs/>
                <w:sz w:val="22"/>
                <w:szCs w:val="22"/>
              </w:rPr>
              <w:t>Totals</w:t>
            </w:r>
          </w:p>
        </w:tc>
        <w:tc>
          <w:tcPr>
            <w:tcW w:w="1420" w:type="dxa"/>
            <w:vAlign w:val="bottom"/>
          </w:tcPr>
          <w:p w:rsidR="005873F5" w:rsidRPr="000F43AA" w:rsidP="00862F85" w14:paraId="32BA3C42" w14:textId="77777777">
            <w:pPr>
              <w:keepNext/>
              <w:keepLines/>
              <w:numPr>
                <w:ilvl w:val="12"/>
                <w:numId w:val="0"/>
              </w:numPr>
              <w:jc w:val="center"/>
              <w:rPr>
                <w:rFonts w:ascii="Arial" w:hAnsi="Arial" w:cs="Arial"/>
                <w:sz w:val="22"/>
                <w:szCs w:val="22"/>
              </w:rPr>
            </w:pPr>
          </w:p>
        </w:tc>
        <w:tc>
          <w:tcPr>
            <w:tcW w:w="1488" w:type="dxa"/>
            <w:vAlign w:val="bottom"/>
          </w:tcPr>
          <w:p w:rsidR="005873F5" w:rsidRPr="000F43AA" w:rsidP="00862F85" w14:paraId="2DA67908" w14:textId="77777777">
            <w:pPr>
              <w:keepNext/>
              <w:keepLines/>
              <w:numPr>
                <w:ilvl w:val="12"/>
                <w:numId w:val="0"/>
              </w:numPr>
              <w:jc w:val="center"/>
              <w:rPr>
                <w:rFonts w:ascii="Arial" w:hAnsi="Arial" w:cs="Arial"/>
                <w:b/>
                <w:bCs/>
                <w:sz w:val="22"/>
                <w:szCs w:val="22"/>
              </w:rPr>
            </w:pPr>
            <w:r w:rsidRPr="000F43AA">
              <w:rPr>
                <w:rFonts w:ascii="Arial" w:hAnsi="Arial" w:cs="Arial"/>
                <w:b/>
                <w:bCs/>
                <w:sz w:val="22"/>
                <w:szCs w:val="22"/>
              </w:rPr>
              <w:t>161,000</w:t>
            </w:r>
          </w:p>
        </w:tc>
        <w:tc>
          <w:tcPr>
            <w:tcW w:w="1374" w:type="dxa"/>
            <w:shd w:val="clear" w:color="auto" w:fill="D0CECE"/>
            <w:vAlign w:val="bottom"/>
          </w:tcPr>
          <w:p w:rsidR="005873F5" w:rsidRPr="000F43AA" w:rsidP="00862F85" w14:paraId="667E0591" w14:textId="77777777">
            <w:pPr>
              <w:keepNext/>
              <w:keepLines/>
              <w:numPr>
                <w:ilvl w:val="12"/>
                <w:numId w:val="0"/>
              </w:numPr>
              <w:jc w:val="center"/>
              <w:rPr>
                <w:rFonts w:ascii="Arial" w:hAnsi="Arial" w:cs="Arial"/>
                <w:b/>
                <w:bCs/>
                <w:sz w:val="22"/>
                <w:szCs w:val="22"/>
              </w:rPr>
            </w:pPr>
          </w:p>
        </w:tc>
        <w:tc>
          <w:tcPr>
            <w:tcW w:w="1283" w:type="dxa"/>
            <w:shd w:val="clear" w:color="auto" w:fill="auto"/>
            <w:vAlign w:val="bottom"/>
          </w:tcPr>
          <w:p w:rsidR="005873F5" w:rsidRPr="000F43AA" w:rsidP="00862F85" w14:paraId="0BA86777" w14:textId="77777777">
            <w:pPr>
              <w:keepNext/>
              <w:keepLines/>
              <w:numPr>
                <w:ilvl w:val="12"/>
                <w:numId w:val="0"/>
              </w:numPr>
              <w:jc w:val="center"/>
              <w:rPr>
                <w:rFonts w:ascii="Arial" w:hAnsi="Arial" w:cs="Arial"/>
                <w:b/>
                <w:bCs/>
                <w:sz w:val="22"/>
                <w:szCs w:val="22"/>
              </w:rPr>
            </w:pPr>
            <w:r w:rsidRPr="000F43AA">
              <w:rPr>
                <w:rFonts w:ascii="Arial" w:hAnsi="Arial" w:cs="Arial"/>
                <w:b/>
                <w:bCs/>
                <w:sz w:val="22"/>
                <w:szCs w:val="22"/>
              </w:rPr>
              <w:t>10,985,000</w:t>
            </w:r>
          </w:p>
        </w:tc>
        <w:tc>
          <w:tcPr>
            <w:tcW w:w="1374" w:type="dxa"/>
            <w:shd w:val="clear" w:color="auto" w:fill="D0CECE"/>
            <w:vAlign w:val="bottom"/>
          </w:tcPr>
          <w:p w:rsidR="005873F5" w:rsidRPr="000F43AA" w:rsidP="00862F85" w14:paraId="56960743" w14:textId="77777777">
            <w:pPr>
              <w:keepNext/>
              <w:keepLines/>
              <w:numPr>
                <w:ilvl w:val="12"/>
                <w:numId w:val="0"/>
              </w:numPr>
              <w:jc w:val="center"/>
              <w:rPr>
                <w:rFonts w:ascii="Arial" w:hAnsi="Arial" w:cs="Arial"/>
                <w:b/>
                <w:bCs/>
                <w:sz w:val="22"/>
                <w:szCs w:val="22"/>
              </w:rPr>
            </w:pPr>
          </w:p>
        </w:tc>
        <w:tc>
          <w:tcPr>
            <w:tcW w:w="929" w:type="dxa"/>
            <w:shd w:val="clear" w:color="auto" w:fill="auto"/>
            <w:vAlign w:val="bottom"/>
          </w:tcPr>
          <w:p w:rsidR="005873F5" w:rsidRPr="000F43AA" w:rsidP="00862F85" w14:paraId="54A176AC" w14:textId="77777777">
            <w:pPr>
              <w:keepNext/>
              <w:keepLines/>
              <w:numPr>
                <w:ilvl w:val="12"/>
                <w:numId w:val="0"/>
              </w:numPr>
              <w:jc w:val="center"/>
              <w:rPr>
                <w:rFonts w:ascii="Arial" w:hAnsi="Arial" w:cs="Arial"/>
                <w:b/>
                <w:bCs/>
                <w:sz w:val="22"/>
                <w:szCs w:val="22"/>
              </w:rPr>
            </w:pPr>
            <w:r w:rsidRPr="000F43AA">
              <w:rPr>
                <w:rFonts w:ascii="Arial" w:hAnsi="Arial" w:cs="Arial"/>
                <w:b/>
                <w:bCs/>
                <w:sz w:val="22"/>
                <w:szCs w:val="22"/>
              </w:rPr>
              <w:t>161,000</w:t>
            </w:r>
          </w:p>
        </w:tc>
      </w:tr>
    </w:tbl>
    <w:bookmarkEnd w:id="0"/>
    <w:p w:rsidR="005873F5" w:rsidRPr="00D6656F" w:rsidP="00BD7B83" w14:paraId="647D2B0E" w14:textId="77777777">
      <w:pPr>
        <w:ind w:left="720" w:hanging="720"/>
        <w:rPr>
          <w:rFonts w:ascii="Arial" w:hAnsi="Arial"/>
          <w:i/>
          <w:iCs/>
        </w:rPr>
      </w:pPr>
      <w:r>
        <w:rPr>
          <w:rFonts w:ascii="Arial" w:hAnsi="Arial"/>
        </w:rPr>
        <w:tab/>
      </w:r>
      <w:r w:rsidRPr="00D6656F">
        <w:rPr>
          <w:rFonts w:ascii="Arial" w:hAnsi="Arial"/>
          <w:b/>
          <w:bCs/>
          <w:i/>
          <w:iCs/>
        </w:rPr>
        <w:t>Note:</w:t>
      </w:r>
      <w:r>
        <w:rPr>
          <w:rFonts w:ascii="Arial" w:hAnsi="Arial"/>
          <w:i/>
          <w:iCs/>
        </w:rPr>
        <w:t xml:space="preserve"> </w:t>
      </w:r>
      <w:r w:rsidRPr="00D6656F">
        <w:rPr>
          <w:rFonts w:ascii="Arial" w:hAnsi="Arial"/>
          <w:i/>
          <w:iCs/>
        </w:rPr>
        <w:t>IRS estimates that the burden per response is nominal as the notice does not need to be customized per participant.</w:t>
      </w:r>
      <w:r>
        <w:rPr>
          <w:rFonts w:ascii="Arial" w:hAnsi="Arial"/>
          <w:i/>
          <w:iCs/>
        </w:rPr>
        <w:t xml:space="preserve"> Therefore, the total burden is calculated per respondent.  (# of respondents x hours per respondent). </w:t>
      </w:r>
    </w:p>
    <w:p w:rsidR="00A208C2" w:rsidP="00667A83" w14:paraId="30E9ABC7" w14:textId="77777777">
      <w:pPr>
        <w:rPr>
          <w:rFonts w:ascii="Arial" w:hAnsi="Arial"/>
        </w:rPr>
      </w:pPr>
      <w:r>
        <w:rPr>
          <w:rFonts w:ascii="Arial" w:hAnsi="Arial"/>
        </w:rPr>
        <w:t xml:space="preserve"> </w:t>
      </w:r>
    </w:p>
    <w:p w:rsidR="00A208C2" w:rsidP="00855F30" w14:paraId="0F6FB628" w14:textId="77777777">
      <w:pPr>
        <w:rPr>
          <w:rFonts w:ascii="Arial" w:hAnsi="Arial"/>
        </w:rPr>
      </w:pPr>
      <w:r>
        <w:rPr>
          <w:rFonts w:ascii="Arial" w:hAnsi="Arial"/>
        </w:rPr>
        <w:t>13.</w:t>
      </w:r>
      <w:r>
        <w:rPr>
          <w:rFonts w:ascii="Arial" w:hAnsi="Arial"/>
        </w:rPr>
        <w:tab/>
      </w:r>
      <w:r>
        <w:rPr>
          <w:rFonts w:ascii="Arial" w:hAnsi="Arial"/>
          <w:u w:val="single"/>
        </w:rPr>
        <w:t>ESTIMATED TOTAL ANNUAL COST TO RESPONDENTS</w:t>
      </w:r>
    </w:p>
    <w:p w:rsidR="00A208C2" w:rsidP="00BD7B83" w14:paraId="4BABCD3C" w14:textId="77777777">
      <w:pPr>
        <w:ind w:left="720" w:hanging="720"/>
        <w:rPr>
          <w:rFonts w:ascii="Arial" w:hAnsi="Arial"/>
        </w:rPr>
      </w:pPr>
    </w:p>
    <w:p w:rsidR="009149D0" w:rsidRPr="009149D0" w:rsidP="009149D0" w14:paraId="18ED5330" w14:textId="77777777">
      <w:pPr>
        <w:ind w:left="720" w:hanging="720"/>
        <w:rPr>
          <w:rFonts w:ascii="Arial" w:hAnsi="Arial"/>
        </w:rPr>
      </w:pPr>
      <w:r>
        <w:rPr>
          <w:rFonts w:ascii="Arial" w:hAnsi="Arial"/>
        </w:rPr>
        <w:tab/>
      </w:r>
      <w:r w:rsidRPr="00425AC7" w:rsidR="000E581E">
        <w:rPr>
          <w:rFonts w:ascii="Arial" w:hAnsi="Arial" w:cs="Arial"/>
        </w:rPr>
        <w:t>There are no start-up costs associated with this collection.</w:t>
      </w:r>
    </w:p>
    <w:p w:rsidR="00A208C2" w:rsidP="00BD7B83" w14:paraId="639D0A7D" w14:textId="77777777">
      <w:pPr>
        <w:ind w:left="720" w:hanging="720"/>
        <w:rPr>
          <w:rFonts w:ascii="Arial" w:hAnsi="Arial"/>
        </w:rPr>
      </w:pPr>
    </w:p>
    <w:p w:rsidR="00A208C2" w:rsidP="00BD7B83" w14:paraId="1AA84424" w14:textId="77777777">
      <w:pPr>
        <w:ind w:left="720" w:hanging="720"/>
        <w:rPr>
          <w:rFonts w:ascii="Arial" w:hAnsi="Arial"/>
        </w:rPr>
      </w:pPr>
      <w:r>
        <w:rPr>
          <w:rFonts w:ascii="Arial" w:hAnsi="Arial"/>
        </w:rPr>
        <w:t>14.</w:t>
      </w:r>
      <w:r>
        <w:rPr>
          <w:rFonts w:ascii="Arial" w:hAnsi="Arial"/>
        </w:rPr>
        <w:tab/>
      </w:r>
      <w:r>
        <w:rPr>
          <w:rFonts w:ascii="Arial" w:hAnsi="Arial"/>
          <w:u w:val="single"/>
        </w:rPr>
        <w:t>ESTIMATED ANNUALIZED FEDERAL COST TO FEDERAL GOVERNMENT</w:t>
      </w:r>
    </w:p>
    <w:p w:rsidR="00100398" w:rsidP="00BD7B83" w14:paraId="444ACDAE" w14:textId="77777777">
      <w:pPr>
        <w:ind w:left="720" w:hanging="720"/>
        <w:rPr>
          <w:rFonts w:ascii="Arial" w:hAnsi="Arial"/>
        </w:rPr>
      </w:pPr>
    </w:p>
    <w:p w:rsidR="00100398" w:rsidP="00BD7B83" w14:paraId="04C15352" w14:textId="77777777">
      <w:pPr>
        <w:ind w:left="720" w:hanging="720"/>
        <w:rPr>
          <w:rFonts w:ascii="Arial" w:hAnsi="Arial"/>
        </w:rPr>
      </w:pPr>
      <w:r>
        <w:rPr>
          <w:rFonts w:ascii="Arial" w:hAnsi="Arial"/>
        </w:rPr>
        <w:tab/>
      </w:r>
      <w:r w:rsidR="00911A22">
        <w:rPr>
          <w:rFonts w:ascii="Arial" w:hAnsi="Arial" w:cs="Arial"/>
        </w:rPr>
        <w:t xml:space="preserve">There is no cost to the Federal government for these third-party disclosures. </w:t>
      </w:r>
    </w:p>
    <w:p w:rsidR="00100398" w:rsidP="00BD7B83" w14:paraId="07A632BB" w14:textId="77777777">
      <w:pPr>
        <w:ind w:left="720" w:hanging="720"/>
        <w:rPr>
          <w:rFonts w:ascii="Arial" w:hAnsi="Arial"/>
        </w:rPr>
      </w:pPr>
    </w:p>
    <w:p w:rsidR="00100398" w:rsidP="00BD7B83" w14:paraId="0DF4DD6B" w14:textId="77777777">
      <w:pPr>
        <w:ind w:left="720" w:hanging="720"/>
        <w:rPr>
          <w:rFonts w:ascii="Arial" w:hAnsi="Arial"/>
        </w:rPr>
      </w:pPr>
      <w:r>
        <w:rPr>
          <w:rFonts w:ascii="Arial" w:hAnsi="Arial"/>
        </w:rPr>
        <w:t>15.</w:t>
      </w:r>
      <w:r>
        <w:rPr>
          <w:rFonts w:ascii="Arial" w:hAnsi="Arial"/>
        </w:rPr>
        <w:tab/>
      </w:r>
      <w:r>
        <w:rPr>
          <w:rFonts w:ascii="Arial" w:hAnsi="Arial"/>
          <w:u w:val="single"/>
        </w:rPr>
        <w:t>REASONS FOR CHANGE IN BURDEN</w:t>
      </w:r>
    </w:p>
    <w:p w:rsidR="00100398" w:rsidP="00BD7B83" w14:paraId="05DF0F2B" w14:textId="77777777">
      <w:pPr>
        <w:ind w:left="720" w:hanging="720"/>
        <w:rPr>
          <w:rFonts w:ascii="Arial" w:hAnsi="Arial"/>
        </w:rPr>
      </w:pPr>
    </w:p>
    <w:p w:rsidR="00100398" w:rsidP="00D46079" w14:paraId="59558810" w14:textId="77777777">
      <w:pPr>
        <w:tabs>
          <w:tab w:val="left" w:pos="1440"/>
          <w:tab w:val="left" w:pos="2160"/>
          <w:tab w:val="left" w:pos="2713"/>
        </w:tabs>
        <w:ind w:left="720"/>
        <w:rPr>
          <w:rFonts w:ascii="Arial" w:hAnsi="Arial"/>
        </w:rPr>
      </w:pPr>
      <w:r>
        <w:rPr>
          <w:rFonts w:ascii="Arial" w:hAnsi="Arial"/>
        </w:rPr>
        <w:t>The change to the burden is to</w:t>
      </w:r>
      <w:r w:rsidR="00D679A4">
        <w:rPr>
          <w:rFonts w:ascii="Arial" w:hAnsi="Arial"/>
        </w:rPr>
        <w:t xml:space="preserve"> add the proposed third-party disclosures under </w:t>
      </w:r>
      <w:r w:rsidR="00D679A4">
        <w:rPr>
          <w:rFonts w:ascii="Arial" w:hAnsi="Arial" w:cs="Arial"/>
        </w:rPr>
        <w:t xml:space="preserve">REG-100669-24.   This increases the burden estimates by </w:t>
      </w:r>
      <w:r w:rsidR="0044595B">
        <w:rPr>
          <w:rFonts w:ascii="Arial" w:hAnsi="Arial" w:cs="Arial"/>
        </w:rPr>
        <w:t>4,985,000</w:t>
      </w:r>
      <w:r w:rsidR="00D679A4">
        <w:rPr>
          <w:rFonts w:ascii="Arial" w:hAnsi="Arial" w:cs="Arial"/>
        </w:rPr>
        <w:t xml:space="preserve"> responses and </w:t>
      </w:r>
      <w:r w:rsidR="0044595B">
        <w:rPr>
          <w:rFonts w:ascii="Arial" w:hAnsi="Arial" w:cs="Arial"/>
        </w:rPr>
        <w:t>131,000</w:t>
      </w:r>
      <w:r w:rsidR="00D679A4">
        <w:rPr>
          <w:rFonts w:ascii="Arial" w:hAnsi="Arial" w:cs="Arial"/>
        </w:rPr>
        <w:t xml:space="preserve"> hours. </w:t>
      </w:r>
      <w:r w:rsidR="00D679A4">
        <w:rPr>
          <w:rFonts w:ascii="Arial" w:hAnsi="Arial"/>
        </w:rPr>
        <w:t xml:space="preserve"> </w:t>
      </w:r>
    </w:p>
    <w:p w:rsidR="00100398" w:rsidP="00BD7B83" w14:paraId="4151A46E" w14:textId="77777777">
      <w:pPr>
        <w:ind w:left="720" w:hanging="720"/>
        <w:rPr>
          <w:rFonts w:ascii="Arial" w:hAnsi="Arial"/>
        </w:rPr>
      </w:pPr>
    </w:p>
    <w:p w:rsidR="00100398" w:rsidP="00BD7B83" w14:paraId="741DE8E6" w14:textId="77777777">
      <w:pPr>
        <w:ind w:left="720" w:hanging="720"/>
        <w:rPr>
          <w:rFonts w:ascii="Arial" w:hAnsi="Arial"/>
          <w:u w:val="single"/>
        </w:rPr>
      </w:pPr>
      <w:r>
        <w:rPr>
          <w:rFonts w:ascii="Arial" w:hAnsi="Arial"/>
        </w:rPr>
        <w:t>16.</w:t>
      </w:r>
      <w:r>
        <w:rPr>
          <w:rFonts w:ascii="Arial" w:hAnsi="Arial"/>
        </w:rPr>
        <w:tab/>
      </w:r>
      <w:r>
        <w:rPr>
          <w:rFonts w:ascii="Arial" w:hAnsi="Arial"/>
          <w:u w:val="single"/>
        </w:rPr>
        <w:t>PLANS FOR TABULATION, STATISTICAL ANALYSIS AND PUBLICATION</w:t>
      </w:r>
    </w:p>
    <w:p w:rsidR="00100398" w:rsidP="00BD7B83" w14:paraId="3A7CB0B2" w14:textId="77777777">
      <w:pPr>
        <w:ind w:left="720" w:hanging="720"/>
        <w:rPr>
          <w:rFonts w:ascii="Arial" w:hAnsi="Arial"/>
          <w:u w:val="single"/>
        </w:rPr>
      </w:pPr>
    </w:p>
    <w:p w:rsidR="00100398" w:rsidP="00BD7B83" w14:paraId="5C93814B" w14:textId="77777777">
      <w:pPr>
        <w:ind w:left="720" w:hanging="720"/>
        <w:rPr>
          <w:rFonts w:ascii="Arial" w:hAnsi="Arial"/>
        </w:rPr>
      </w:pPr>
      <w:r>
        <w:rPr>
          <w:rFonts w:ascii="Arial" w:hAnsi="Arial"/>
        </w:rPr>
        <w:tab/>
      </w:r>
      <w:r w:rsidR="00266B8B">
        <w:rPr>
          <w:rFonts w:ascii="Arial" w:hAnsi="Arial"/>
        </w:rPr>
        <w:t xml:space="preserve">There are no plans for tabulation, statistical </w:t>
      </w:r>
      <w:r w:rsidR="00266B8B">
        <w:rPr>
          <w:rFonts w:ascii="Arial" w:hAnsi="Arial"/>
        </w:rPr>
        <w:t>analysis</w:t>
      </w:r>
      <w:r w:rsidR="00266B8B">
        <w:rPr>
          <w:rFonts w:ascii="Arial" w:hAnsi="Arial"/>
        </w:rPr>
        <w:t xml:space="preserve"> and publication</w:t>
      </w:r>
      <w:r>
        <w:rPr>
          <w:rFonts w:ascii="Arial" w:hAnsi="Arial"/>
        </w:rPr>
        <w:t>.</w:t>
      </w:r>
    </w:p>
    <w:p w:rsidR="00100398" w:rsidP="00BD7B83" w14:paraId="21D3F1EA" w14:textId="77777777">
      <w:pPr>
        <w:ind w:left="720" w:hanging="720"/>
        <w:rPr>
          <w:rFonts w:ascii="Arial" w:hAnsi="Arial"/>
        </w:rPr>
      </w:pPr>
    </w:p>
    <w:p w:rsidR="00100398" w:rsidP="00BD7B83" w14:paraId="5AF4656A" w14:textId="77777777">
      <w:pPr>
        <w:ind w:left="720" w:hanging="720"/>
        <w:rPr>
          <w:rFonts w:ascii="Arial" w:hAnsi="Arial"/>
        </w:rPr>
      </w:pPr>
      <w:r>
        <w:rPr>
          <w:rFonts w:ascii="Arial" w:hAnsi="Arial"/>
        </w:rPr>
        <w:t>17.</w:t>
      </w:r>
      <w:r w:rsidR="0024241A">
        <w:rPr>
          <w:rFonts w:ascii="Arial" w:hAnsi="Arial"/>
        </w:rPr>
        <w:tab/>
      </w:r>
      <w:r w:rsidR="0024241A">
        <w:rPr>
          <w:rFonts w:ascii="Arial" w:hAnsi="Arial"/>
          <w:u w:val="single"/>
        </w:rPr>
        <w:t>REASONS WHY DISPLAYING THE OMB EXPIRATION DATE IS INAPPROPRIATE</w:t>
      </w:r>
    </w:p>
    <w:p w:rsidR="0024241A" w:rsidP="00BD7B83" w14:paraId="6CE37151" w14:textId="77777777">
      <w:pPr>
        <w:ind w:left="720" w:hanging="720"/>
        <w:rPr>
          <w:rFonts w:ascii="Arial" w:hAnsi="Arial"/>
        </w:rPr>
      </w:pPr>
    </w:p>
    <w:p w:rsidR="0024241A" w:rsidP="00BD7B83" w14:paraId="6C7F1A26" w14:textId="77777777">
      <w:pPr>
        <w:ind w:left="720" w:hanging="720"/>
        <w:rPr>
          <w:rFonts w:ascii="Arial" w:hAnsi="Arial"/>
        </w:rPr>
      </w:pPr>
      <w:r>
        <w:rPr>
          <w:rFonts w:ascii="Arial" w:hAnsi="Arial"/>
        </w:rPr>
        <w:tab/>
        <w:t xml:space="preserve">We believe that displaying the OMB expiration date is inappropriate because it could cause confusion by leading taxpayers to believe that the regulation sunsets as of the expiration date.  Taxpayers are not likely to be aware that the </w:t>
      </w:r>
      <w:r w:rsidR="007F4F4F">
        <w:rPr>
          <w:rFonts w:ascii="Arial" w:hAnsi="Arial"/>
        </w:rPr>
        <w:t>IRS</w:t>
      </w:r>
      <w:r>
        <w:rPr>
          <w:rFonts w:ascii="Arial" w:hAnsi="Arial"/>
        </w:rPr>
        <w:t xml:space="preserve"> intends to request renewal of the OMB approval and obtain a new expiration date before the old one expires.</w:t>
      </w:r>
    </w:p>
    <w:p w:rsidR="0024241A" w:rsidP="00BD7B83" w14:paraId="631B0908" w14:textId="77777777">
      <w:pPr>
        <w:ind w:left="720" w:hanging="720"/>
        <w:rPr>
          <w:rFonts w:ascii="Arial" w:hAnsi="Arial"/>
        </w:rPr>
      </w:pPr>
    </w:p>
    <w:p w:rsidR="0024241A" w:rsidP="00BD7B83" w14:paraId="1F366108" w14:textId="77777777">
      <w:pPr>
        <w:ind w:left="720" w:hanging="720"/>
        <w:rPr>
          <w:rFonts w:ascii="Arial" w:hAnsi="Arial"/>
          <w:u w:val="single"/>
        </w:rPr>
      </w:pPr>
      <w:r>
        <w:rPr>
          <w:rFonts w:ascii="Arial" w:hAnsi="Arial"/>
        </w:rPr>
        <w:t>18.</w:t>
      </w:r>
      <w:r>
        <w:rPr>
          <w:rFonts w:ascii="Arial" w:hAnsi="Arial"/>
        </w:rPr>
        <w:tab/>
      </w:r>
      <w:r>
        <w:rPr>
          <w:rFonts w:ascii="Arial" w:hAnsi="Arial"/>
          <w:u w:val="single"/>
        </w:rPr>
        <w:t xml:space="preserve">EXCEPTION TO THE CERTIFICATION STATEMENT </w:t>
      </w:r>
    </w:p>
    <w:p w:rsidR="0024241A" w:rsidP="00BD7B83" w14:paraId="043543AE" w14:textId="77777777">
      <w:pPr>
        <w:ind w:left="720" w:hanging="720"/>
        <w:rPr>
          <w:rFonts w:ascii="Arial" w:hAnsi="Arial"/>
          <w:u w:val="single"/>
        </w:rPr>
      </w:pPr>
    </w:p>
    <w:p w:rsidR="0024241A" w:rsidRPr="0024241A" w:rsidP="00D679A4" w14:paraId="0A72208A" w14:textId="77777777">
      <w:pPr>
        <w:ind w:left="720"/>
        <w:rPr>
          <w:rFonts w:ascii="Arial" w:hAnsi="Arial"/>
        </w:rPr>
      </w:pPr>
      <w:r>
        <w:rPr>
          <w:rFonts w:ascii="Arial" w:hAnsi="Arial"/>
        </w:rPr>
        <w:t>There are no exceptions to the certification statement.</w:t>
      </w:r>
    </w:p>
    <w:sectPr w:rsidSect="0040443E">
      <w:footerReference w:type="even"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661" w:rsidP="005207DF" w14:paraId="04EE17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7661" w14:paraId="3D0B0E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661" w:rsidP="005207DF" w14:paraId="0553E4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1420">
      <w:rPr>
        <w:rStyle w:val="PageNumber"/>
        <w:noProof/>
      </w:rPr>
      <w:t>2</w:t>
    </w:r>
    <w:r>
      <w:rPr>
        <w:rStyle w:val="PageNumber"/>
      </w:rPr>
      <w:fldChar w:fldCharType="end"/>
    </w:r>
  </w:p>
  <w:p w:rsidR="00D27661" w14:paraId="7E6C6D1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37"/>
    <w:rsid w:val="0000728E"/>
    <w:rsid w:val="00013CFA"/>
    <w:rsid w:val="0002111D"/>
    <w:rsid w:val="0003112B"/>
    <w:rsid w:val="000362EF"/>
    <w:rsid w:val="00037343"/>
    <w:rsid w:val="00041010"/>
    <w:rsid w:val="00080B55"/>
    <w:rsid w:val="000A6BF8"/>
    <w:rsid w:val="000B1356"/>
    <w:rsid w:val="000C3595"/>
    <w:rsid w:val="000E581E"/>
    <w:rsid w:val="000F43AA"/>
    <w:rsid w:val="000F70F4"/>
    <w:rsid w:val="00100398"/>
    <w:rsid w:val="00111B8D"/>
    <w:rsid w:val="00113297"/>
    <w:rsid w:val="00136434"/>
    <w:rsid w:val="00154D15"/>
    <w:rsid w:val="0019262A"/>
    <w:rsid w:val="001E063E"/>
    <w:rsid w:val="001F412F"/>
    <w:rsid w:val="00204442"/>
    <w:rsid w:val="00210ABD"/>
    <w:rsid w:val="00211420"/>
    <w:rsid w:val="002147EA"/>
    <w:rsid w:val="002310A2"/>
    <w:rsid w:val="0024241A"/>
    <w:rsid w:val="0025134D"/>
    <w:rsid w:val="00266B8B"/>
    <w:rsid w:val="00280018"/>
    <w:rsid w:val="002864D8"/>
    <w:rsid w:val="002873EC"/>
    <w:rsid w:val="00294123"/>
    <w:rsid w:val="002A7337"/>
    <w:rsid w:val="002C1F05"/>
    <w:rsid w:val="002D44CC"/>
    <w:rsid w:val="00307575"/>
    <w:rsid w:val="00333CA7"/>
    <w:rsid w:val="00352D48"/>
    <w:rsid w:val="00370E04"/>
    <w:rsid w:val="00385E4E"/>
    <w:rsid w:val="0039176F"/>
    <w:rsid w:val="0039286F"/>
    <w:rsid w:val="003B6E14"/>
    <w:rsid w:val="003C0B69"/>
    <w:rsid w:val="003F3A19"/>
    <w:rsid w:val="0040443E"/>
    <w:rsid w:val="00405F52"/>
    <w:rsid w:val="004065FD"/>
    <w:rsid w:val="00425AC7"/>
    <w:rsid w:val="00426981"/>
    <w:rsid w:val="004339BF"/>
    <w:rsid w:val="0044534F"/>
    <w:rsid w:val="0044595B"/>
    <w:rsid w:val="004468CF"/>
    <w:rsid w:val="0049339C"/>
    <w:rsid w:val="004A5C19"/>
    <w:rsid w:val="004B681C"/>
    <w:rsid w:val="004C50CB"/>
    <w:rsid w:val="004F3127"/>
    <w:rsid w:val="00507E3A"/>
    <w:rsid w:val="005207DF"/>
    <w:rsid w:val="00527E49"/>
    <w:rsid w:val="00530D01"/>
    <w:rsid w:val="00540E26"/>
    <w:rsid w:val="00541D01"/>
    <w:rsid w:val="00544464"/>
    <w:rsid w:val="00546A9A"/>
    <w:rsid w:val="00550A92"/>
    <w:rsid w:val="0056566B"/>
    <w:rsid w:val="005702DE"/>
    <w:rsid w:val="00583C41"/>
    <w:rsid w:val="0058716B"/>
    <w:rsid w:val="005873F5"/>
    <w:rsid w:val="005A373A"/>
    <w:rsid w:val="005B1E72"/>
    <w:rsid w:val="005B4B22"/>
    <w:rsid w:val="005C7B42"/>
    <w:rsid w:val="005E05FB"/>
    <w:rsid w:val="005E131E"/>
    <w:rsid w:val="005E4917"/>
    <w:rsid w:val="005E7398"/>
    <w:rsid w:val="00656F6F"/>
    <w:rsid w:val="006649DC"/>
    <w:rsid w:val="00667A83"/>
    <w:rsid w:val="00672511"/>
    <w:rsid w:val="006C34BE"/>
    <w:rsid w:val="006E3613"/>
    <w:rsid w:val="006E7334"/>
    <w:rsid w:val="006F6EEE"/>
    <w:rsid w:val="007125E3"/>
    <w:rsid w:val="00713253"/>
    <w:rsid w:val="00714D5F"/>
    <w:rsid w:val="00730C0F"/>
    <w:rsid w:val="00743530"/>
    <w:rsid w:val="00750470"/>
    <w:rsid w:val="007754FC"/>
    <w:rsid w:val="0078084B"/>
    <w:rsid w:val="007B23F7"/>
    <w:rsid w:val="007B284A"/>
    <w:rsid w:val="007F4F4F"/>
    <w:rsid w:val="00815C87"/>
    <w:rsid w:val="008378DD"/>
    <w:rsid w:val="00840134"/>
    <w:rsid w:val="00855F30"/>
    <w:rsid w:val="00862F85"/>
    <w:rsid w:val="00884E8F"/>
    <w:rsid w:val="00891564"/>
    <w:rsid w:val="00911A22"/>
    <w:rsid w:val="009149D0"/>
    <w:rsid w:val="00967FEF"/>
    <w:rsid w:val="009A1607"/>
    <w:rsid w:val="009F4B7F"/>
    <w:rsid w:val="00A02D0E"/>
    <w:rsid w:val="00A0423F"/>
    <w:rsid w:val="00A208C2"/>
    <w:rsid w:val="00A64E1F"/>
    <w:rsid w:val="00A64F0C"/>
    <w:rsid w:val="00A93800"/>
    <w:rsid w:val="00A97964"/>
    <w:rsid w:val="00AB0F6D"/>
    <w:rsid w:val="00AB58FE"/>
    <w:rsid w:val="00AC239A"/>
    <w:rsid w:val="00AD7B7D"/>
    <w:rsid w:val="00B133D0"/>
    <w:rsid w:val="00B447F2"/>
    <w:rsid w:val="00B80557"/>
    <w:rsid w:val="00BB5AFF"/>
    <w:rsid w:val="00BD7B83"/>
    <w:rsid w:val="00BE2ED6"/>
    <w:rsid w:val="00BE7B24"/>
    <w:rsid w:val="00BF1F2C"/>
    <w:rsid w:val="00BF5C1D"/>
    <w:rsid w:val="00BF6E34"/>
    <w:rsid w:val="00C3021C"/>
    <w:rsid w:val="00C512A3"/>
    <w:rsid w:val="00C607E7"/>
    <w:rsid w:val="00C64962"/>
    <w:rsid w:val="00C713A7"/>
    <w:rsid w:val="00CF3DB3"/>
    <w:rsid w:val="00CF53CE"/>
    <w:rsid w:val="00D071E7"/>
    <w:rsid w:val="00D27661"/>
    <w:rsid w:val="00D3627C"/>
    <w:rsid w:val="00D37612"/>
    <w:rsid w:val="00D4467B"/>
    <w:rsid w:val="00D45AA3"/>
    <w:rsid w:val="00D46079"/>
    <w:rsid w:val="00D6656F"/>
    <w:rsid w:val="00D679A4"/>
    <w:rsid w:val="00D712A0"/>
    <w:rsid w:val="00D737EF"/>
    <w:rsid w:val="00DA0E67"/>
    <w:rsid w:val="00DA4845"/>
    <w:rsid w:val="00DD6927"/>
    <w:rsid w:val="00DE02B7"/>
    <w:rsid w:val="00E11729"/>
    <w:rsid w:val="00E4222A"/>
    <w:rsid w:val="00E6170D"/>
    <w:rsid w:val="00EA0CEF"/>
    <w:rsid w:val="00EA78B6"/>
    <w:rsid w:val="00EB122D"/>
    <w:rsid w:val="00EB5E92"/>
    <w:rsid w:val="00EC1725"/>
    <w:rsid w:val="00EE0A8A"/>
    <w:rsid w:val="00EF3A66"/>
    <w:rsid w:val="00EF7F50"/>
    <w:rsid w:val="00F16A5E"/>
    <w:rsid w:val="00F73F45"/>
    <w:rsid w:val="00F85B66"/>
    <w:rsid w:val="00FC2754"/>
    <w:rsid w:val="00FE76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D80AFF"/>
  <w15:chartTrackingRefBased/>
  <w15:docId w15:val="{79E9D1FE-949A-4131-9EFD-E1C1129B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D7B83"/>
    <w:pPr>
      <w:tabs>
        <w:tab w:val="center" w:pos="4320"/>
        <w:tab w:val="right" w:pos="8640"/>
      </w:tabs>
    </w:pPr>
  </w:style>
  <w:style w:type="character" w:styleId="PageNumber">
    <w:name w:val="page number"/>
    <w:basedOn w:val="DefaultParagraphFont"/>
    <w:rsid w:val="00BD7B83"/>
  </w:style>
  <w:style w:type="paragraph" w:styleId="BalloonText">
    <w:name w:val="Balloon Text"/>
    <w:basedOn w:val="Normal"/>
    <w:semiHidden/>
    <w:rsid w:val="000F70F4"/>
    <w:rPr>
      <w:rFonts w:ascii="Tahoma" w:hAnsi="Tahoma" w:cs="Tahoma"/>
      <w:sz w:val="16"/>
      <w:szCs w:val="16"/>
    </w:rPr>
  </w:style>
  <w:style w:type="character" w:styleId="CommentReference">
    <w:name w:val="annotation reference"/>
    <w:rsid w:val="0039176F"/>
    <w:rPr>
      <w:sz w:val="16"/>
      <w:szCs w:val="16"/>
    </w:rPr>
  </w:style>
  <w:style w:type="paragraph" w:styleId="CommentText">
    <w:name w:val="annotation text"/>
    <w:basedOn w:val="Normal"/>
    <w:link w:val="CommentTextChar"/>
    <w:rsid w:val="0039176F"/>
    <w:rPr>
      <w:sz w:val="20"/>
      <w:szCs w:val="20"/>
    </w:rPr>
  </w:style>
  <w:style w:type="character" w:customStyle="1" w:styleId="CommentTextChar">
    <w:name w:val="Comment Text Char"/>
    <w:basedOn w:val="DefaultParagraphFont"/>
    <w:link w:val="CommentText"/>
    <w:rsid w:val="0039176F"/>
  </w:style>
  <w:style w:type="paragraph" w:styleId="CommentSubject">
    <w:name w:val="annotation subject"/>
    <w:basedOn w:val="CommentText"/>
    <w:next w:val="CommentText"/>
    <w:link w:val="CommentSubjectChar"/>
    <w:rsid w:val="0039176F"/>
    <w:rPr>
      <w:b/>
      <w:bCs/>
    </w:rPr>
  </w:style>
  <w:style w:type="character" w:customStyle="1" w:styleId="CommentSubjectChar">
    <w:name w:val="Comment Subject Char"/>
    <w:link w:val="CommentSubject"/>
    <w:rsid w:val="0039176F"/>
    <w:rPr>
      <w:b/>
      <w:bCs/>
    </w:rPr>
  </w:style>
  <w:style w:type="paragraph" w:styleId="Revision">
    <w:name w:val="Revision"/>
    <w:hidden/>
    <w:uiPriority w:val="99"/>
    <w:semiHidden/>
    <w:rsid w:val="00C649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F6A48-A410-4200-A8D0-B3AA0FDF8EEE}">
  <ds:schemaRefs>
    <ds:schemaRef ds:uri="http://schemas.microsoft.com/sharepoint/v3/contenttype/forms"/>
  </ds:schemaRefs>
</ds:datastoreItem>
</file>

<file path=customXml/itemProps2.xml><?xml version="1.0" encoding="utf-8"?>
<ds:datastoreItem xmlns:ds="http://schemas.openxmlformats.org/officeDocument/2006/customXml" ds:itemID="{5F8F0962-A3CB-4E61-81DD-ACA876818C0C}">
  <ds:schemaRefs>
    <ds:schemaRef ds:uri="http://schemas.openxmlformats.org/officeDocument/2006/bibliography"/>
  </ds:schemaRefs>
</ds:datastoreItem>
</file>

<file path=customXml/itemProps3.xml><?xml version="1.0" encoding="utf-8"?>
<ds:datastoreItem xmlns:ds="http://schemas.openxmlformats.org/officeDocument/2006/customXml" ds:itemID="{F91153AB-8491-4BCB-808D-72EB69A01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A4A1A1-BC26-4DAF-B8F8-FC4119CDFD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noclwdg</dc:creator>
  <cp:lastModifiedBy>Van Dyke Lanita</cp:lastModifiedBy>
  <cp:revision>2</cp:revision>
  <cp:lastPrinted>2007-10-23T17:19:00Z</cp:lastPrinted>
  <dcterms:created xsi:type="dcterms:W3CDTF">2025-01-14T15:33:00Z</dcterms:created>
  <dcterms:modified xsi:type="dcterms:W3CDTF">2025-01-14T15:33:00Z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