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14F13" w:rsidRPr="00B66C12" w:rsidP="00903226" w14:paraId="39EE5E46" w14:textId="77777777">
      <w:pPr>
        <w:jc w:val="center"/>
        <w:rPr>
          <w:rFonts w:asciiTheme="minorHAnsi" w:hAnsiTheme="minorHAnsi" w:cstheme="minorHAnsi"/>
          <w:bCs/>
          <w:sz w:val="22"/>
          <w:szCs w:val="22"/>
        </w:rPr>
      </w:pPr>
      <w:r w:rsidRPr="00B66C12">
        <w:rPr>
          <w:rFonts w:asciiTheme="minorHAnsi" w:hAnsiTheme="minorHAnsi" w:cstheme="minorHAnsi"/>
          <w:bCs/>
          <w:sz w:val="22"/>
          <w:szCs w:val="22"/>
        </w:rPr>
        <w:t>Supporting Statement</w:t>
      </w:r>
    </w:p>
    <w:p w:rsidR="0027373C" w:rsidRPr="00B66C12" w:rsidP="00903226" w14:paraId="08A37016" w14:textId="77777777">
      <w:pPr>
        <w:jc w:val="center"/>
        <w:rPr>
          <w:rFonts w:asciiTheme="minorHAnsi" w:hAnsiTheme="minorHAnsi" w:cstheme="minorHAnsi"/>
          <w:bCs/>
          <w:sz w:val="22"/>
          <w:szCs w:val="22"/>
        </w:rPr>
      </w:pPr>
      <w:r w:rsidRPr="00B66C12">
        <w:rPr>
          <w:rFonts w:asciiTheme="minorHAnsi" w:hAnsiTheme="minorHAnsi" w:cstheme="minorHAnsi"/>
          <w:bCs/>
          <w:sz w:val="22"/>
          <w:szCs w:val="22"/>
        </w:rPr>
        <w:t>Internal Revenue Service</w:t>
      </w:r>
    </w:p>
    <w:p w:rsidR="0027373C" w:rsidRPr="00B66C12" w:rsidP="00903226" w14:paraId="010FA881" w14:textId="608AF189">
      <w:pPr>
        <w:jc w:val="center"/>
        <w:rPr>
          <w:rFonts w:asciiTheme="minorHAnsi" w:hAnsiTheme="minorHAnsi" w:cstheme="minorHAnsi"/>
          <w:bCs/>
          <w:sz w:val="22"/>
          <w:szCs w:val="22"/>
        </w:rPr>
      </w:pPr>
      <w:r w:rsidRPr="00B66C12">
        <w:rPr>
          <w:rFonts w:asciiTheme="minorHAnsi" w:hAnsiTheme="minorHAnsi" w:cstheme="minorHAnsi"/>
          <w:bCs/>
          <w:sz w:val="22"/>
          <w:szCs w:val="22"/>
        </w:rPr>
        <w:t xml:space="preserve">Form 4506-A, Request for </w:t>
      </w:r>
      <w:r w:rsidR="00B66C12">
        <w:rPr>
          <w:rFonts w:asciiTheme="minorHAnsi" w:hAnsiTheme="minorHAnsi" w:cstheme="minorHAnsi"/>
          <w:bCs/>
          <w:sz w:val="22"/>
          <w:szCs w:val="22"/>
        </w:rPr>
        <w:t>a Copy of Exempt or Political Organization IRS Form</w:t>
      </w:r>
    </w:p>
    <w:p w:rsidR="00B66C12" w:rsidRPr="00B66C12" w:rsidP="00AD00F5" w14:paraId="52C6542C" w14:textId="015359F5">
      <w:pPr>
        <w:jc w:val="center"/>
        <w:rPr>
          <w:rFonts w:asciiTheme="minorHAnsi" w:hAnsiTheme="minorHAnsi" w:cstheme="minorHAnsi"/>
          <w:bCs/>
          <w:sz w:val="22"/>
          <w:szCs w:val="22"/>
        </w:rPr>
      </w:pPr>
      <w:r w:rsidRPr="00B66C12">
        <w:rPr>
          <w:rFonts w:asciiTheme="minorHAnsi" w:hAnsiTheme="minorHAnsi" w:cstheme="minorHAnsi"/>
          <w:bCs/>
          <w:sz w:val="22"/>
          <w:szCs w:val="22"/>
        </w:rPr>
        <w:t>Form 4506-</w:t>
      </w:r>
      <w:r w:rsidRPr="00B66C12" w:rsidR="00CA124E">
        <w:rPr>
          <w:rFonts w:asciiTheme="minorHAnsi" w:hAnsiTheme="minorHAnsi" w:cstheme="minorHAnsi"/>
          <w:bCs/>
          <w:sz w:val="22"/>
          <w:szCs w:val="22"/>
        </w:rPr>
        <w:t>B, Request for a Copy of Exempt Organization IRS Application or Letter</w:t>
      </w:r>
    </w:p>
    <w:p w:rsidR="00614F13" w:rsidRPr="00B66C12" w:rsidP="00903226" w14:paraId="72A47242" w14:textId="6A3A0BC3">
      <w:pPr>
        <w:jc w:val="center"/>
        <w:rPr>
          <w:rFonts w:asciiTheme="minorHAnsi" w:hAnsiTheme="minorHAnsi" w:cstheme="minorHAnsi"/>
          <w:sz w:val="22"/>
          <w:szCs w:val="22"/>
        </w:rPr>
      </w:pPr>
      <w:r w:rsidRPr="00B66C12">
        <w:rPr>
          <w:rFonts w:asciiTheme="minorHAnsi" w:hAnsiTheme="minorHAnsi" w:cstheme="minorHAnsi"/>
          <w:sz w:val="22"/>
          <w:szCs w:val="22"/>
        </w:rPr>
        <w:t>OMB</w:t>
      </w:r>
      <w:r w:rsidRPr="00B66C12" w:rsidR="0027373C">
        <w:rPr>
          <w:rFonts w:asciiTheme="minorHAnsi" w:hAnsiTheme="minorHAnsi" w:cstheme="minorHAnsi"/>
          <w:sz w:val="22"/>
          <w:szCs w:val="22"/>
        </w:rPr>
        <w:t xml:space="preserve"> Control </w:t>
      </w:r>
      <w:r w:rsidR="00B66C12">
        <w:rPr>
          <w:rFonts w:asciiTheme="minorHAnsi" w:hAnsiTheme="minorHAnsi" w:cstheme="minorHAnsi"/>
          <w:sz w:val="22"/>
          <w:szCs w:val="22"/>
        </w:rPr>
        <w:t>N</w:t>
      </w:r>
      <w:r w:rsidRPr="00B66C12" w:rsidR="0027373C">
        <w:rPr>
          <w:rFonts w:asciiTheme="minorHAnsi" w:hAnsiTheme="minorHAnsi" w:cstheme="minorHAnsi"/>
          <w:sz w:val="22"/>
          <w:szCs w:val="22"/>
        </w:rPr>
        <w:t>umber 1</w:t>
      </w:r>
      <w:r w:rsidRPr="00B66C12" w:rsidR="00903226">
        <w:rPr>
          <w:rFonts w:asciiTheme="minorHAnsi" w:hAnsiTheme="minorHAnsi" w:cstheme="minorHAnsi"/>
          <w:sz w:val="22"/>
          <w:szCs w:val="22"/>
        </w:rPr>
        <w:t>545-0495</w:t>
      </w:r>
    </w:p>
    <w:p w:rsidR="00903226" w:rsidRPr="00B66C12" w:rsidP="00903226" w14:paraId="29C0518D" w14:textId="77777777">
      <w:pPr>
        <w:jc w:val="center"/>
        <w:rPr>
          <w:rFonts w:asciiTheme="minorHAnsi" w:hAnsiTheme="minorHAnsi" w:cstheme="minorHAnsi"/>
          <w:sz w:val="22"/>
          <w:szCs w:val="22"/>
        </w:rPr>
      </w:pPr>
    </w:p>
    <w:p w:rsidR="00614F13" w:rsidRPr="00B66C12" w14:paraId="52056690" w14:textId="77777777">
      <w:pPr>
        <w:jc w:val="both"/>
        <w:rPr>
          <w:rFonts w:asciiTheme="minorHAnsi" w:hAnsiTheme="minorHAnsi" w:cstheme="minorHAnsi"/>
          <w:sz w:val="22"/>
          <w:szCs w:val="22"/>
        </w:rPr>
      </w:pPr>
    </w:p>
    <w:p w:rsidR="00614F13" w:rsidRPr="00B66C12" w:rsidP="00B66C12" w14:paraId="343C8212" w14:textId="77777777">
      <w:pPr>
        <w:pStyle w:val="Level1"/>
        <w:numPr>
          <w:ilvl w:val="0"/>
          <w:numId w:val="4"/>
        </w:numPr>
        <w:tabs>
          <w:tab w:val="left" w:pos="-1440"/>
          <w:tab w:val="num" w:pos="720"/>
        </w:tabs>
        <w:ind w:hanging="720"/>
        <w:rPr>
          <w:rFonts w:asciiTheme="minorHAnsi" w:hAnsiTheme="minorHAnsi"/>
          <w:sz w:val="22"/>
          <w:szCs w:val="22"/>
          <w:u w:val="single"/>
        </w:rPr>
      </w:pPr>
      <w:r w:rsidRPr="00B66C12">
        <w:rPr>
          <w:rFonts w:asciiTheme="minorHAnsi" w:hAnsiTheme="minorHAnsi"/>
          <w:sz w:val="22"/>
          <w:szCs w:val="22"/>
          <w:u w:val="single"/>
        </w:rPr>
        <w:t>CIRCUMSTANCES NECESSITATING COLLECTION OF INFORMATION</w:t>
      </w:r>
    </w:p>
    <w:p w:rsidR="00614F13" w:rsidRPr="00B66C12" w14:paraId="1056CBA0" w14:textId="77777777">
      <w:pPr>
        <w:jc w:val="both"/>
        <w:rPr>
          <w:rFonts w:asciiTheme="minorHAnsi" w:hAnsiTheme="minorHAnsi" w:cstheme="minorHAnsi"/>
          <w:sz w:val="22"/>
          <w:szCs w:val="22"/>
        </w:rPr>
      </w:pPr>
    </w:p>
    <w:p w:rsidR="00B66C12" w:rsidP="005255C7" w14:paraId="4C5A8585" w14:textId="4B277EC8">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Internal Revenue Code</w:t>
      </w:r>
      <w:r>
        <w:rPr>
          <w:rFonts w:asciiTheme="minorHAnsi" w:hAnsiTheme="minorHAnsi" w:cstheme="minorHAnsi"/>
          <w:sz w:val="22"/>
          <w:szCs w:val="22"/>
        </w:rPr>
        <w:t xml:space="preserve"> (IRC)</w:t>
      </w:r>
      <w:r w:rsidRPr="00B66C12">
        <w:rPr>
          <w:rFonts w:asciiTheme="minorHAnsi" w:hAnsiTheme="minorHAnsi" w:cstheme="minorHAnsi"/>
          <w:sz w:val="22"/>
          <w:szCs w:val="22"/>
        </w:rPr>
        <w:t xml:space="preserve"> </w:t>
      </w:r>
      <w:r w:rsidRPr="00B66C12" w:rsidR="00614F13">
        <w:rPr>
          <w:rFonts w:asciiTheme="minorHAnsi" w:hAnsiTheme="minorHAnsi" w:cstheme="minorHAnsi"/>
          <w:sz w:val="22"/>
          <w:szCs w:val="22"/>
        </w:rPr>
        <w:t xml:space="preserve">section 6104 states that if an organization described in </w:t>
      </w:r>
      <w:r>
        <w:rPr>
          <w:rFonts w:asciiTheme="minorHAnsi" w:hAnsiTheme="minorHAnsi" w:cstheme="minorHAnsi"/>
          <w:sz w:val="22"/>
          <w:szCs w:val="22"/>
        </w:rPr>
        <w:t xml:space="preserve">IRC </w:t>
      </w:r>
      <w:r w:rsidRPr="00B66C12" w:rsidR="00614F13">
        <w:rPr>
          <w:rFonts w:asciiTheme="minorHAnsi" w:hAnsiTheme="minorHAnsi" w:cstheme="minorHAnsi"/>
          <w:sz w:val="22"/>
          <w:szCs w:val="22"/>
        </w:rPr>
        <w:t>section</w:t>
      </w:r>
      <w:r>
        <w:rPr>
          <w:rFonts w:asciiTheme="minorHAnsi" w:hAnsiTheme="minorHAnsi" w:cstheme="minorHAnsi"/>
          <w:sz w:val="22"/>
          <w:szCs w:val="22"/>
        </w:rPr>
        <w:t>s</w:t>
      </w:r>
      <w:r w:rsidRPr="00B66C12" w:rsidR="00614F13">
        <w:rPr>
          <w:rFonts w:asciiTheme="minorHAnsi" w:hAnsiTheme="minorHAnsi" w:cstheme="minorHAnsi"/>
          <w:sz w:val="22"/>
          <w:szCs w:val="22"/>
        </w:rPr>
        <w:t xml:space="preserve"> 501(c) or </w:t>
      </w:r>
      <w:r>
        <w:rPr>
          <w:rFonts w:asciiTheme="minorHAnsi" w:hAnsiTheme="minorHAnsi" w:cstheme="minorHAnsi"/>
          <w:sz w:val="22"/>
          <w:szCs w:val="22"/>
        </w:rPr>
        <w:t>501</w:t>
      </w:r>
      <w:r w:rsidRPr="00B66C12" w:rsidR="00614F13">
        <w:rPr>
          <w:rFonts w:asciiTheme="minorHAnsi" w:hAnsiTheme="minorHAnsi" w:cstheme="minorHAnsi"/>
          <w:sz w:val="22"/>
          <w:szCs w:val="22"/>
        </w:rPr>
        <w:t xml:space="preserve">(d) is exempt from taxation under </w:t>
      </w:r>
      <w:r>
        <w:rPr>
          <w:rFonts w:asciiTheme="minorHAnsi" w:hAnsiTheme="minorHAnsi" w:cstheme="minorHAnsi"/>
          <w:sz w:val="22"/>
          <w:szCs w:val="22"/>
        </w:rPr>
        <w:t xml:space="preserve">IRC </w:t>
      </w:r>
      <w:r w:rsidRPr="00B66C12" w:rsidR="00614F13">
        <w:rPr>
          <w:rFonts w:asciiTheme="minorHAnsi" w:hAnsiTheme="minorHAnsi" w:cstheme="minorHAnsi"/>
          <w:sz w:val="22"/>
          <w:szCs w:val="22"/>
        </w:rPr>
        <w:t>section 501(a) for any taxable year</w:t>
      </w:r>
      <w:r w:rsidR="00E75531">
        <w:rPr>
          <w:rFonts w:asciiTheme="minorHAnsi" w:hAnsiTheme="minorHAnsi" w:cstheme="minorHAnsi"/>
          <w:sz w:val="22"/>
          <w:szCs w:val="22"/>
        </w:rPr>
        <w:t xml:space="preserve"> or a political organization is exempt from taxation under IRC section 527 for any taxable year</w:t>
      </w:r>
      <w:r w:rsidRPr="00B66C12" w:rsidR="00614F13">
        <w:rPr>
          <w:rFonts w:asciiTheme="minorHAnsi" w:hAnsiTheme="minorHAnsi" w:cstheme="minorHAnsi"/>
          <w:sz w:val="22"/>
          <w:szCs w:val="22"/>
        </w:rPr>
        <w:t xml:space="preserve">, the application for exemption is open for public inspection. This includes all supporting statements, any letter or other documents issued by the IRS concerning the application, and certain annual returns of the organization. </w:t>
      </w:r>
    </w:p>
    <w:p w:rsidR="00B66C12" w:rsidP="005255C7" w14:paraId="53C9DDE7" w14:textId="77777777">
      <w:pPr>
        <w:spacing w:line="280" w:lineRule="exact"/>
        <w:ind w:left="720"/>
        <w:rPr>
          <w:rFonts w:asciiTheme="minorHAnsi" w:hAnsiTheme="minorHAnsi" w:cstheme="minorHAnsi"/>
          <w:sz w:val="22"/>
          <w:szCs w:val="22"/>
        </w:rPr>
      </w:pPr>
    </w:p>
    <w:p w:rsidR="00614F13" w:rsidRPr="00B66C12" w:rsidP="005255C7" w14:paraId="6CCE7FDB" w14:textId="40556FCE">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 xml:space="preserve">Form 4506-A is used </w:t>
      </w:r>
      <w:r w:rsidR="00B66C12">
        <w:rPr>
          <w:rFonts w:asciiTheme="minorHAnsi" w:hAnsiTheme="minorHAnsi" w:cstheme="minorHAnsi"/>
          <w:sz w:val="22"/>
          <w:szCs w:val="22"/>
        </w:rPr>
        <w:t>by the</w:t>
      </w:r>
      <w:r w:rsidRPr="00B66C12">
        <w:rPr>
          <w:rFonts w:asciiTheme="minorHAnsi" w:hAnsiTheme="minorHAnsi" w:cstheme="minorHAnsi"/>
          <w:sz w:val="22"/>
          <w:szCs w:val="22"/>
        </w:rPr>
        <w:t xml:space="preserve"> public </w:t>
      </w:r>
      <w:r w:rsidR="00B66C12">
        <w:rPr>
          <w:rFonts w:asciiTheme="minorHAnsi" w:hAnsiTheme="minorHAnsi" w:cstheme="minorHAnsi"/>
          <w:sz w:val="22"/>
          <w:szCs w:val="22"/>
        </w:rPr>
        <w:t>to request a copy of an exempt or political organization’s return, report, or notice.</w:t>
      </w:r>
      <w:r w:rsidRPr="00B66C12" w:rsidR="00CA124E">
        <w:rPr>
          <w:rFonts w:asciiTheme="minorHAnsi" w:hAnsiTheme="minorHAnsi" w:cstheme="minorHAnsi"/>
          <w:sz w:val="22"/>
          <w:szCs w:val="22"/>
        </w:rPr>
        <w:t xml:space="preserve"> Form 4506-B</w:t>
      </w:r>
      <w:r w:rsidR="00B66C12">
        <w:rPr>
          <w:rFonts w:asciiTheme="minorHAnsi" w:hAnsiTheme="minorHAnsi" w:cstheme="minorHAnsi"/>
          <w:sz w:val="22"/>
          <w:szCs w:val="22"/>
        </w:rPr>
        <w:t xml:space="preserve"> is used by the public to </w:t>
      </w:r>
      <w:r w:rsidR="008A04C5">
        <w:rPr>
          <w:rFonts w:asciiTheme="minorHAnsi" w:hAnsiTheme="minorHAnsi" w:cstheme="minorHAnsi"/>
          <w:sz w:val="22"/>
          <w:szCs w:val="22"/>
        </w:rPr>
        <w:t>request a copy of an exempt organization’s exemption application or letter issued by the</w:t>
      </w:r>
      <w:r>
        <w:rPr>
          <w:rFonts w:asciiTheme="minorHAnsi" w:hAnsiTheme="minorHAnsi" w:cstheme="minorHAnsi"/>
          <w:sz w:val="22"/>
          <w:szCs w:val="22"/>
        </w:rPr>
        <w:t xml:space="preserve"> Internal Revenue Service</w:t>
      </w:r>
      <w:r w:rsidR="008A04C5">
        <w:rPr>
          <w:rFonts w:asciiTheme="minorHAnsi" w:hAnsiTheme="minorHAnsi" w:cstheme="minorHAnsi"/>
          <w:sz w:val="22"/>
          <w:szCs w:val="22"/>
        </w:rPr>
        <w:t xml:space="preserve"> </w:t>
      </w:r>
      <w:r>
        <w:rPr>
          <w:rFonts w:asciiTheme="minorHAnsi" w:hAnsiTheme="minorHAnsi" w:cstheme="minorHAnsi"/>
          <w:sz w:val="22"/>
          <w:szCs w:val="22"/>
        </w:rPr>
        <w:t>(</w:t>
      </w:r>
      <w:r w:rsidR="008A04C5">
        <w:rPr>
          <w:rFonts w:asciiTheme="minorHAnsi" w:hAnsiTheme="minorHAnsi" w:cstheme="minorHAnsi"/>
          <w:sz w:val="22"/>
          <w:szCs w:val="22"/>
        </w:rPr>
        <w:t>IRS</w:t>
      </w:r>
      <w:r>
        <w:rPr>
          <w:rFonts w:asciiTheme="minorHAnsi" w:hAnsiTheme="minorHAnsi" w:cstheme="minorHAnsi"/>
          <w:sz w:val="22"/>
          <w:szCs w:val="22"/>
        </w:rPr>
        <w:t>)</w:t>
      </w:r>
      <w:r w:rsidR="008A04C5">
        <w:rPr>
          <w:rFonts w:asciiTheme="minorHAnsi" w:hAnsiTheme="minorHAnsi" w:cstheme="minorHAnsi"/>
          <w:sz w:val="22"/>
          <w:szCs w:val="22"/>
        </w:rPr>
        <w:t>.</w:t>
      </w:r>
    </w:p>
    <w:p w:rsidR="00614F13" w:rsidRPr="00B66C12" w14:paraId="490BE061" w14:textId="77777777">
      <w:pPr>
        <w:jc w:val="both"/>
        <w:rPr>
          <w:rFonts w:asciiTheme="minorHAnsi" w:hAnsiTheme="minorHAnsi" w:cstheme="minorHAnsi"/>
          <w:sz w:val="22"/>
          <w:szCs w:val="22"/>
        </w:rPr>
      </w:pPr>
    </w:p>
    <w:p w:rsidR="00614F13" w:rsidRPr="008A04C5" w:rsidP="008A04C5" w14:paraId="67ABD1C3"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USE OF DATA</w:t>
      </w:r>
    </w:p>
    <w:p w:rsidR="00614F13" w:rsidRPr="00B66C12" w14:paraId="459B0E97" w14:textId="77777777">
      <w:pPr>
        <w:jc w:val="both"/>
        <w:rPr>
          <w:rFonts w:asciiTheme="minorHAnsi" w:hAnsiTheme="minorHAnsi" w:cstheme="minorHAnsi"/>
          <w:sz w:val="22"/>
          <w:szCs w:val="22"/>
        </w:rPr>
      </w:pPr>
    </w:p>
    <w:p w:rsidR="00614F13" w:rsidRPr="00B66C12" w:rsidP="005255C7" w14:paraId="688B8E25" w14:textId="71C34E3B">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The in</w:t>
      </w:r>
      <w:r w:rsidR="00E75531">
        <w:rPr>
          <w:rFonts w:asciiTheme="minorHAnsi" w:hAnsiTheme="minorHAnsi" w:cstheme="minorHAnsi"/>
          <w:sz w:val="22"/>
          <w:szCs w:val="22"/>
        </w:rPr>
        <w:t>formation</w:t>
      </w:r>
      <w:r w:rsidRPr="00B66C12">
        <w:rPr>
          <w:rFonts w:asciiTheme="minorHAnsi" w:hAnsiTheme="minorHAnsi" w:cstheme="minorHAnsi"/>
          <w:sz w:val="22"/>
          <w:szCs w:val="22"/>
        </w:rPr>
        <w:t xml:space="preserve"> is used by the IRS to identify</w:t>
      </w:r>
      <w:r w:rsidR="00E75531">
        <w:rPr>
          <w:rFonts w:asciiTheme="minorHAnsi" w:hAnsiTheme="minorHAnsi" w:cstheme="minorHAnsi"/>
          <w:sz w:val="22"/>
          <w:szCs w:val="22"/>
        </w:rPr>
        <w:t>,</w:t>
      </w:r>
      <w:r w:rsidRPr="00B66C12">
        <w:rPr>
          <w:rFonts w:asciiTheme="minorHAnsi" w:hAnsiTheme="minorHAnsi" w:cstheme="minorHAnsi"/>
          <w:sz w:val="22"/>
          <w:szCs w:val="22"/>
        </w:rPr>
        <w:t xml:space="preserve"> locate</w:t>
      </w:r>
      <w:r w:rsidR="00E75531">
        <w:rPr>
          <w:rFonts w:asciiTheme="minorHAnsi" w:hAnsiTheme="minorHAnsi" w:cstheme="minorHAnsi"/>
          <w:sz w:val="22"/>
          <w:szCs w:val="22"/>
        </w:rPr>
        <w:t>, and provide the documents or information requested by the public</w:t>
      </w:r>
      <w:r w:rsidR="00504599">
        <w:rPr>
          <w:rFonts w:asciiTheme="minorHAnsi" w:hAnsiTheme="minorHAnsi" w:cstheme="minorHAnsi"/>
          <w:sz w:val="22"/>
          <w:szCs w:val="22"/>
        </w:rPr>
        <w:t xml:space="preserve"> in accordance with</w:t>
      </w:r>
      <w:r w:rsidR="00E75531">
        <w:rPr>
          <w:rFonts w:asciiTheme="minorHAnsi" w:hAnsiTheme="minorHAnsi" w:cstheme="minorHAnsi"/>
          <w:sz w:val="22"/>
          <w:szCs w:val="22"/>
        </w:rPr>
        <w:t xml:space="preserve"> the provisions of IRC section 6104.</w:t>
      </w:r>
    </w:p>
    <w:p w:rsidR="00614F13" w:rsidRPr="00B66C12" w14:paraId="4CD912BC" w14:textId="77777777">
      <w:pPr>
        <w:jc w:val="both"/>
        <w:rPr>
          <w:rFonts w:asciiTheme="minorHAnsi" w:hAnsiTheme="minorHAnsi" w:cstheme="minorHAnsi"/>
          <w:sz w:val="22"/>
          <w:szCs w:val="22"/>
        </w:rPr>
      </w:pPr>
    </w:p>
    <w:p w:rsidR="00614F13" w:rsidRPr="008A04C5" w:rsidP="008A04C5" w14:paraId="3EB08259"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USE OF IMPROVED INFORMATION TECHNOLOGY TO REDUCE BURDEN</w:t>
      </w:r>
    </w:p>
    <w:p w:rsidR="00614F13" w:rsidRPr="00B66C12" w14:paraId="14857830" w14:textId="77777777">
      <w:pPr>
        <w:jc w:val="both"/>
        <w:rPr>
          <w:rFonts w:asciiTheme="minorHAnsi" w:hAnsiTheme="minorHAnsi" w:cstheme="minorHAnsi"/>
          <w:sz w:val="22"/>
          <w:szCs w:val="22"/>
        </w:rPr>
      </w:pPr>
    </w:p>
    <w:p w:rsidR="00835738" w:rsidRPr="00B66C12" w:rsidP="00835738" w14:paraId="5B4F8DA5" w14:textId="3A56625B">
      <w:pPr>
        <w:ind w:left="720"/>
        <w:jc w:val="both"/>
        <w:rPr>
          <w:rFonts w:asciiTheme="minorHAnsi" w:hAnsiTheme="minorHAnsi" w:cstheme="minorHAnsi"/>
          <w:bCs/>
          <w:sz w:val="22"/>
          <w:szCs w:val="22"/>
        </w:rPr>
      </w:pPr>
      <w:r>
        <w:rPr>
          <w:rFonts w:asciiTheme="minorHAnsi" w:hAnsiTheme="minorHAnsi" w:cstheme="minorHAnsi"/>
          <w:bCs/>
          <w:sz w:val="22"/>
          <w:szCs w:val="22"/>
        </w:rPr>
        <w:t>Electronic filing of forms is currently available.</w:t>
      </w:r>
    </w:p>
    <w:p w:rsidR="00614F13" w:rsidRPr="00B66C12" w14:paraId="123ABEFA" w14:textId="77777777">
      <w:pPr>
        <w:jc w:val="both"/>
        <w:rPr>
          <w:rFonts w:asciiTheme="minorHAnsi" w:hAnsiTheme="minorHAnsi" w:cstheme="minorHAnsi"/>
          <w:sz w:val="22"/>
          <w:szCs w:val="22"/>
        </w:rPr>
      </w:pPr>
    </w:p>
    <w:p w:rsidR="00614F13" w:rsidRPr="008A04C5" w:rsidP="008A04C5" w14:paraId="72BD4460"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EFFORTS TO IDENTIFY DUPLICATION</w:t>
      </w:r>
    </w:p>
    <w:p w:rsidR="00614F13" w:rsidRPr="00B66C12" w14:paraId="61F5029F" w14:textId="77777777">
      <w:pPr>
        <w:jc w:val="both"/>
        <w:rPr>
          <w:rFonts w:asciiTheme="minorHAnsi" w:hAnsiTheme="minorHAnsi" w:cstheme="minorHAnsi"/>
          <w:sz w:val="22"/>
          <w:szCs w:val="22"/>
        </w:rPr>
      </w:pPr>
    </w:p>
    <w:p w:rsidR="00614F13" w:rsidRPr="00B66C12" w:rsidP="005255C7" w14:paraId="0F726F66" w14:textId="77777777">
      <w:pPr>
        <w:ind w:left="720"/>
        <w:rPr>
          <w:rFonts w:asciiTheme="minorHAnsi" w:hAnsiTheme="minorHAnsi" w:cstheme="minorHAnsi"/>
          <w:sz w:val="22"/>
          <w:szCs w:val="22"/>
        </w:rPr>
      </w:pPr>
      <w:r w:rsidRPr="00B66C12">
        <w:rPr>
          <w:rFonts w:asciiTheme="minorHAnsi" w:hAnsiTheme="minorHAnsi" w:cstheme="minorHAnsi"/>
          <w:iCs/>
          <w:sz w:val="22"/>
          <w:szCs w:val="22"/>
        </w:rPr>
        <w:t>The information obtained through this collection is unique and is not already available for use or adaptation from another source</w:t>
      </w:r>
      <w:r w:rsidRPr="00B66C12">
        <w:rPr>
          <w:rFonts w:asciiTheme="minorHAnsi" w:hAnsiTheme="minorHAnsi" w:cstheme="minorHAnsi"/>
          <w:sz w:val="22"/>
          <w:szCs w:val="22"/>
        </w:rPr>
        <w:t xml:space="preserve">  </w:t>
      </w:r>
    </w:p>
    <w:p w:rsidR="00614F13" w:rsidRPr="00B66C12" w14:paraId="3428432B" w14:textId="77777777">
      <w:pPr>
        <w:jc w:val="both"/>
        <w:rPr>
          <w:rFonts w:asciiTheme="minorHAnsi" w:hAnsiTheme="minorHAnsi" w:cstheme="minorHAnsi"/>
          <w:sz w:val="22"/>
          <w:szCs w:val="22"/>
        </w:rPr>
      </w:pPr>
    </w:p>
    <w:p w:rsidR="00614F13" w:rsidRPr="008A04C5" w:rsidP="008A04C5" w14:paraId="07A59B6C"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METHODS TO MINIMIZE BURDEN ON SMALL BUSINESSES OR OTHER SMALL ENTITIES</w:t>
      </w:r>
    </w:p>
    <w:p w:rsidR="00614F13" w:rsidRPr="00B66C12" w:rsidP="00CA124E" w14:paraId="774826B1" w14:textId="77777777">
      <w:pPr>
        <w:ind w:firstLine="720"/>
        <w:jc w:val="both"/>
        <w:rPr>
          <w:rFonts w:asciiTheme="minorHAnsi" w:hAnsiTheme="minorHAnsi" w:cstheme="minorHAnsi"/>
          <w:sz w:val="22"/>
          <w:szCs w:val="22"/>
        </w:rPr>
      </w:pPr>
    </w:p>
    <w:p w:rsidR="00614F13" w:rsidRPr="00F13373" w:rsidP="00F13373" w14:paraId="260157CD" w14:textId="77777777">
      <w:pPr>
        <w:ind w:left="720"/>
        <w:rPr>
          <w:rFonts w:asciiTheme="minorHAnsi" w:hAnsiTheme="minorHAnsi" w:cstheme="minorHAnsi"/>
          <w:iCs/>
          <w:sz w:val="22"/>
          <w:szCs w:val="22"/>
        </w:rPr>
      </w:pPr>
      <w:r w:rsidRPr="00F13373">
        <w:rPr>
          <w:rFonts w:asciiTheme="minorHAnsi" w:hAnsiTheme="minorHAnsi" w:cstheme="minorHAnsi"/>
          <w:iCs/>
          <w:sz w:val="22"/>
          <w:szCs w:val="22"/>
        </w:rPr>
        <w:t xml:space="preserve">There </w:t>
      </w:r>
      <w:r w:rsidRPr="00F13373" w:rsidR="00E86D7B">
        <w:rPr>
          <w:rFonts w:asciiTheme="minorHAnsi" w:hAnsiTheme="minorHAnsi" w:cstheme="minorHAnsi"/>
          <w:iCs/>
          <w:sz w:val="22"/>
          <w:szCs w:val="22"/>
        </w:rPr>
        <w:t>is</w:t>
      </w:r>
      <w:r w:rsidRPr="00F13373" w:rsidR="0028558F">
        <w:rPr>
          <w:rFonts w:asciiTheme="minorHAnsi" w:hAnsiTheme="minorHAnsi" w:cstheme="minorHAnsi"/>
          <w:iCs/>
          <w:sz w:val="22"/>
          <w:szCs w:val="22"/>
        </w:rPr>
        <w:t xml:space="preserve"> no</w:t>
      </w:r>
      <w:r w:rsidRPr="00F13373" w:rsidR="00E86D7B">
        <w:rPr>
          <w:rFonts w:asciiTheme="minorHAnsi" w:hAnsiTheme="minorHAnsi" w:cstheme="minorHAnsi"/>
          <w:iCs/>
          <w:sz w:val="22"/>
          <w:szCs w:val="22"/>
        </w:rPr>
        <w:t xml:space="preserve"> burden </w:t>
      </w:r>
      <w:r w:rsidRPr="00F13373">
        <w:rPr>
          <w:rFonts w:asciiTheme="minorHAnsi" w:hAnsiTheme="minorHAnsi" w:cstheme="minorHAnsi"/>
          <w:iCs/>
          <w:sz w:val="22"/>
          <w:szCs w:val="22"/>
        </w:rPr>
        <w:t>o</w:t>
      </w:r>
      <w:r w:rsidRPr="00F13373" w:rsidR="0028558F">
        <w:rPr>
          <w:rFonts w:asciiTheme="minorHAnsi" w:hAnsiTheme="minorHAnsi" w:cstheme="minorHAnsi"/>
          <w:iCs/>
          <w:sz w:val="22"/>
          <w:szCs w:val="22"/>
        </w:rPr>
        <w:t>n</w:t>
      </w:r>
      <w:r w:rsidRPr="00F13373">
        <w:rPr>
          <w:rFonts w:asciiTheme="minorHAnsi" w:hAnsiTheme="minorHAnsi" w:cstheme="minorHAnsi"/>
          <w:iCs/>
          <w:sz w:val="22"/>
          <w:szCs w:val="22"/>
        </w:rPr>
        <w:t xml:space="preserve"> small</w:t>
      </w:r>
      <w:r w:rsidRPr="00F13373" w:rsidR="00E86D7B">
        <w:rPr>
          <w:rFonts w:asciiTheme="minorHAnsi" w:hAnsiTheme="minorHAnsi" w:cstheme="minorHAnsi"/>
          <w:iCs/>
          <w:sz w:val="22"/>
          <w:szCs w:val="22"/>
        </w:rPr>
        <w:t xml:space="preserve"> businesses or</w:t>
      </w:r>
      <w:r w:rsidRPr="00F13373">
        <w:rPr>
          <w:rFonts w:asciiTheme="minorHAnsi" w:hAnsiTheme="minorHAnsi" w:cstheme="minorHAnsi"/>
          <w:iCs/>
          <w:sz w:val="22"/>
          <w:szCs w:val="22"/>
        </w:rPr>
        <w:t xml:space="preserve"> entities by this collection</w:t>
      </w:r>
      <w:r w:rsidRPr="00F13373" w:rsidR="00E86D7B">
        <w:rPr>
          <w:rFonts w:asciiTheme="minorHAnsi" w:hAnsiTheme="minorHAnsi" w:cstheme="minorHAnsi"/>
          <w:iCs/>
          <w:sz w:val="22"/>
          <w:szCs w:val="22"/>
        </w:rPr>
        <w:t xml:space="preserve"> due to the inapplicability of the authorizing statue to this type of entity</w:t>
      </w:r>
      <w:r w:rsidRPr="00F13373">
        <w:rPr>
          <w:rFonts w:asciiTheme="minorHAnsi" w:hAnsiTheme="minorHAnsi" w:cstheme="minorHAnsi"/>
          <w:iCs/>
          <w:sz w:val="22"/>
          <w:szCs w:val="22"/>
        </w:rPr>
        <w:t>.</w:t>
      </w:r>
    </w:p>
    <w:p w:rsidR="00614F13" w:rsidRPr="00B66C12" w14:paraId="1C9224EC" w14:textId="77777777">
      <w:pPr>
        <w:jc w:val="both"/>
        <w:rPr>
          <w:rFonts w:asciiTheme="minorHAnsi" w:hAnsiTheme="minorHAnsi" w:cstheme="minorHAnsi"/>
          <w:sz w:val="22"/>
          <w:szCs w:val="22"/>
        </w:rPr>
      </w:pPr>
    </w:p>
    <w:p w:rsidR="00614F13" w:rsidRPr="008A04C5" w:rsidP="008A04C5" w14:paraId="4FEFDCEE" w14:textId="41E2FE54">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CONSEQUENCES OF LESS FREQUENT COLLECTION ON FEDERAL PROGRAMS OR POLICY</w:t>
      </w:r>
      <w:r w:rsidR="008A04C5">
        <w:rPr>
          <w:rFonts w:asciiTheme="minorHAnsi" w:hAnsiTheme="minorHAnsi"/>
          <w:sz w:val="22"/>
          <w:szCs w:val="22"/>
          <w:u w:val="single"/>
        </w:rPr>
        <w:t xml:space="preserve"> </w:t>
      </w:r>
      <w:r w:rsidRPr="008A04C5">
        <w:rPr>
          <w:rFonts w:asciiTheme="minorHAnsi" w:hAnsiTheme="minorHAnsi"/>
          <w:sz w:val="22"/>
          <w:szCs w:val="22"/>
          <w:u w:val="single"/>
        </w:rPr>
        <w:t>ACTIVITIES</w:t>
      </w:r>
    </w:p>
    <w:p w:rsidR="00A32B68" w:rsidRPr="00B66C12" w:rsidP="00281850" w14:paraId="3FFB8774" w14:textId="77777777">
      <w:pPr>
        <w:rPr>
          <w:rFonts w:asciiTheme="minorHAnsi" w:hAnsiTheme="minorHAnsi" w:cstheme="minorHAnsi"/>
          <w:sz w:val="22"/>
          <w:szCs w:val="22"/>
        </w:rPr>
      </w:pPr>
    </w:p>
    <w:p w:rsidR="00CE0E41" w:rsidP="00F13373" w14:paraId="167026DA" w14:textId="296BB742">
      <w:pPr>
        <w:ind w:left="720"/>
        <w:rPr>
          <w:rFonts w:asciiTheme="minorHAnsi" w:hAnsiTheme="minorHAnsi" w:cstheme="minorHAnsi"/>
          <w:iCs/>
          <w:sz w:val="22"/>
          <w:szCs w:val="22"/>
        </w:rPr>
      </w:pPr>
      <w:r w:rsidRPr="00453AD3">
        <w:rPr>
          <w:rFonts w:asciiTheme="minorHAnsi" w:hAnsiTheme="minorHAnsi" w:cs="Arial"/>
          <w:sz w:val="22"/>
          <w:szCs w:val="22"/>
        </w:rPr>
        <w:t xml:space="preserve">A less frequent collection will not enable the IRS to respond to </w:t>
      </w:r>
      <w:r>
        <w:rPr>
          <w:rFonts w:asciiTheme="minorHAnsi" w:hAnsiTheme="minorHAnsi" w:cs="Arial"/>
          <w:sz w:val="22"/>
          <w:szCs w:val="22"/>
        </w:rPr>
        <w:t>requests for documents or information</w:t>
      </w:r>
      <w:r w:rsidR="006F14D7">
        <w:rPr>
          <w:rFonts w:asciiTheme="minorHAnsi" w:hAnsiTheme="minorHAnsi" w:cs="Arial"/>
          <w:sz w:val="22"/>
          <w:szCs w:val="22"/>
        </w:rPr>
        <w:t xml:space="preserve"> related to exempt and political organizations</w:t>
      </w:r>
      <w:r w:rsidRPr="00453AD3">
        <w:rPr>
          <w:rFonts w:asciiTheme="minorHAnsi" w:hAnsiTheme="minorHAnsi" w:cs="Arial"/>
          <w:sz w:val="22"/>
          <w:szCs w:val="22"/>
        </w:rPr>
        <w:t xml:space="preserve"> in accordance with IRC </w:t>
      </w:r>
      <w:r w:rsidR="006F14D7">
        <w:rPr>
          <w:rFonts w:asciiTheme="minorHAnsi" w:hAnsiTheme="minorHAnsi" w:cs="Arial"/>
          <w:sz w:val="22"/>
          <w:szCs w:val="22"/>
        </w:rPr>
        <w:t>section 6104</w:t>
      </w:r>
      <w:r w:rsidRPr="00453AD3">
        <w:rPr>
          <w:rFonts w:asciiTheme="minorHAnsi" w:hAnsiTheme="minorHAnsi" w:cs="Arial"/>
          <w:sz w:val="22"/>
          <w:szCs w:val="22"/>
        </w:rPr>
        <w:t xml:space="preserve"> and could result in </w:t>
      </w:r>
      <w:r w:rsidR="006F14D7">
        <w:rPr>
          <w:rFonts w:asciiTheme="minorHAnsi" w:hAnsiTheme="minorHAnsi" w:cs="Arial"/>
          <w:sz w:val="22"/>
          <w:szCs w:val="22"/>
        </w:rPr>
        <w:t xml:space="preserve">the IRS </w:t>
      </w:r>
      <w:r w:rsidRPr="00453AD3">
        <w:rPr>
          <w:rFonts w:asciiTheme="minorHAnsi" w:hAnsiTheme="minorHAnsi" w:cs="Arial"/>
          <w:sz w:val="22"/>
          <w:szCs w:val="22"/>
        </w:rPr>
        <w:t>being unable to meet its mission.</w:t>
      </w:r>
    </w:p>
    <w:p w:rsidR="00CD5AE6" w:rsidRPr="00B66C12" w:rsidP="00903226" w14:paraId="1999628C" w14:textId="77777777">
      <w:pPr>
        <w:spacing w:line="280" w:lineRule="exact"/>
        <w:ind w:left="720"/>
        <w:jc w:val="both"/>
        <w:rPr>
          <w:rFonts w:asciiTheme="minorHAnsi" w:hAnsiTheme="minorHAnsi" w:cstheme="minorHAnsi"/>
          <w:sz w:val="22"/>
          <w:szCs w:val="22"/>
        </w:rPr>
      </w:pPr>
    </w:p>
    <w:p w:rsidR="00614F13" w:rsidRPr="008A04C5" w:rsidP="008A04C5" w14:paraId="2C6663C3" w14:textId="48863B78">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SPECIAL CIRCUMSTANCES REQUIRING DATA COLLECTION TO BE</w:t>
      </w:r>
      <w:r w:rsidRPr="008A04C5" w:rsidR="00CA124E">
        <w:rPr>
          <w:rFonts w:asciiTheme="minorHAnsi" w:hAnsiTheme="minorHAnsi"/>
          <w:sz w:val="22"/>
          <w:szCs w:val="22"/>
          <w:u w:val="single"/>
        </w:rPr>
        <w:t xml:space="preserve"> </w:t>
      </w:r>
      <w:r w:rsidRPr="008A04C5">
        <w:rPr>
          <w:rFonts w:asciiTheme="minorHAnsi" w:hAnsiTheme="minorHAnsi"/>
          <w:sz w:val="22"/>
          <w:szCs w:val="22"/>
          <w:u w:val="single"/>
        </w:rPr>
        <w:t>INCONSISTENT WITH</w:t>
      </w:r>
      <w:r w:rsidR="008A04C5">
        <w:rPr>
          <w:rFonts w:asciiTheme="minorHAnsi" w:hAnsiTheme="minorHAnsi"/>
          <w:sz w:val="22"/>
          <w:szCs w:val="22"/>
          <w:u w:val="single"/>
        </w:rPr>
        <w:t xml:space="preserve"> </w:t>
      </w:r>
      <w:r w:rsidRPr="008A04C5">
        <w:rPr>
          <w:rFonts w:asciiTheme="minorHAnsi" w:hAnsiTheme="minorHAnsi"/>
          <w:sz w:val="22"/>
          <w:szCs w:val="22"/>
          <w:u w:val="single"/>
        </w:rPr>
        <w:t>GUIDELINES IN 5 CFR 1320.5(d)(2)</w:t>
      </w:r>
    </w:p>
    <w:p w:rsidR="00614F13" w:rsidRPr="00B66C12" w:rsidP="00A32B68" w14:paraId="6F0DED94" w14:textId="77777777">
      <w:pPr>
        <w:rPr>
          <w:rFonts w:asciiTheme="minorHAnsi" w:hAnsiTheme="minorHAnsi" w:cstheme="minorHAnsi"/>
          <w:sz w:val="22"/>
          <w:szCs w:val="22"/>
          <w:u w:val="single"/>
        </w:rPr>
      </w:pPr>
    </w:p>
    <w:p w:rsidR="00903226" w:rsidRPr="00B66C12" w:rsidP="00CA124E" w14:paraId="04603A62" w14:textId="66FC7DAA">
      <w:pPr>
        <w:tabs>
          <w:tab w:val="left" w:pos="-1440"/>
        </w:tabs>
        <w:ind w:left="720"/>
        <w:rPr>
          <w:rFonts w:asciiTheme="minorHAnsi" w:hAnsiTheme="minorHAnsi" w:cstheme="minorHAnsi"/>
          <w:sz w:val="22"/>
          <w:szCs w:val="22"/>
        </w:rPr>
      </w:pPr>
      <w:r w:rsidRPr="00B66C12">
        <w:rPr>
          <w:rFonts w:asciiTheme="minorHAnsi" w:hAnsiTheme="minorHAnsi" w:cstheme="minorHAnsi"/>
          <w:sz w:val="22"/>
          <w:szCs w:val="22"/>
        </w:rPr>
        <w:t xml:space="preserve">There are no special circumstances requiring data collection to be inconsistent with </w:t>
      </w:r>
      <w:r w:rsidR="006F14D7">
        <w:rPr>
          <w:rFonts w:asciiTheme="minorHAnsi" w:hAnsiTheme="minorHAnsi" w:cstheme="minorHAnsi"/>
          <w:sz w:val="22"/>
          <w:szCs w:val="22"/>
        </w:rPr>
        <w:t>g</w:t>
      </w:r>
      <w:r w:rsidRPr="00B66C12">
        <w:rPr>
          <w:rFonts w:asciiTheme="minorHAnsi" w:hAnsiTheme="minorHAnsi" w:cstheme="minorHAnsi"/>
          <w:sz w:val="22"/>
          <w:szCs w:val="22"/>
        </w:rPr>
        <w:t>uidelines in 5 CFR 1320.5(d)(2).</w:t>
      </w:r>
    </w:p>
    <w:p w:rsidR="00614F13" w:rsidRPr="00B66C12" w14:paraId="7AAC7F90" w14:textId="77777777">
      <w:pPr>
        <w:jc w:val="both"/>
        <w:rPr>
          <w:rFonts w:asciiTheme="minorHAnsi" w:hAnsiTheme="minorHAnsi" w:cstheme="minorHAnsi"/>
          <w:sz w:val="22"/>
          <w:szCs w:val="22"/>
        </w:rPr>
      </w:pPr>
    </w:p>
    <w:p w:rsidR="00614F13" w:rsidRPr="008A04C5" w:rsidP="008A04C5" w14:paraId="46A6BFD5" w14:textId="38CB43C3">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CONSULTATION WITH INDIVIDUALS OUTSIDE OF THE AGENCY ON AVAILABILITY OF DATA, FREQUENCY OF COLLECTION, CLARITY OF</w:t>
      </w:r>
      <w:r w:rsidRPr="008A04C5" w:rsidR="00CA124E">
        <w:rPr>
          <w:rFonts w:asciiTheme="minorHAnsi" w:hAnsiTheme="minorHAnsi"/>
          <w:sz w:val="22"/>
          <w:szCs w:val="22"/>
          <w:u w:val="single"/>
        </w:rPr>
        <w:t xml:space="preserve"> </w:t>
      </w:r>
      <w:r w:rsidRPr="008A04C5">
        <w:rPr>
          <w:rFonts w:asciiTheme="minorHAnsi" w:hAnsiTheme="minorHAnsi"/>
          <w:sz w:val="22"/>
          <w:szCs w:val="22"/>
          <w:u w:val="single"/>
        </w:rPr>
        <w:t>INSTRUCTIONS AND FORMS, AND DATA ELEMENTS</w:t>
      </w:r>
    </w:p>
    <w:p w:rsidR="00614F13" w:rsidRPr="00B66C12" w14:paraId="061A266C" w14:textId="77777777">
      <w:pPr>
        <w:jc w:val="both"/>
        <w:rPr>
          <w:rFonts w:asciiTheme="minorHAnsi" w:hAnsiTheme="minorHAnsi" w:cstheme="minorHAnsi"/>
          <w:sz w:val="22"/>
          <w:szCs w:val="22"/>
        </w:rPr>
      </w:pPr>
    </w:p>
    <w:p w:rsidR="00A9535F" w:rsidRPr="00B66C12" w:rsidP="00A9535F" w14:paraId="601CB9D0" w14:textId="063E23AC">
      <w:pPr>
        <w:ind w:left="720"/>
        <w:rPr>
          <w:rFonts w:asciiTheme="minorHAnsi" w:hAnsiTheme="minorHAnsi" w:cstheme="minorHAnsi"/>
          <w:bCs/>
          <w:sz w:val="22"/>
          <w:szCs w:val="22"/>
        </w:rPr>
      </w:pPr>
      <w:r w:rsidRPr="006F14D7">
        <w:rPr>
          <w:rFonts w:asciiTheme="minorHAnsi" w:hAnsiTheme="minorHAnsi" w:cstheme="minorHAnsi"/>
          <w:sz w:val="22"/>
          <w:szCs w:val="22"/>
        </w:rPr>
        <w:t>We received no comments during the public comment period in response to the Federal Register notice (</w:t>
      </w:r>
      <w:r w:rsidR="002160B6">
        <w:rPr>
          <w:rFonts w:asciiTheme="minorHAnsi" w:hAnsiTheme="minorHAnsi" w:cstheme="minorHAnsi"/>
          <w:sz w:val="22"/>
          <w:szCs w:val="22"/>
        </w:rPr>
        <w:t>90</w:t>
      </w:r>
      <w:r w:rsidRPr="006F14D7">
        <w:rPr>
          <w:rFonts w:asciiTheme="minorHAnsi" w:hAnsiTheme="minorHAnsi" w:cstheme="minorHAnsi"/>
          <w:sz w:val="22"/>
          <w:szCs w:val="22"/>
        </w:rPr>
        <w:t xml:space="preserve"> FR </w:t>
      </w:r>
      <w:r w:rsidR="002160B6">
        <w:rPr>
          <w:rFonts w:asciiTheme="minorHAnsi" w:hAnsiTheme="minorHAnsi" w:cstheme="minorHAnsi"/>
          <w:sz w:val="22"/>
          <w:szCs w:val="22"/>
        </w:rPr>
        <w:t>8101</w:t>
      </w:r>
      <w:r w:rsidRPr="006F14D7">
        <w:rPr>
          <w:rFonts w:asciiTheme="minorHAnsi" w:hAnsiTheme="minorHAnsi" w:cstheme="minorHAnsi"/>
          <w:sz w:val="22"/>
          <w:szCs w:val="22"/>
        </w:rPr>
        <w:t xml:space="preserve">), dated </w:t>
      </w:r>
      <w:r w:rsidR="002160B6">
        <w:rPr>
          <w:rFonts w:asciiTheme="minorHAnsi" w:hAnsiTheme="minorHAnsi" w:cstheme="minorHAnsi"/>
          <w:sz w:val="22"/>
          <w:szCs w:val="22"/>
        </w:rPr>
        <w:t>January</w:t>
      </w:r>
      <w:r w:rsidRPr="006F14D7">
        <w:rPr>
          <w:rFonts w:asciiTheme="minorHAnsi" w:hAnsiTheme="minorHAnsi" w:cstheme="minorHAnsi"/>
          <w:sz w:val="22"/>
          <w:szCs w:val="22"/>
        </w:rPr>
        <w:t xml:space="preserve"> </w:t>
      </w:r>
      <w:r w:rsidR="002160B6">
        <w:rPr>
          <w:rFonts w:asciiTheme="minorHAnsi" w:hAnsiTheme="minorHAnsi" w:cstheme="minorHAnsi"/>
          <w:sz w:val="22"/>
          <w:szCs w:val="22"/>
        </w:rPr>
        <w:t>23</w:t>
      </w:r>
      <w:r w:rsidRPr="006F14D7">
        <w:rPr>
          <w:rFonts w:asciiTheme="minorHAnsi" w:hAnsiTheme="minorHAnsi" w:cstheme="minorHAnsi"/>
          <w:sz w:val="22"/>
          <w:szCs w:val="22"/>
        </w:rPr>
        <w:t>, 20</w:t>
      </w:r>
      <w:r>
        <w:rPr>
          <w:rFonts w:asciiTheme="minorHAnsi" w:hAnsiTheme="minorHAnsi" w:cstheme="minorHAnsi"/>
          <w:sz w:val="22"/>
          <w:szCs w:val="22"/>
        </w:rPr>
        <w:t>2</w:t>
      </w:r>
      <w:r w:rsidR="002160B6">
        <w:rPr>
          <w:rFonts w:asciiTheme="minorHAnsi" w:hAnsiTheme="minorHAnsi" w:cstheme="minorHAnsi"/>
          <w:sz w:val="22"/>
          <w:szCs w:val="22"/>
        </w:rPr>
        <w:t>5</w:t>
      </w:r>
      <w:r w:rsidRPr="006F14D7">
        <w:rPr>
          <w:rFonts w:asciiTheme="minorHAnsi" w:hAnsiTheme="minorHAnsi" w:cstheme="minorHAnsi"/>
          <w:sz w:val="22"/>
          <w:szCs w:val="22"/>
        </w:rPr>
        <w:t>.</w:t>
      </w:r>
    </w:p>
    <w:p w:rsidR="00614F13" w:rsidRPr="00B66C12" w14:paraId="333D8B78" w14:textId="77777777">
      <w:pPr>
        <w:jc w:val="both"/>
        <w:rPr>
          <w:rFonts w:asciiTheme="minorHAnsi" w:hAnsiTheme="minorHAnsi" w:cstheme="minorHAnsi"/>
          <w:sz w:val="22"/>
          <w:szCs w:val="22"/>
        </w:rPr>
      </w:pPr>
    </w:p>
    <w:p w:rsidR="00614F13" w:rsidRPr="008A04C5" w:rsidP="008A04C5" w14:paraId="5B1C3FD3" w14:textId="2ACB8ACE">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EXPLANATION OF DECISION TO PROVIDE ANY PAYMENT OR GIFT TO RESPONDENTS</w:t>
      </w:r>
    </w:p>
    <w:p w:rsidR="00614F13" w:rsidRPr="00B66C12" w14:paraId="65C97B8F" w14:textId="77777777">
      <w:pPr>
        <w:jc w:val="both"/>
        <w:rPr>
          <w:rFonts w:asciiTheme="minorHAnsi" w:hAnsiTheme="minorHAnsi" w:cstheme="minorHAnsi"/>
          <w:sz w:val="22"/>
          <w:szCs w:val="22"/>
        </w:rPr>
      </w:pPr>
    </w:p>
    <w:p w:rsidR="00903226" w:rsidRPr="00B66C12" w:rsidP="00E245FA" w14:paraId="7D960B17" w14:textId="77777777">
      <w:pPr>
        <w:tabs>
          <w:tab w:val="left" w:pos="-1440"/>
        </w:tabs>
        <w:ind w:left="288"/>
        <w:rPr>
          <w:rFonts w:asciiTheme="minorHAnsi" w:hAnsiTheme="minorHAnsi" w:cstheme="minorHAnsi"/>
          <w:sz w:val="22"/>
          <w:szCs w:val="22"/>
        </w:rPr>
      </w:pPr>
      <w:r w:rsidRPr="00B66C12">
        <w:rPr>
          <w:rFonts w:asciiTheme="minorHAnsi" w:hAnsiTheme="minorHAnsi" w:cstheme="minorHAnsi"/>
          <w:sz w:val="22"/>
          <w:szCs w:val="22"/>
        </w:rPr>
        <w:tab/>
        <w:t>No payment or gift has been provided to any respondents.</w:t>
      </w:r>
    </w:p>
    <w:p w:rsidR="00614F13" w:rsidRPr="00B66C12" w:rsidP="00E245FA" w14:paraId="00347203" w14:textId="77777777">
      <w:pPr>
        <w:ind w:left="288"/>
        <w:jc w:val="both"/>
        <w:rPr>
          <w:rFonts w:asciiTheme="minorHAnsi" w:hAnsiTheme="minorHAnsi" w:cstheme="minorHAnsi"/>
          <w:sz w:val="22"/>
          <w:szCs w:val="22"/>
        </w:rPr>
      </w:pPr>
    </w:p>
    <w:p w:rsidR="00614F13" w:rsidRPr="008A04C5" w:rsidP="008A04C5" w14:paraId="77068BEB" w14:textId="4B146522">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ASSURANCE OF CONFIDENTIALITY OF RESPONSES</w:t>
      </w:r>
    </w:p>
    <w:p w:rsidR="00614F13" w:rsidRPr="00B66C12" w14:paraId="5132A45E" w14:textId="77777777">
      <w:pPr>
        <w:jc w:val="both"/>
        <w:rPr>
          <w:rFonts w:asciiTheme="minorHAnsi" w:hAnsiTheme="minorHAnsi" w:cstheme="minorHAnsi"/>
          <w:sz w:val="22"/>
          <w:szCs w:val="22"/>
        </w:rPr>
      </w:pPr>
    </w:p>
    <w:p w:rsidR="00614F13" w:rsidRPr="00B66C12" w:rsidP="00CA124E" w14:paraId="1ED884E4" w14:textId="5B438FAB">
      <w:pPr>
        <w:ind w:left="720"/>
        <w:rPr>
          <w:rFonts w:asciiTheme="minorHAnsi" w:hAnsiTheme="minorHAnsi" w:cstheme="minorHAnsi"/>
          <w:sz w:val="22"/>
          <w:szCs w:val="22"/>
        </w:rPr>
      </w:pPr>
      <w:r w:rsidRPr="00B66C12">
        <w:rPr>
          <w:rFonts w:asciiTheme="minorHAnsi" w:hAnsiTheme="minorHAnsi" w:cstheme="minorHAnsi"/>
          <w:sz w:val="22"/>
          <w:szCs w:val="22"/>
        </w:rPr>
        <w:t>Generally, tax returns and tax return information are confidential as required by 26 U</w:t>
      </w:r>
      <w:r w:rsidR="006F14D7">
        <w:rPr>
          <w:rFonts w:asciiTheme="minorHAnsi" w:hAnsiTheme="minorHAnsi" w:cstheme="minorHAnsi"/>
          <w:sz w:val="22"/>
          <w:szCs w:val="22"/>
        </w:rPr>
        <w:t>.</w:t>
      </w:r>
      <w:r w:rsidRPr="00B66C12">
        <w:rPr>
          <w:rFonts w:asciiTheme="minorHAnsi" w:hAnsiTheme="minorHAnsi" w:cstheme="minorHAnsi"/>
          <w:sz w:val="22"/>
          <w:szCs w:val="22"/>
        </w:rPr>
        <w:t>S</w:t>
      </w:r>
      <w:r w:rsidR="006F14D7">
        <w:rPr>
          <w:rFonts w:asciiTheme="minorHAnsi" w:hAnsiTheme="minorHAnsi" w:cstheme="minorHAnsi"/>
          <w:sz w:val="22"/>
          <w:szCs w:val="22"/>
        </w:rPr>
        <w:t>.</w:t>
      </w:r>
      <w:r w:rsidRPr="00B66C12">
        <w:rPr>
          <w:rFonts w:asciiTheme="minorHAnsi" w:hAnsiTheme="minorHAnsi" w:cstheme="minorHAnsi"/>
          <w:sz w:val="22"/>
          <w:szCs w:val="22"/>
        </w:rPr>
        <w:t>C</w:t>
      </w:r>
      <w:r w:rsidR="006F14D7">
        <w:rPr>
          <w:rFonts w:asciiTheme="minorHAnsi" w:hAnsiTheme="minorHAnsi" w:cstheme="minorHAnsi"/>
          <w:sz w:val="22"/>
          <w:szCs w:val="22"/>
        </w:rPr>
        <w:t>.</w:t>
      </w:r>
      <w:r w:rsidRPr="00B66C12">
        <w:rPr>
          <w:rFonts w:asciiTheme="minorHAnsi" w:hAnsiTheme="minorHAnsi" w:cstheme="minorHAnsi"/>
          <w:sz w:val="22"/>
          <w:szCs w:val="22"/>
        </w:rPr>
        <w:t xml:space="preserve"> 6103.</w:t>
      </w:r>
    </w:p>
    <w:p w:rsidR="00614F13" w:rsidRPr="00B66C12" w14:paraId="736ED107" w14:textId="77777777">
      <w:pPr>
        <w:jc w:val="both"/>
        <w:rPr>
          <w:rFonts w:asciiTheme="minorHAnsi" w:hAnsiTheme="minorHAnsi" w:cstheme="minorHAnsi"/>
          <w:sz w:val="22"/>
          <w:szCs w:val="22"/>
        </w:rPr>
      </w:pPr>
    </w:p>
    <w:p w:rsidR="00614F13" w:rsidRPr="008A04C5" w:rsidP="008A04C5" w14:paraId="7D55EE34" w14:textId="42079766">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JUSTIFICATION OF SENSITIVE QUESTIONS</w:t>
      </w:r>
    </w:p>
    <w:p w:rsidR="00614F13" w:rsidRPr="00B66C12" w14:paraId="64A03A0C" w14:textId="77777777">
      <w:pPr>
        <w:jc w:val="both"/>
        <w:rPr>
          <w:rFonts w:asciiTheme="minorHAnsi" w:hAnsiTheme="minorHAnsi" w:cstheme="minorHAnsi"/>
          <w:sz w:val="22"/>
          <w:szCs w:val="22"/>
        </w:rPr>
      </w:pPr>
    </w:p>
    <w:p w:rsidR="00143F8A" w:rsidRPr="00B66C12" w:rsidP="00CA124E" w14:paraId="71DFD39F" w14:textId="16EAAE19">
      <w:pPr>
        <w:widowControl/>
        <w:tabs>
          <w:tab w:val="left" w:pos="-1440"/>
        </w:tabs>
        <w:ind w:left="720"/>
        <w:rPr>
          <w:rFonts w:asciiTheme="minorHAnsi" w:hAnsiTheme="minorHAnsi" w:cstheme="minorHAnsi"/>
          <w:sz w:val="22"/>
          <w:szCs w:val="22"/>
        </w:rPr>
      </w:pPr>
      <w:r w:rsidRPr="00B66C12">
        <w:rPr>
          <w:rFonts w:asciiTheme="minorHAnsi" w:hAnsiTheme="minorHAnsi" w:cs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w:t>
      </w:r>
      <w:r w:rsidR="00177B5D">
        <w:rPr>
          <w:rFonts w:asciiTheme="minorHAnsi" w:hAnsiTheme="minorHAnsi" w:cstheme="minorHAnsi"/>
          <w:sz w:val="22"/>
          <w:szCs w:val="22"/>
        </w:rPr>
        <w:t>Treasury/</w:t>
      </w:r>
      <w:r w:rsidRPr="00B66C12">
        <w:rPr>
          <w:rFonts w:asciiTheme="minorHAnsi" w:hAnsiTheme="minorHAnsi" w:cstheme="minorHAnsi"/>
          <w:sz w:val="22"/>
          <w:szCs w:val="22"/>
        </w:rPr>
        <w:t>IRS 24</w:t>
      </w:r>
      <w:r w:rsidR="00BE3BAB">
        <w:rPr>
          <w:rFonts w:asciiTheme="minorHAnsi" w:hAnsiTheme="minorHAnsi" w:cstheme="minorHAnsi"/>
          <w:sz w:val="22"/>
          <w:szCs w:val="22"/>
        </w:rPr>
        <w:t>.</w:t>
      </w:r>
      <w:r w:rsidRPr="00B66C12">
        <w:rPr>
          <w:rFonts w:asciiTheme="minorHAnsi" w:hAnsiTheme="minorHAnsi" w:cstheme="minorHAnsi"/>
          <w:sz w:val="22"/>
          <w:szCs w:val="22"/>
        </w:rPr>
        <w:t>046- CADE Business Master File</w:t>
      </w:r>
      <w:r w:rsidRPr="00B66C12" w:rsidR="006E21CC">
        <w:rPr>
          <w:rFonts w:asciiTheme="minorHAnsi" w:hAnsiTheme="minorHAnsi" w:cstheme="minorHAnsi"/>
          <w:sz w:val="22"/>
          <w:szCs w:val="22"/>
        </w:rPr>
        <w:t>; Treas</w:t>
      </w:r>
      <w:r w:rsidR="00177B5D">
        <w:rPr>
          <w:rFonts w:asciiTheme="minorHAnsi" w:hAnsiTheme="minorHAnsi" w:cstheme="minorHAnsi"/>
          <w:sz w:val="22"/>
          <w:szCs w:val="22"/>
        </w:rPr>
        <w:t>ury</w:t>
      </w:r>
      <w:r w:rsidRPr="00B66C12" w:rsidR="006E21CC">
        <w:rPr>
          <w:rFonts w:asciiTheme="minorHAnsi" w:hAnsiTheme="minorHAnsi" w:cstheme="minorHAnsi"/>
          <w:sz w:val="22"/>
          <w:szCs w:val="22"/>
        </w:rPr>
        <w:t>/IRS 50.222 Tax Exempt/Government Entities TE/GE Case Management Records</w:t>
      </w:r>
      <w:r w:rsidR="00177B5D">
        <w:rPr>
          <w:rFonts w:asciiTheme="minorHAnsi" w:hAnsiTheme="minorHAnsi" w:cstheme="minorHAnsi"/>
          <w:sz w:val="22"/>
          <w:szCs w:val="22"/>
        </w:rPr>
        <w:t>;</w:t>
      </w:r>
      <w:r w:rsidRPr="00B66C12">
        <w:rPr>
          <w:rFonts w:asciiTheme="minorHAnsi" w:hAnsiTheme="minorHAnsi" w:cstheme="minorHAnsi"/>
          <w:sz w:val="22"/>
          <w:szCs w:val="22"/>
        </w:rPr>
        <w:t xml:space="preserve"> and </w:t>
      </w:r>
      <w:r w:rsidR="00177B5D">
        <w:rPr>
          <w:rFonts w:asciiTheme="minorHAnsi" w:hAnsiTheme="minorHAnsi" w:cstheme="minorHAnsi"/>
          <w:sz w:val="22"/>
          <w:szCs w:val="22"/>
        </w:rPr>
        <w:t>Treasury/</w:t>
      </w:r>
      <w:r w:rsidRPr="00B66C12">
        <w:rPr>
          <w:rFonts w:asciiTheme="minorHAnsi" w:hAnsiTheme="minorHAnsi" w:cstheme="minorHAnsi"/>
          <w:sz w:val="22"/>
          <w:szCs w:val="22"/>
        </w:rPr>
        <w:t xml:space="preserve">IRS 34.037 - IRS Audit Trail and Security Records System. The Internal Revenue Service PIAs can be found </w:t>
      </w:r>
      <w:r w:rsidRPr="00453AD3" w:rsidR="00177B5D">
        <w:rPr>
          <w:rFonts w:asciiTheme="minorHAnsi" w:hAnsiTheme="minorHAnsi" w:cs="Calibri"/>
          <w:bCs/>
          <w:sz w:val="22"/>
          <w:szCs w:val="22"/>
        </w:rPr>
        <w:t xml:space="preserve">at </w:t>
      </w:r>
      <w:bookmarkStart w:id="0" w:name="_Hlk90530558"/>
      <w:hyperlink r:id="rId4" w:history="1">
        <w:r w:rsidRPr="007461BD" w:rsidR="00177B5D">
          <w:rPr>
            <w:rStyle w:val="Hyperlink"/>
            <w:rFonts w:asciiTheme="minorHAnsi" w:hAnsiTheme="minorHAnsi" w:cs="Calibri"/>
            <w:bCs/>
            <w:sz w:val="22"/>
            <w:szCs w:val="22"/>
          </w:rPr>
          <w:t>https://www.irs.gov/privacy-disclosure/privacy-impact-assessments-pia</w:t>
        </w:r>
      </w:hyperlink>
      <w:bookmarkEnd w:id="0"/>
      <w:r w:rsidRPr="00453AD3" w:rsidR="00177B5D">
        <w:rPr>
          <w:rFonts w:asciiTheme="minorHAnsi" w:hAnsiTheme="minorHAnsi" w:cs="Calibri"/>
          <w:bCs/>
          <w:sz w:val="22"/>
          <w:szCs w:val="22"/>
        </w:rPr>
        <w:t>.</w:t>
      </w:r>
    </w:p>
    <w:p w:rsidR="00143F8A" w:rsidRPr="00B66C12" w:rsidP="00E245FA" w14:paraId="32C65EDE" w14:textId="77777777">
      <w:pPr>
        <w:widowControl/>
        <w:tabs>
          <w:tab w:val="left" w:pos="-1440"/>
        </w:tabs>
        <w:ind w:left="288" w:hanging="720"/>
        <w:rPr>
          <w:rFonts w:asciiTheme="minorHAnsi" w:hAnsiTheme="minorHAnsi" w:cstheme="minorHAnsi"/>
          <w:sz w:val="22"/>
          <w:szCs w:val="22"/>
        </w:rPr>
      </w:pPr>
    </w:p>
    <w:p w:rsidR="00143F8A" w:rsidRPr="00B66C12" w:rsidP="00CA124E" w14:paraId="7F3237E5" w14:textId="3E29D2D1">
      <w:pPr>
        <w:widowControl/>
        <w:tabs>
          <w:tab w:val="left" w:pos="-1440"/>
        </w:tabs>
        <w:ind w:left="720" w:hanging="720"/>
        <w:rPr>
          <w:rFonts w:asciiTheme="minorHAnsi" w:hAnsiTheme="minorHAnsi" w:cstheme="minorHAnsi"/>
          <w:sz w:val="22"/>
          <w:szCs w:val="22"/>
        </w:rPr>
      </w:pPr>
      <w:r w:rsidRPr="00B66C12">
        <w:rPr>
          <w:rFonts w:asciiTheme="minorHAnsi" w:hAnsiTheme="minorHAnsi" w:cstheme="minorHAnsi"/>
          <w:sz w:val="22"/>
          <w:szCs w:val="22"/>
        </w:rPr>
        <w:t xml:space="preserve">            </w:t>
      </w:r>
      <w:r w:rsidRPr="00B66C12" w:rsidR="00CA124E">
        <w:rPr>
          <w:rFonts w:asciiTheme="minorHAnsi" w:hAnsiTheme="minorHAnsi" w:cstheme="minorHAnsi"/>
          <w:sz w:val="22"/>
          <w:szCs w:val="22"/>
        </w:rPr>
        <w:tab/>
      </w:r>
      <w:r w:rsidRPr="00B66C12">
        <w:rPr>
          <w:rFonts w:asciiTheme="minorHAnsi" w:hAnsiTheme="minorHAnsi" w:cstheme="minorHAnsi"/>
          <w:sz w:val="22"/>
          <w:szCs w:val="22"/>
        </w:rPr>
        <w:t>Title 26 U</w:t>
      </w:r>
      <w:r w:rsidR="00177B5D">
        <w:rPr>
          <w:rFonts w:asciiTheme="minorHAnsi" w:hAnsiTheme="minorHAnsi" w:cstheme="minorHAnsi"/>
          <w:sz w:val="22"/>
          <w:szCs w:val="22"/>
        </w:rPr>
        <w:t>.</w:t>
      </w:r>
      <w:r w:rsidRPr="00B66C12">
        <w:rPr>
          <w:rFonts w:asciiTheme="minorHAnsi" w:hAnsiTheme="minorHAnsi" w:cstheme="minorHAnsi"/>
          <w:sz w:val="22"/>
          <w:szCs w:val="22"/>
        </w:rPr>
        <w:t>S</w:t>
      </w:r>
      <w:r w:rsidR="00177B5D">
        <w:rPr>
          <w:rFonts w:asciiTheme="minorHAnsi" w:hAnsiTheme="minorHAnsi" w:cstheme="minorHAnsi"/>
          <w:sz w:val="22"/>
          <w:szCs w:val="22"/>
        </w:rPr>
        <w:t>.</w:t>
      </w:r>
      <w:r w:rsidRPr="00B66C12">
        <w:rPr>
          <w:rFonts w:asciiTheme="minorHAnsi" w:hAnsiTheme="minorHAnsi" w:cstheme="minorHAnsi"/>
          <w:sz w:val="22"/>
          <w:szCs w:val="22"/>
        </w:rPr>
        <w:t>C</w:t>
      </w:r>
      <w:r w:rsidR="00177B5D">
        <w:rPr>
          <w:rFonts w:asciiTheme="minorHAnsi" w:hAnsiTheme="minorHAnsi" w:cstheme="minorHAnsi"/>
          <w:sz w:val="22"/>
          <w:szCs w:val="22"/>
        </w:rPr>
        <w:t>.</w:t>
      </w:r>
      <w:r w:rsidRPr="00B66C12">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5A67A8" w:rsidRPr="00B66C12" w:rsidP="00B72E36" w14:paraId="449756CF" w14:textId="4B3FBE2E">
      <w:pPr>
        <w:tabs>
          <w:tab w:val="left" w:pos="1905"/>
        </w:tabs>
        <w:jc w:val="both"/>
        <w:rPr>
          <w:rFonts w:asciiTheme="minorHAnsi" w:hAnsiTheme="minorHAnsi" w:cstheme="minorHAnsi"/>
          <w:sz w:val="22"/>
          <w:szCs w:val="22"/>
        </w:rPr>
      </w:pPr>
      <w:r w:rsidRPr="00B66C12">
        <w:rPr>
          <w:rFonts w:asciiTheme="minorHAnsi" w:hAnsiTheme="minorHAnsi" w:cstheme="minorHAnsi"/>
          <w:sz w:val="22"/>
          <w:szCs w:val="22"/>
        </w:rPr>
        <w:tab/>
      </w:r>
    </w:p>
    <w:p w:rsidR="00614F13" w:rsidRPr="008A04C5" w:rsidP="008A04C5" w14:paraId="7CEA1E89" w14:textId="4641A828">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ESTIMATED BURDEN OF INFORMATION COLLECTION</w:t>
      </w:r>
    </w:p>
    <w:p w:rsidR="00614F13" w:rsidRPr="00B66C12" w:rsidP="005255C7" w14:paraId="3CA257B8" w14:textId="77777777">
      <w:pPr>
        <w:rPr>
          <w:rFonts w:asciiTheme="minorHAnsi" w:hAnsiTheme="minorHAnsi" w:cstheme="minorHAnsi"/>
          <w:sz w:val="22"/>
          <w:szCs w:val="22"/>
        </w:rPr>
      </w:pPr>
    </w:p>
    <w:p w:rsidR="007166F3" w:rsidP="00177B5D" w14:paraId="4482B106" w14:textId="1F0821C4">
      <w:pPr>
        <w:ind w:left="717"/>
        <w:rPr>
          <w:rFonts w:asciiTheme="minorHAnsi" w:hAnsiTheme="minorHAnsi" w:cstheme="minorHAnsi"/>
          <w:sz w:val="22"/>
          <w:szCs w:val="22"/>
        </w:rPr>
      </w:pPr>
      <w:r>
        <w:rPr>
          <w:rFonts w:asciiTheme="minorHAnsi" w:hAnsiTheme="minorHAnsi" w:cstheme="minorHAnsi"/>
          <w:sz w:val="22"/>
          <w:szCs w:val="22"/>
        </w:rPr>
        <w:t>IRC section 6104 requires certain e</w:t>
      </w:r>
      <w:r w:rsidRPr="00B66C12" w:rsidR="00B73732">
        <w:rPr>
          <w:rFonts w:asciiTheme="minorHAnsi" w:hAnsiTheme="minorHAnsi" w:cstheme="minorHAnsi"/>
          <w:sz w:val="22"/>
          <w:szCs w:val="22"/>
        </w:rPr>
        <w:t xml:space="preserve">xempt or </w:t>
      </w:r>
      <w:r>
        <w:rPr>
          <w:rFonts w:asciiTheme="minorHAnsi" w:hAnsiTheme="minorHAnsi" w:cstheme="minorHAnsi"/>
          <w:sz w:val="22"/>
          <w:szCs w:val="22"/>
        </w:rPr>
        <w:t>p</w:t>
      </w:r>
      <w:r w:rsidRPr="00B66C12" w:rsidR="00B73732">
        <w:rPr>
          <w:rFonts w:asciiTheme="minorHAnsi" w:hAnsiTheme="minorHAnsi" w:cstheme="minorHAnsi"/>
          <w:sz w:val="22"/>
          <w:szCs w:val="22"/>
        </w:rPr>
        <w:t xml:space="preserve">olitical organizations </w:t>
      </w:r>
      <w:r>
        <w:rPr>
          <w:rFonts w:asciiTheme="minorHAnsi" w:hAnsiTheme="minorHAnsi" w:cstheme="minorHAnsi"/>
          <w:sz w:val="22"/>
          <w:szCs w:val="22"/>
        </w:rPr>
        <w:t>to</w:t>
      </w:r>
      <w:r w:rsidRPr="00B66C12" w:rsidR="00B73732">
        <w:rPr>
          <w:rFonts w:asciiTheme="minorHAnsi" w:hAnsiTheme="minorHAnsi" w:cstheme="minorHAnsi"/>
          <w:sz w:val="22"/>
          <w:szCs w:val="22"/>
        </w:rPr>
        <w:t xml:space="preserve"> make their returns, reports, notices, and exempt</w:t>
      </w:r>
      <w:r w:rsidRPr="00B66C12" w:rsidR="00E245FA">
        <w:rPr>
          <w:rFonts w:asciiTheme="minorHAnsi" w:hAnsiTheme="minorHAnsi" w:cstheme="minorHAnsi"/>
          <w:sz w:val="22"/>
          <w:szCs w:val="22"/>
        </w:rPr>
        <w:t xml:space="preserve"> </w:t>
      </w:r>
      <w:r w:rsidRPr="00B66C12" w:rsidR="00B73732">
        <w:rPr>
          <w:rFonts w:asciiTheme="minorHAnsi" w:hAnsiTheme="minorHAnsi" w:cstheme="minorHAnsi"/>
          <w:sz w:val="22"/>
          <w:szCs w:val="22"/>
        </w:rPr>
        <w:t>applications available for public inspection.</w:t>
      </w:r>
      <w:r w:rsidRPr="00B66C12" w:rsidR="001108AE">
        <w:rPr>
          <w:rFonts w:asciiTheme="minorHAnsi" w:hAnsiTheme="minorHAnsi" w:cstheme="minorHAnsi"/>
          <w:sz w:val="22"/>
          <w:szCs w:val="22"/>
        </w:rPr>
        <w:t xml:space="preserve"> </w:t>
      </w:r>
      <w:r>
        <w:rPr>
          <w:rFonts w:asciiTheme="minorHAnsi" w:hAnsiTheme="minorHAnsi" w:cstheme="minorHAnsi"/>
          <w:sz w:val="22"/>
          <w:szCs w:val="22"/>
        </w:rPr>
        <w:t>The IRS</w:t>
      </w:r>
      <w:r w:rsidRPr="00B66C12">
        <w:rPr>
          <w:rFonts w:asciiTheme="minorHAnsi" w:hAnsiTheme="minorHAnsi" w:cstheme="minorHAnsi"/>
          <w:sz w:val="22"/>
          <w:szCs w:val="22"/>
        </w:rPr>
        <w:t xml:space="preserve"> anticipate</w:t>
      </w:r>
      <w:r>
        <w:rPr>
          <w:rFonts w:asciiTheme="minorHAnsi" w:hAnsiTheme="minorHAnsi" w:cstheme="minorHAnsi"/>
          <w:sz w:val="22"/>
          <w:szCs w:val="22"/>
        </w:rPr>
        <w:t>s</w:t>
      </w:r>
      <w:r w:rsidRPr="00B66C12">
        <w:rPr>
          <w:rFonts w:asciiTheme="minorHAnsi" w:hAnsiTheme="minorHAnsi" w:cstheme="minorHAnsi"/>
          <w:sz w:val="22"/>
          <w:szCs w:val="22"/>
        </w:rPr>
        <w:t xml:space="preserve"> that there will be 2</w:t>
      </w:r>
      <w:r w:rsidR="006D2F01">
        <w:rPr>
          <w:rFonts w:asciiTheme="minorHAnsi" w:hAnsiTheme="minorHAnsi" w:cstheme="minorHAnsi"/>
          <w:sz w:val="22"/>
          <w:szCs w:val="22"/>
        </w:rPr>
        <w:t>7</w:t>
      </w:r>
      <w:r w:rsidRPr="00B66C12" w:rsidR="007005AF">
        <w:rPr>
          <w:rFonts w:asciiTheme="minorHAnsi" w:hAnsiTheme="minorHAnsi" w:cstheme="minorHAnsi"/>
          <w:sz w:val="22"/>
          <w:szCs w:val="22"/>
        </w:rPr>
        <w:t>,0</w:t>
      </w:r>
      <w:r w:rsidRPr="00B66C12">
        <w:rPr>
          <w:rFonts w:asciiTheme="minorHAnsi" w:hAnsiTheme="minorHAnsi" w:cstheme="minorHAnsi"/>
          <w:sz w:val="22"/>
          <w:szCs w:val="22"/>
        </w:rPr>
        <w:t>00 respondents</w:t>
      </w:r>
      <w:r>
        <w:rPr>
          <w:rFonts w:asciiTheme="minorHAnsi" w:hAnsiTheme="minorHAnsi" w:cstheme="minorHAnsi"/>
          <w:sz w:val="22"/>
          <w:szCs w:val="22"/>
        </w:rPr>
        <w:t xml:space="preserve"> annually,</w:t>
      </w:r>
      <w:r w:rsidRPr="00B66C12">
        <w:rPr>
          <w:rFonts w:asciiTheme="minorHAnsi" w:hAnsiTheme="minorHAnsi" w:cstheme="minorHAnsi"/>
          <w:sz w:val="22"/>
          <w:szCs w:val="22"/>
        </w:rPr>
        <w:t xml:space="preserve"> </w:t>
      </w:r>
      <w:r>
        <w:rPr>
          <w:rFonts w:asciiTheme="minorHAnsi" w:hAnsiTheme="minorHAnsi" w:cstheme="minorHAnsi"/>
          <w:sz w:val="22"/>
          <w:szCs w:val="22"/>
        </w:rPr>
        <w:t>for a total estimated burden of</w:t>
      </w:r>
      <w:r w:rsidRPr="00B66C12">
        <w:rPr>
          <w:rFonts w:asciiTheme="minorHAnsi" w:hAnsiTheme="minorHAnsi" w:cstheme="minorHAnsi"/>
          <w:sz w:val="22"/>
          <w:szCs w:val="22"/>
        </w:rPr>
        <w:t xml:space="preserve"> </w:t>
      </w:r>
      <w:r w:rsidR="006D2F01">
        <w:rPr>
          <w:rFonts w:asciiTheme="minorHAnsi" w:hAnsiTheme="minorHAnsi" w:cstheme="minorHAnsi"/>
          <w:sz w:val="22"/>
          <w:szCs w:val="22"/>
        </w:rPr>
        <w:t>26,190</w:t>
      </w:r>
      <w:r w:rsidRPr="00B66C12">
        <w:rPr>
          <w:rFonts w:asciiTheme="minorHAnsi" w:hAnsiTheme="minorHAnsi" w:cstheme="minorHAnsi"/>
          <w:sz w:val="22"/>
          <w:szCs w:val="22"/>
        </w:rPr>
        <w:t xml:space="preserve"> </w:t>
      </w:r>
      <w:r>
        <w:rPr>
          <w:rFonts w:asciiTheme="minorHAnsi" w:hAnsiTheme="minorHAnsi" w:cstheme="minorHAnsi"/>
          <w:sz w:val="22"/>
          <w:szCs w:val="22"/>
        </w:rPr>
        <w:t>hours annually</w:t>
      </w:r>
      <w:r w:rsidRPr="00B66C12">
        <w:rPr>
          <w:rFonts w:asciiTheme="minorHAnsi" w:hAnsiTheme="minorHAnsi" w:cstheme="minorHAnsi"/>
          <w:sz w:val="22"/>
          <w:szCs w:val="22"/>
        </w:rPr>
        <w:t>.</w:t>
      </w:r>
      <w:r>
        <w:rPr>
          <w:rFonts w:asciiTheme="minorHAnsi" w:hAnsiTheme="minorHAnsi" w:cstheme="minorHAnsi"/>
          <w:sz w:val="22"/>
          <w:szCs w:val="22"/>
        </w:rPr>
        <w:t xml:space="preserve"> The estimated burden for all respondents is shown below.</w:t>
      </w:r>
    </w:p>
    <w:p w:rsidR="00177B5D" w:rsidRPr="00B66C12" w:rsidP="00177B5D" w14:paraId="2FADDAF9" w14:textId="77777777">
      <w:pPr>
        <w:ind w:left="717"/>
        <w:rPr>
          <w:rFonts w:asciiTheme="minorHAnsi" w:hAnsiTheme="minorHAnsi" w:cstheme="minorHAnsi"/>
          <w:sz w:val="22"/>
          <w:szCs w:val="22"/>
        </w:rPr>
      </w:pPr>
    </w:p>
    <w:p w:rsidR="00177B5D" w:rsidRPr="00B66C12" w:rsidP="005255C7" w14:paraId="1A6F0395" w14:textId="77777777">
      <w:pPr>
        <w:rPr>
          <w:rFonts w:asciiTheme="minorHAnsi" w:hAnsiTheme="minorHAnsi" w:cstheme="minorHAnsi"/>
          <w:sz w:val="22"/>
          <w:szCs w:val="22"/>
        </w:rPr>
      </w:pPr>
      <w:r w:rsidRPr="00B66C12">
        <w:rPr>
          <w:rFonts w:asciiTheme="minorHAnsi" w:hAnsiTheme="minorHAnsi" w:cstheme="minorHAnsi"/>
          <w:sz w:val="22"/>
          <w:szCs w:val="22"/>
        </w:rPr>
        <w:t xml:space="preserve">               </w:t>
      </w:r>
    </w:p>
    <w:tbl>
      <w:tblPr>
        <w:tblW w:w="87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744"/>
        <w:gridCol w:w="1170"/>
        <w:gridCol w:w="1170"/>
        <w:gridCol w:w="1080"/>
        <w:gridCol w:w="1170"/>
        <w:gridCol w:w="1170"/>
      </w:tblGrid>
      <w:tr w14:paraId="536A40D1" w14:textId="77777777" w:rsidTr="0043165A">
        <w:tblPrEx>
          <w:tblW w:w="87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1255" w:type="dxa"/>
            <w:shd w:val="clear" w:color="auto" w:fill="auto"/>
            <w:vAlign w:val="bottom"/>
          </w:tcPr>
          <w:p w:rsidR="00177B5D" w:rsidRPr="00C94E69" w:rsidP="00FD34F6" w14:paraId="2FE927AC" w14:textId="77777777">
            <w:pPr>
              <w:keepNext/>
              <w:keepLines/>
              <w:numPr>
                <w:ilvl w:val="12"/>
                <w:numId w:val="0"/>
              </w:numPr>
              <w:jc w:val="center"/>
              <w:rPr>
                <w:rFonts w:ascii="Arial Narrow" w:hAnsi="Arial Narrow"/>
                <w:b/>
                <w:sz w:val="18"/>
                <w:szCs w:val="18"/>
              </w:rPr>
            </w:pPr>
            <w:bookmarkStart w:id="1" w:name="_Hlk90530245"/>
            <w:r w:rsidRPr="00C94E69">
              <w:rPr>
                <w:rFonts w:ascii="Arial Narrow" w:hAnsi="Arial Narrow"/>
                <w:b/>
                <w:sz w:val="18"/>
                <w:szCs w:val="18"/>
              </w:rPr>
              <w:t>Authority</w:t>
            </w:r>
          </w:p>
        </w:tc>
        <w:tc>
          <w:tcPr>
            <w:tcW w:w="1744" w:type="dxa"/>
            <w:vAlign w:val="bottom"/>
          </w:tcPr>
          <w:p w:rsidR="00177B5D" w:rsidRPr="00C94E69" w:rsidP="00FD34F6" w14:paraId="1EA3C25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177B5D" w:rsidRPr="00C94E69" w:rsidP="00FD34F6" w14:paraId="0B63105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177B5D" w:rsidRPr="00C94E69" w:rsidP="00FD34F6" w14:paraId="7276D52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177B5D" w:rsidRPr="00C94E69" w:rsidP="00FD34F6" w14:paraId="53DC73E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177B5D" w:rsidRPr="00C94E69" w:rsidP="00FD34F6" w14:paraId="4B56BE2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177B5D" w:rsidRPr="00C94E69" w:rsidP="00FD34F6" w14:paraId="59CAC81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14:paraId="40FD9005" w14:textId="77777777" w:rsidTr="0043165A">
        <w:tblPrEx>
          <w:tblW w:w="8759" w:type="dxa"/>
          <w:jc w:val="right"/>
          <w:tblLook w:val="04A0"/>
        </w:tblPrEx>
        <w:trPr>
          <w:jc w:val="right"/>
        </w:trPr>
        <w:tc>
          <w:tcPr>
            <w:tcW w:w="1255" w:type="dxa"/>
            <w:shd w:val="clear" w:color="auto" w:fill="auto"/>
            <w:vAlign w:val="bottom"/>
          </w:tcPr>
          <w:p w:rsidR="00177B5D" w:rsidRPr="00C94E69" w:rsidP="00FD34F6" w14:paraId="2E456972" w14:textId="3ECCA17C">
            <w:pPr>
              <w:keepNext/>
              <w:keepLines/>
              <w:numPr>
                <w:ilvl w:val="12"/>
                <w:numId w:val="0"/>
              </w:numPr>
              <w:jc w:val="center"/>
              <w:rPr>
                <w:rFonts w:ascii="Arial Narrow" w:hAnsi="Arial Narrow"/>
                <w:sz w:val="18"/>
                <w:szCs w:val="18"/>
              </w:rPr>
            </w:pPr>
            <w:r>
              <w:rPr>
                <w:rFonts w:ascii="Arial Narrow" w:hAnsi="Arial Narrow"/>
                <w:sz w:val="18"/>
                <w:szCs w:val="18"/>
              </w:rPr>
              <w:t>IRC 6104</w:t>
            </w:r>
          </w:p>
        </w:tc>
        <w:tc>
          <w:tcPr>
            <w:tcW w:w="1744" w:type="dxa"/>
            <w:vAlign w:val="bottom"/>
          </w:tcPr>
          <w:p w:rsidR="00177B5D" w:rsidRPr="00C94E69" w:rsidP="00FD34F6" w14:paraId="37EAF3E3" w14:textId="0066D3A7">
            <w:pPr>
              <w:keepNext/>
              <w:keepLines/>
              <w:numPr>
                <w:ilvl w:val="12"/>
                <w:numId w:val="0"/>
              </w:numPr>
              <w:jc w:val="center"/>
              <w:rPr>
                <w:rFonts w:ascii="Arial Narrow" w:hAnsi="Arial Narrow"/>
                <w:sz w:val="18"/>
                <w:szCs w:val="18"/>
              </w:rPr>
            </w:pPr>
            <w:r>
              <w:rPr>
                <w:rFonts w:ascii="Arial Narrow" w:hAnsi="Arial Narrow"/>
                <w:sz w:val="18"/>
                <w:szCs w:val="18"/>
              </w:rPr>
              <w:t>Form 4506-A</w:t>
            </w:r>
          </w:p>
        </w:tc>
        <w:tc>
          <w:tcPr>
            <w:tcW w:w="1170" w:type="dxa"/>
            <w:vAlign w:val="bottom"/>
          </w:tcPr>
          <w:p w:rsidR="00177B5D" w:rsidRPr="00C94E69" w:rsidP="00FD34F6" w14:paraId="4B9B0B27" w14:textId="57484C6D">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1170" w:type="dxa"/>
            <w:vAlign w:val="bottom"/>
          </w:tcPr>
          <w:p w:rsidR="00177B5D" w:rsidRPr="00C94E69" w:rsidP="00FD34F6" w14:paraId="1607C025" w14:textId="0BA8DEC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77B5D" w:rsidRPr="00C94E69" w:rsidP="00FD34F6" w14:paraId="42631146" w14:textId="4B35F98E">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1170" w:type="dxa"/>
            <w:vAlign w:val="bottom"/>
          </w:tcPr>
          <w:p w:rsidR="00177B5D" w:rsidRPr="00C94E69" w:rsidP="00FD34F6" w14:paraId="6D9A8F5B" w14:textId="0668CDDB">
            <w:pPr>
              <w:keepNext/>
              <w:keepLines/>
              <w:numPr>
                <w:ilvl w:val="12"/>
                <w:numId w:val="0"/>
              </w:numPr>
              <w:jc w:val="center"/>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00177B5D" w:rsidRPr="00C94E69" w:rsidP="00FD34F6" w14:paraId="5D7A8999" w14:textId="57CE6FA9">
            <w:pPr>
              <w:keepNext/>
              <w:keepLines/>
              <w:numPr>
                <w:ilvl w:val="12"/>
                <w:numId w:val="0"/>
              </w:numPr>
              <w:jc w:val="center"/>
              <w:rPr>
                <w:rFonts w:ascii="Arial Narrow" w:hAnsi="Arial Narrow"/>
                <w:sz w:val="18"/>
                <w:szCs w:val="18"/>
              </w:rPr>
            </w:pPr>
            <w:r>
              <w:rPr>
                <w:rFonts w:ascii="Arial Narrow" w:hAnsi="Arial Narrow"/>
                <w:sz w:val="18"/>
                <w:szCs w:val="18"/>
              </w:rPr>
              <w:t>7,760</w:t>
            </w:r>
          </w:p>
        </w:tc>
      </w:tr>
      <w:tr w14:paraId="712CABE2" w14:textId="77777777" w:rsidTr="0043165A">
        <w:tblPrEx>
          <w:tblW w:w="8759" w:type="dxa"/>
          <w:jc w:val="right"/>
          <w:tblLook w:val="04A0"/>
        </w:tblPrEx>
        <w:trPr>
          <w:jc w:val="right"/>
        </w:trPr>
        <w:tc>
          <w:tcPr>
            <w:tcW w:w="1255" w:type="dxa"/>
            <w:shd w:val="clear" w:color="auto" w:fill="auto"/>
            <w:vAlign w:val="bottom"/>
          </w:tcPr>
          <w:p w:rsidR="00760BD9" w:rsidP="00FD34F6" w14:paraId="19F18D9E" w14:textId="16F8C377">
            <w:pPr>
              <w:keepNext/>
              <w:keepLines/>
              <w:numPr>
                <w:ilvl w:val="12"/>
                <w:numId w:val="0"/>
              </w:numPr>
              <w:jc w:val="center"/>
              <w:rPr>
                <w:rFonts w:ascii="Arial Narrow" w:hAnsi="Arial Narrow"/>
                <w:sz w:val="18"/>
                <w:szCs w:val="18"/>
              </w:rPr>
            </w:pPr>
            <w:r>
              <w:rPr>
                <w:rFonts w:ascii="Arial Narrow" w:hAnsi="Arial Narrow"/>
                <w:sz w:val="18"/>
                <w:szCs w:val="18"/>
              </w:rPr>
              <w:t>IRC 6104</w:t>
            </w:r>
          </w:p>
        </w:tc>
        <w:tc>
          <w:tcPr>
            <w:tcW w:w="1744" w:type="dxa"/>
            <w:vAlign w:val="bottom"/>
          </w:tcPr>
          <w:p w:rsidR="00760BD9" w:rsidP="00FD34F6" w14:paraId="62D29381" w14:textId="43EE1218">
            <w:pPr>
              <w:keepNext/>
              <w:keepLines/>
              <w:numPr>
                <w:ilvl w:val="12"/>
                <w:numId w:val="0"/>
              </w:numPr>
              <w:jc w:val="center"/>
              <w:rPr>
                <w:rFonts w:ascii="Arial Narrow" w:hAnsi="Arial Narrow"/>
                <w:sz w:val="18"/>
                <w:szCs w:val="18"/>
              </w:rPr>
            </w:pPr>
            <w:r>
              <w:rPr>
                <w:rFonts w:ascii="Arial Narrow" w:hAnsi="Arial Narrow"/>
                <w:sz w:val="18"/>
                <w:szCs w:val="18"/>
              </w:rPr>
              <w:t>Form 4506-B</w:t>
            </w:r>
          </w:p>
        </w:tc>
        <w:tc>
          <w:tcPr>
            <w:tcW w:w="1170" w:type="dxa"/>
            <w:vAlign w:val="bottom"/>
          </w:tcPr>
          <w:p w:rsidR="00760BD9" w:rsidP="00FD34F6" w14:paraId="4371A30A" w14:textId="103204E4">
            <w:pPr>
              <w:keepNext/>
              <w:keepLines/>
              <w:numPr>
                <w:ilvl w:val="12"/>
                <w:numId w:val="0"/>
              </w:numPr>
              <w:jc w:val="center"/>
              <w:rPr>
                <w:rFonts w:ascii="Arial Narrow" w:hAnsi="Arial Narrow"/>
                <w:sz w:val="18"/>
                <w:szCs w:val="18"/>
              </w:rPr>
            </w:pPr>
            <w:r>
              <w:rPr>
                <w:rFonts w:ascii="Arial Narrow" w:hAnsi="Arial Narrow"/>
                <w:sz w:val="18"/>
                <w:szCs w:val="18"/>
              </w:rPr>
              <w:t>1</w:t>
            </w:r>
            <w:r w:rsidR="002160B6">
              <w:rPr>
                <w:rFonts w:ascii="Arial Narrow" w:hAnsi="Arial Narrow"/>
                <w:sz w:val="18"/>
                <w:szCs w:val="18"/>
              </w:rPr>
              <w:t>9</w:t>
            </w:r>
            <w:r>
              <w:rPr>
                <w:rFonts w:ascii="Arial Narrow" w:hAnsi="Arial Narrow"/>
                <w:sz w:val="18"/>
                <w:szCs w:val="18"/>
              </w:rPr>
              <w:t>,000</w:t>
            </w:r>
          </w:p>
        </w:tc>
        <w:tc>
          <w:tcPr>
            <w:tcW w:w="1170" w:type="dxa"/>
            <w:vAlign w:val="bottom"/>
          </w:tcPr>
          <w:p w:rsidR="00760BD9" w:rsidP="00FD34F6" w14:paraId="7988950A" w14:textId="2D3D97B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60BD9" w:rsidP="00FD34F6" w14:paraId="07CA9BBE" w14:textId="1223B6CD">
            <w:pPr>
              <w:keepNext/>
              <w:keepLines/>
              <w:numPr>
                <w:ilvl w:val="12"/>
                <w:numId w:val="0"/>
              </w:numPr>
              <w:jc w:val="center"/>
              <w:rPr>
                <w:rFonts w:ascii="Arial Narrow" w:hAnsi="Arial Narrow"/>
                <w:sz w:val="18"/>
                <w:szCs w:val="18"/>
              </w:rPr>
            </w:pPr>
            <w:r>
              <w:rPr>
                <w:rFonts w:ascii="Arial Narrow" w:hAnsi="Arial Narrow"/>
                <w:sz w:val="18"/>
                <w:szCs w:val="18"/>
              </w:rPr>
              <w:t>1</w:t>
            </w:r>
            <w:r w:rsidR="002160B6">
              <w:rPr>
                <w:rFonts w:ascii="Arial Narrow" w:hAnsi="Arial Narrow"/>
                <w:sz w:val="18"/>
                <w:szCs w:val="18"/>
              </w:rPr>
              <w:t>9</w:t>
            </w:r>
            <w:r>
              <w:rPr>
                <w:rFonts w:ascii="Arial Narrow" w:hAnsi="Arial Narrow"/>
                <w:sz w:val="18"/>
                <w:szCs w:val="18"/>
              </w:rPr>
              <w:t>,000</w:t>
            </w:r>
          </w:p>
        </w:tc>
        <w:tc>
          <w:tcPr>
            <w:tcW w:w="1170" w:type="dxa"/>
            <w:vAlign w:val="bottom"/>
          </w:tcPr>
          <w:p w:rsidR="00760BD9" w:rsidP="00FD34F6" w14:paraId="02C58C4A" w14:textId="3A0AF454">
            <w:pPr>
              <w:keepNext/>
              <w:keepLines/>
              <w:numPr>
                <w:ilvl w:val="12"/>
                <w:numId w:val="0"/>
              </w:numPr>
              <w:jc w:val="center"/>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00760BD9" w:rsidP="00FD34F6" w14:paraId="6FA39233" w14:textId="72A4BAA7">
            <w:pPr>
              <w:keepNext/>
              <w:keepLines/>
              <w:numPr>
                <w:ilvl w:val="12"/>
                <w:numId w:val="0"/>
              </w:numPr>
              <w:jc w:val="center"/>
              <w:rPr>
                <w:rFonts w:ascii="Arial Narrow" w:hAnsi="Arial Narrow"/>
                <w:sz w:val="18"/>
                <w:szCs w:val="18"/>
              </w:rPr>
            </w:pPr>
            <w:r>
              <w:rPr>
                <w:rFonts w:ascii="Arial Narrow" w:hAnsi="Arial Narrow"/>
                <w:sz w:val="18"/>
                <w:szCs w:val="18"/>
              </w:rPr>
              <w:t>1</w:t>
            </w:r>
            <w:r w:rsidR="002160B6">
              <w:rPr>
                <w:rFonts w:ascii="Arial Narrow" w:hAnsi="Arial Narrow"/>
                <w:sz w:val="18"/>
                <w:szCs w:val="18"/>
              </w:rPr>
              <w:t>8,430</w:t>
            </w:r>
          </w:p>
        </w:tc>
      </w:tr>
      <w:tr w14:paraId="32F24AA5" w14:textId="77777777" w:rsidTr="0043165A">
        <w:tblPrEx>
          <w:tblW w:w="8759" w:type="dxa"/>
          <w:jc w:val="right"/>
          <w:tblLook w:val="04A0"/>
        </w:tblPrEx>
        <w:trPr>
          <w:jc w:val="right"/>
        </w:trPr>
        <w:tc>
          <w:tcPr>
            <w:tcW w:w="1255" w:type="dxa"/>
            <w:shd w:val="clear" w:color="auto" w:fill="auto"/>
            <w:vAlign w:val="bottom"/>
          </w:tcPr>
          <w:p w:rsidR="00177B5D" w:rsidRPr="00760BD9" w:rsidP="00FD34F6" w14:paraId="5A8AD6B3" w14:textId="77777777">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Totals</w:t>
            </w:r>
          </w:p>
        </w:tc>
        <w:tc>
          <w:tcPr>
            <w:tcW w:w="1744" w:type="dxa"/>
            <w:vAlign w:val="bottom"/>
          </w:tcPr>
          <w:p w:rsidR="00177B5D" w:rsidRPr="00760BD9" w:rsidP="00FD34F6" w14:paraId="1B5B646D" w14:textId="77777777">
            <w:pPr>
              <w:keepNext/>
              <w:keepLines/>
              <w:numPr>
                <w:ilvl w:val="12"/>
                <w:numId w:val="0"/>
              </w:numPr>
              <w:jc w:val="center"/>
              <w:rPr>
                <w:rFonts w:ascii="Arial Narrow" w:hAnsi="Arial Narrow"/>
                <w:b/>
                <w:bCs/>
                <w:sz w:val="18"/>
                <w:szCs w:val="18"/>
              </w:rPr>
            </w:pPr>
          </w:p>
        </w:tc>
        <w:tc>
          <w:tcPr>
            <w:tcW w:w="1170" w:type="dxa"/>
            <w:vAlign w:val="bottom"/>
          </w:tcPr>
          <w:p w:rsidR="00177B5D" w:rsidRPr="00760BD9" w:rsidP="00FD34F6" w14:paraId="1C286372" w14:textId="0F1BBD90">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2</w:t>
            </w:r>
            <w:r w:rsidR="002160B6">
              <w:rPr>
                <w:rFonts w:ascii="Arial Narrow" w:hAnsi="Arial Narrow"/>
                <w:b/>
                <w:bCs/>
                <w:sz w:val="18"/>
                <w:szCs w:val="18"/>
              </w:rPr>
              <w:t>7</w:t>
            </w:r>
            <w:r w:rsidRPr="00760BD9">
              <w:rPr>
                <w:rFonts w:ascii="Arial Narrow" w:hAnsi="Arial Narrow"/>
                <w:b/>
                <w:bCs/>
                <w:sz w:val="18"/>
                <w:szCs w:val="18"/>
              </w:rPr>
              <w:t>,000</w:t>
            </w:r>
          </w:p>
        </w:tc>
        <w:tc>
          <w:tcPr>
            <w:tcW w:w="1170" w:type="dxa"/>
            <w:vAlign w:val="bottom"/>
          </w:tcPr>
          <w:p w:rsidR="00177B5D" w:rsidRPr="00760BD9" w:rsidP="00FD34F6" w14:paraId="547BC895"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177B5D" w:rsidRPr="00760BD9" w:rsidP="00FD34F6" w14:paraId="2BCAD080" w14:textId="1286CCBC">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20,000</w:t>
            </w:r>
          </w:p>
        </w:tc>
        <w:tc>
          <w:tcPr>
            <w:tcW w:w="1170" w:type="dxa"/>
            <w:vAlign w:val="bottom"/>
          </w:tcPr>
          <w:p w:rsidR="00177B5D" w:rsidRPr="00760BD9" w:rsidP="00FD34F6" w14:paraId="1EAD8635"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177B5D" w:rsidRPr="00760BD9" w:rsidP="00FD34F6" w14:paraId="02027294" w14:textId="2A2BC3C1">
            <w:pPr>
              <w:keepNext/>
              <w:keepLines/>
              <w:numPr>
                <w:ilvl w:val="12"/>
                <w:numId w:val="0"/>
              </w:numPr>
              <w:jc w:val="center"/>
              <w:rPr>
                <w:rFonts w:ascii="Arial Narrow" w:hAnsi="Arial Narrow"/>
                <w:b/>
                <w:bCs/>
                <w:sz w:val="18"/>
                <w:szCs w:val="18"/>
              </w:rPr>
            </w:pPr>
            <w:r>
              <w:rPr>
                <w:rFonts w:ascii="Arial Narrow" w:hAnsi="Arial Narrow"/>
                <w:b/>
                <w:bCs/>
                <w:sz w:val="18"/>
                <w:szCs w:val="18"/>
              </w:rPr>
              <w:t>26,190</w:t>
            </w:r>
          </w:p>
        </w:tc>
      </w:tr>
    </w:tbl>
    <w:bookmarkEnd w:id="1"/>
    <w:p w:rsidR="002152CA" w:rsidRPr="00B66C12" w:rsidP="005255C7" w14:paraId="64CE09CB" w14:textId="34C59196">
      <w:pPr>
        <w:rPr>
          <w:rFonts w:asciiTheme="minorHAnsi" w:hAnsiTheme="minorHAnsi" w:cstheme="minorHAnsi"/>
          <w:sz w:val="22"/>
          <w:szCs w:val="22"/>
        </w:rPr>
      </w:pPr>
      <w:r w:rsidRPr="00B66C12">
        <w:rPr>
          <w:rFonts w:asciiTheme="minorHAnsi" w:hAnsiTheme="minorHAnsi" w:cstheme="minorHAnsi"/>
          <w:sz w:val="22"/>
          <w:szCs w:val="22"/>
        </w:rPr>
        <w:t xml:space="preserve">      </w:t>
      </w:r>
    </w:p>
    <w:p w:rsidR="00614F13" w:rsidP="00760BD9" w14:paraId="742B8462" w14:textId="44D583B9">
      <w:pPr>
        <w:ind w:left="717"/>
        <w:rPr>
          <w:rFonts w:asciiTheme="minorHAnsi" w:hAnsiTheme="minorHAnsi" w:cstheme="minorHAnsi"/>
          <w:sz w:val="22"/>
          <w:szCs w:val="22"/>
        </w:rPr>
      </w:pPr>
      <w:r w:rsidRPr="00B66C12">
        <w:rPr>
          <w:rFonts w:asciiTheme="minorHAnsi" w:hAnsiTheme="minorHAnsi" w:cstheme="minorHAnsi"/>
          <w:sz w:val="22"/>
          <w:szCs w:val="22"/>
        </w:rPr>
        <w:t>The following regulations impose no additional burden</w:t>
      </w:r>
      <w:r w:rsidR="00760BD9">
        <w:rPr>
          <w:rFonts w:asciiTheme="minorHAnsi" w:hAnsiTheme="minorHAnsi" w:cstheme="minorHAnsi"/>
          <w:sz w:val="22"/>
          <w:szCs w:val="22"/>
        </w:rPr>
        <w:t xml:space="preserve">. </w:t>
      </w:r>
      <w:r w:rsidRPr="00B66C12" w:rsidR="00760BD9">
        <w:rPr>
          <w:rFonts w:asciiTheme="minorHAnsi" w:hAnsiTheme="minorHAnsi" w:cstheme="minorHAnsi"/>
          <w:sz w:val="22"/>
          <w:szCs w:val="22"/>
        </w:rPr>
        <w:t xml:space="preserve">Please continue to assign OMB number </w:t>
      </w:r>
      <w:r w:rsidRPr="00B66C12" w:rsidR="00760BD9">
        <w:rPr>
          <w:rFonts w:asciiTheme="minorHAnsi" w:hAnsiTheme="minorHAnsi" w:cstheme="minorHAnsi"/>
          <w:sz w:val="22"/>
          <w:szCs w:val="22"/>
        </w:rPr>
        <w:t>1545-0495 to these regulations.</w:t>
      </w:r>
    </w:p>
    <w:p w:rsidR="00760BD9" w:rsidRPr="00B66C12" w:rsidP="00760BD9" w14:paraId="4E2B2B65" w14:textId="77777777">
      <w:pPr>
        <w:ind w:left="717"/>
        <w:rPr>
          <w:rFonts w:asciiTheme="minorHAnsi" w:hAnsiTheme="minorHAnsi" w:cstheme="minorHAnsi"/>
          <w:sz w:val="22"/>
          <w:szCs w:val="22"/>
        </w:rPr>
      </w:pPr>
    </w:p>
    <w:p w:rsidR="00760BD9" w:rsidP="00760BD9" w14:paraId="36BAD6CA" w14:textId="77777777">
      <w:pPr>
        <w:ind w:left="717"/>
        <w:rPr>
          <w:rFonts w:asciiTheme="minorHAnsi" w:hAnsiTheme="minorHAnsi" w:cstheme="minorHAnsi"/>
          <w:sz w:val="22"/>
          <w:szCs w:val="22"/>
        </w:rPr>
        <w:sectPr w:rsidSect="00614F13">
          <w:type w:val="continuous"/>
          <w:pgSz w:w="12240" w:h="15840"/>
          <w:pgMar w:top="1440" w:right="1440" w:bottom="1440" w:left="1440" w:header="1440" w:footer="1440" w:gutter="0"/>
          <w:cols w:space="720"/>
          <w:noEndnote/>
        </w:sectPr>
      </w:pPr>
    </w:p>
    <w:p w:rsidR="00760BD9" w:rsidP="00760BD9" w14:paraId="2E4B9B4A" w14:textId="432327CE">
      <w:pPr>
        <w:ind w:left="717"/>
        <w:rPr>
          <w:rFonts w:asciiTheme="minorHAnsi" w:hAnsiTheme="minorHAnsi" w:cstheme="minorHAnsi"/>
          <w:sz w:val="22"/>
          <w:szCs w:val="22"/>
        </w:rPr>
      </w:pPr>
      <w:r w:rsidRPr="00B66C12">
        <w:rPr>
          <w:rFonts w:asciiTheme="minorHAnsi" w:hAnsiTheme="minorHAnsi" w:cstheme="minorHAnsi"/>
          <w:sz w:val="22"/>
          <w:szCs w:val="22"/>
        </w:rPr>
        <w:t>301.6104(a)-1</w:t>
      </w:r>
    </w:p>
    <w:p w:rsidR="00760BD9" w:rsidP="00760BD9" w14:paraId="13EDE2E9" w14:textId="77777777">
      <w:pPr>
        <w:ind w:left="717"/>
        <w:rPr>
          <w:rFonts w:asciiTheme="minorHAnsi" w:hAnsiTheme="minorHAnsi" w:cstheme="minorHAnsi"/>
          <w:sz w:val="22"/>
          <w:szCs w:val="22"/>
        </w:rPr>
      </w:pPr>
      <w:r w:rsidRPr="00B66C12">
        <w:rPr>
          <w:rFonts w:asciiTheme="minorHAnsi" w:hAnsiTheme="minorHAnsi" w:cstheme="minorHAnsi"/>
          <w:sz w:val="22"/>
          <w:szCs w:val="22"/>
        </w:rPr>
        <w:t>301.6104(a)</w:t>
      </w:r>
      <w:r w:rsidRPr="00B66C12" w:rsidR="00614F13">
        <w:rPr>
          <w:rFonts w:asciiTheme="minorHAnsi" w:hAnsiTheme="minorHAnsi" w:cstheme="minorHAnsi"/>
          <w:sz w:val="22"/>
          <w:szCs w:val="22"/>
        </w:rPr>
        <w:t>-5</w:t>
      </w:r>
    </w:p>
    <w:p w:rsidR="00614F13" w:rsidP="00760BD9" w14:paraId="4482974A" w14:textId="2826B02E">
      <w:pPr>
        <w:ind w:left="717"/>
        <w:rPr>
          <w:rFonts w:asciiTheme="minorHAnsi" w:hAnsiTheme="minorHAnsi" w:cstheme="minorHAnsi"/>
          <w:sz w:val="22"/>
          <w:szCs w:val="22"/>
        </w:rPr>
      </w:pPr>
      <w:r w:rsidRPr="00B66C12">
        <w:rPr>
          <w:rFonts w:asciiTheme="minorHAnsi" w:hAnsiTheme="minorHAnsi" w:cstheme="minorHAnsi"/>
          <w:sz w:val="22"/>
          <w:szCs w:val="22"/>
        </w:rPr>
        <w:t>301.6104(a)-6</w:t>
      </w:r>
    </w:p>
    <w:p w:rsidR="00760BD9" w:rsidP="00760BD9" w14:paraId="706BE382" w14:textId="77777777">
      <w:pPr>
        <w:ind w:left="717"/>
        <w:rPr>
          <w:rFonts w:asciiTheme="minorHAnsi" w:hAnsiTheme="minorHAnsi" w:cstheme="minorHAnsi"/>
          <w:sz w:val="22"/>
          <w:szCs w:val="22"/>
        </w:rPr>
        <w:sectPr w:rsidSect="00760BD9">
          <w:type w:val="continuous"/>
          <w:pgSz w:w="12240" w:h="15840"/>
          <w:pgMar w:top="1440" w:right="1440" w:bottom="1440" w:left="1440" w:header="1440" w:footer="1440" w:gutter="0"/>
          <w:cols w:num="3" w:space="720"/>
          <w:noEndnote/>
        </w:sectPr>
      </w:pPr>
    </w:p>
    <w:p w:rsidR="00760BD9" w:rsidRPr="00B66C12" w:rsidP="00760BD9" w14:paraId="6F419CA4" w14:textId="38CECBC4">
      <w:pPr>
        <w:ind w:left="717"/>
        <w:rPr>
          <w:rFonts w:asciiTheme="minorHAnsi" w:hAnsiTheme="minorHAnsi" w:cstheme="minorHAnsi"/>
          <w:sz w:val="22"/>
          <w:szCs w:val="22"/>
        </w:rPr>
      </w:pPr>
    </w:p>
    <w:p w:rsidR="00614F13" w:rsidRPr="00B66C12" w:rsidP="00760BD9" w14:paraId="60F2DD1A" w14:textId="5CB0ADBF">
      <w:pPr>
        <w:ind w:left="717"/>
        <w:rPr>
          <w:rFonts w:asciiTheme="minorHAnsi" w:hAnsiTheme="minorHAnsi" w:cstheme="minorHAnsi"/>
          <w:sz w:val="22"/>
          <w:szCs w:val="22"/>
        </w:rPr>
      </w:pPr>
      <w:r w:rsidRPr="00B66C12">
        <w:rPr>
          <w:rFonts w:asciiTheme="minorHAnsi" w:hAnsiTheme="minorHAnsi" w:cstheme="minorHAnsi"/>
          <w:sz w:val="22"/>
          <w:szCs w:val="22"/>
        </w:rPr>
        <w:t>We have reviewed these regulations and determined that the reporting</w:t>
      </w:r>
      <w:r w:rsidRPr="00B66C12" w:rsidR="005A67A8">
        <w:rPr>
          <w:rFonts w:asciiTheme="minorHAnsi" w:hAnsiTheme="minorHAnsi" w:cstheme="minorHAnsi"/>
          <w:sz w:val="22"/>
          <w:szCs w:val="22"/>
        </w:rPr>
        <w:t xml:space="preserve"> </w:t>
      </w:r>
      <w:r w:rsidRPr="00B66C12">
        <w:rPr>
          <w:rFonts w:asciiTheme="minorHAnsi" w:hAnsiTheme="minorHAnsi" w:cstheme="minorHAnsi"/>
          <w:sz w:val="22"/>
          <w:szCs w:val="22"/>
        </w:rPr>
        <w:t>requirements</w:t>
      </w:r>
      <w:r w:rsidRPr="00B66C12" w:rsidR="00E245FA">
        <w:rPr>
          <w:rFonts w:asciiTheme="minorHAnsi" w:hAnsiTheme="minorHAnsi" w:cstheme="minorHAnsi"/>
          <w:sz w:val="22"/>
          <w:szCs w:val="22"/>
        </w:rPr>
        <w:t xml:space="preserve"> </w:t>
      </w:r>
      <w:r w:rsidRPr="00B66C12">
        <w:rPr>
          <w:rFonts w:asciiTheme="minorHAnsi" w:hAnsiTheme="minorHAnsi" w:cstheme="minorHAnsi"/>
          <w:sz w:val="22"/>
          <w:szCs w:val="22"/>
        </w:rPr>
        <w:t>contained in them are entirely reflected on the form. The justification appearing in</w:t>
      </w:r>
      <w:r w:rsidRPr="00B66C12" w:rsidR="005A67A8">
        <w:rPr>
          <w:rFonts w:asciiTheme="minorHAnsi" w:hAnsiTheme="minorHAnsi" w:cstheme="minorHAnsi"/>
          <w:sz w:val="22"/>
          <w:szCs w:val="22"/>
        </w:rPr>
        <w:t xml:space="preserve"> </w:t>
      </w:r>
      <w:r w:rsidRPr="00B66C12">
        <w:rPr>
          <w:rFonts w:asciiTheme="minorHAnsi" w:hAnsiTheme="minorHAnsi" w:cstheme="minorHAnsi"/>
          <w:sz w:val="22"/>
          <w:szCs w:val="22"/>
        </w:rPr>
        <w:t>item 1 of the</w:t>
      </w:r>
      <w:r w:rsidR="00760BD9">
        <w:rPr>
          <w:rFonts w:asciiTheme="minorHAnsi" w:hAnsiTheme="minorHAnsi" w:cstheme="minorHAnsi"/>
          <w:sz w:val="22"/>
          <w:szCs w:val="22"/>
        </w:rPr>
        <w:t xml:space="preserve"> </w:t>
      </w:r>
      <w:r w:rsidRPr="00B66C12">
        <w:rPr>
          <w:rFonts w:asciiTheme="minorHAnsi" w:hAnsiTheme="minorHAnsi" w:cstheme="minorHAnsi"/>
          <w:sz w:val="22"/>
          <w:szCs w:val="22"/>
        </w:rPr>
        <w:t xml:space="preserve">supporting statement applies both to these regulations and to </w:t>
      </w:r>
      <w:r w:rsidRPr="00B66C12" w:rsidR="005A67A8">
        <w:rPr>
          <w:rFonts w:asciiTheme="minorHAnsi" w:hAnsiTheme="minorHAnsi" w:cstheme="minorHAnsi"/>
          <w:sz w:val="22"/>
          <w:szCs w:val="22"/>
        </w:rPr>
        <w:t xml:space="preserve">both </w:t>
      </w:r>
      <w:r w:rsidRPr="00B66C12">
        <w:rPr>
          <w:rFonts w:asciiTheme="minorHAnsi" w:hAnsiTheme="minorHAnsi" w:cstheme="minorHAnsi"/>
          <w:sz w:val="22"/>
          <w:szCs w:val="22"/>
        </w:rPr>
        <w:t>form</w:t>
      </w:r>
      <w:r w:rsidRPr="00B66C12" w:rsidR="005A67A8">
        <w:rPr>
          <w:rFonts w:asciiTheme="minorHAnsi" w:hAnsiTheme="minorHAnsi" w:cstheme="minorHAnsi"/>
          <w:sz w:val="22"/>
          <w:szCs w:val="22"/>
        </w:rPr>
        <w:t>s</w:t>
      </w:r>
      <w:r w:rsidRPr="00B66C12">
        <w:rPr>
          <w:rFonts w:asciiTheme="minorHAnsi" w:hAnsiTheme="minorHAnsi" w:cstheme="minorHAnsi"/>
          <w:sz w:val="22"/>
          <w:szCs w:val="22"/>
        </w:rPr>
        <w:t>.</w:t>
      </w:r>
    </w:p>
    <w:p w:rsidR="00614F13" w:rsidRPr="00B66C12" w:rsidP="00760BD9" w14:paraId="40B50CC3" w14:textId="77777777">
      <w:pPr>
        <w:spacing w:line="280" w:lineRule="exact"/>
        <w:jc w:val="both"/>
        <w:rPr>
          <w:rFonts w:asciiTheme="minorHAnsi" w:hAnsiTheme="minorHAnsi" w:cstheme="minorHAnsi"/>
          <w:sz w:val="22"/>
          <w:szCs w:val="22"/>
        </w:rPr>
      </w:pPr>
    </w:p>
    <w:p w:rsidR="00614F13" w:rsidRPr="008A04C5" w:rsidP="008A04C5" w14:paraId="7CB76D40" w14:textId="36D8227D">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 xml:space="preserve">ESTIMATED TOTAL ANNUAL COST BURDEN TO </w:t>
      </w:r>
      <w:r w:rsidRPr="008A04C5">
        <w:rPr>
          <w:rFonts w:asciiTheme="minorHAnsi" w:hAnsiTheme="minorHAnsi"/>
          <w:sz w:val="22"/>
          <w:szCs w:val="22"/>
          <w:u w:val="single"/>
        </w:rPr>
        <w:t>RESPONDENTS</w:t>
      </w:r>
    </w:p>
    <w:p w:rsidR="00614F13" w:rsidRPr="00B66C12" w14:paraId="23E73D58" w14:textId="77777777">
      <w:pPr>
        <w:jc w:val="both"/>
        <w:rPr>
          <w:rFonts w:asciiTheme="minorHAnsi" w:hAnsiTheme="minorHAnsi" w:cstheme="minorHAnsi"/>
          <w:sz w:val="22"/>
          <w:szCs w:val="22"/>
        </w:rPr>
      </w:pPr>
      <w:r w:rsidRPr="00B66C12">
        <w:rPr>
          <w:rFonts w:asciiTheme="minorHAnsi" w:hAnsiTheme="minorHAnsi" w:cstheme="minorHAnsi"/>
          <w:sz w:val="22"/>
          <w:szCs w:val="22"/>
        </w:rPr>
        <w:t xml:space="preserve">  </w:t>
      </w:r>
    </w:p>
    <w:p w:rsidR="00143F8A" w:rsidRPr="00B66C12" w:rsidP="005A67A8" w14:paraId="79290DA4" w14:textId="7BB28640">
      <w:pPr>
        <w:ind w:left="720"/>
        <w:rPr>
          <w:rFonts w:asciiTheme="minorHAnsi" w:hAnsiTheme="minorHAnsi" w:cstheme="minorHAnsi"/>
          <w:sz w:val="22"/>
          <w:szCs w:val="22"/>
        </w:rPr>
      </w:pPr>
      <w:r w:rsidRPr="0098406B">
        <w:rPr>
          <w:rFonts w:asciiTheme="minorHAnsi" w:hAnsiTheme="minorHAnsi" w:cstheme="minorHAnsi"/>
          <w:sz w:val="22"/>
          <w:szCs w:val="22"/>
        </w:rPr>
        <w:t>There are no start-up or maintenance costs for this collection. The collection does not require respondents to obtain specialized equipment or professional services.</w:t>
      </w:r>
    </w:p>
    <w:p w:rsidR="00143F8A" w:rsidRPr="00B66C12" w:rsidP="00143F8A" w14:paraId="36FD4105" w14:textId="77777777">
      <w:pPr>
        <w:widowControl/>
        <w:ind w:left="720"/>
        <w:rPr>
          <w:rFonts w:asciiTheme="minorHAnsi" w:hAnsiTheme="minorHAnsi" w:cstheme="minorHAnsi"/>
          <w:sz w:val="22"/>
          <w:szCs w:val="22"/>
        </w:rPr>
      </w:pPr>
    </w:p>
    <w:p w:rsidR="00614F13" w:rsidRPr="008A04C5" w:rsidP="008A04C5" w14:paraId="2CB41AC9" w14:textId="3A468086">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 xml:space="preserve">ESTIMATED ANNUALIZED COST TO THE FEDERAL </w:t>
      </w:r>
      <w:r w:rsidRPr="008A04C5">
        <w:rPr>
          <w:rFonts w:asciiTheme="minorHAnsi" w:hAnsiTheme="minorHAnsi"/>
          <w:sz w:val="22"/>
          <w:szCs w:val="22"/>
          <w:u w:val="single"/>
        </w:rPr>
        <w:t>GOVERNMENT</w:t>
      </w:r>
    </w:p>
    <w:p w:rsidR="00614F13" w:rsidRPr="00B66C12" w14:paraId="14744CD1" w14:textId="77777777">
      <w:pPr>
        <w:jc w:val="both"/>
        <w:rPr>
          <w:rFonts w:asciiTheme="minorHAnsi" w:hAnsiTheme="minorHAnsi" w:cstheme="minorHAnsi"/>
          <w:sz w:val="22"/>
          <w:szCs w:val="22"/>
        </w:rPr>
      </w:pPr>
    </w:p>
    <w:p w:rsidR="00B9419C" w:rsidP="00760BD9" w14:paraId="0AE8F74B" w14:textId="300A5CD6">
      <w:pPr>
        <w:ind w:left="720"/>
        <w:rPr>
          <w:rFonts w:asciiTheme="minorHAnsi" w:hAnsiTheme="minorHAnsi" w:cstheme="minorHAnsi"/>
          <w:sz w:val="22"/>
          <w:szCs w:val="22"/>
        </w:rPr>
      </w:pPr>
      <w:r w:rsidRPr="0098406B">
        <w:rPr>
          <w:rFonts w:asciiTheme="minorHAnsi" w:hAnsiTheme="minorHAnsi" w:cstheme="minorHAnsi"/>
          <w:sz w:val="22"/>
          <w:szCs w:val="22"/>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w:t>
      </w:r>
      <w:r w:rsidRPr="0098406B">
        <w:rPr>
          <w:rFonts w:asciiTheme="minorHAnsi" w:hAnsiTheme="minorHAnsi" w:cstheme="minorHAnsi"/>
          <w:sz w:val="22"/>
          <w:szCs w:val="22"/>
        </w:rPr>
        <w:t>printing or</w:t>
      </w:r>
      <w:r w:rsidRPr="0098406B">
        <w:rPr>
          <w:rFonts w:asciiTheme="minorHAnsi" w:hAnsiTheme="minorHAnsi" w:cstheme="minorHAnsi"/>
          <w:sz w:val="22"/>
          <w:szCs w:val="22"/>
        </w:rPr>
        <w:t xml:space="preserve"> copying costs for all the materials.</w:t>
      </w:r>
      <w:r>
        <w:rPr>
          <w:rFonts w:asciiTheme="minorHAnsi" w:hAnsiTheme="minorHAnsi" w:cstheme="minorHAnsi"/>
          <w:sz w:val="22"/>
          <w:szCs w:val="22"/>
        </w:rPr>
        <w:t xml:space="preserve"> </w:t>
      </w:r>
      <w:r w:rsidRPr="0098406B">
        <w:rPr>
          <w:rFonts w:asciiTheme="minorHAnsi" w:hAnsiTheme="minorHAnsi" w:cstheme="minorHAnsi"/>
          <w:sz w:val="22"/>
          <w:szCs w:val="22"/>
        </w:rPr>
        <w:t xml:space="preserve">These costs do not include any activities such as taxpayer assistance and enforcement. </w:t>
      </w:r>
      <w:r w:rsidR="00DE77B5">
        <w:rPr>
          <w:rFonts w:asciiTheme="minorHAnsi" w:hAnsiTheme="minorHAnsi" w:cstheme="minorHAnsi"/>
          <w:sz w:val="22"/>
          <w:szCs w:val="22"/>
        </w:rPr>
        <w:t xml:space="preserve">The </w:t>
      </w:r>
      <w:r w:rsidRPr="0098406B">
        <w:rPr>
          <w:rFonts w:asciiTheme="minorHAnsi" w:hAnsiTheme="minorHAnsi" w:cstheme="minorHAnsi"/>
          <w:sz w:val="22"/>
          <w:szCs w:val="22"/>
        </w:rPr>
        <w:t>IRS estimates have determined that the cost of developing, printing, distribution and overhead for the form is $</w:t>
      </w:r>
      <w:r w:rsidR="00DE77B5">
        <w:rPr>
          <w:rFonts w:asciiTheme="minorHAnsi" w:hAnsiTheme="minorHAnsi" w:cstheme="minorHAnsi"/>
          <w:sz w:val="22"/>
          <w:szCs w:val="22"/>
        </w:rPr>
        <w:t>30</w:t>
      </w:r>
      <w:r w:rsidR="00DE77B5">
        <w:rPr>
          <w:rFonts w:asciiTheme="minorHAnsi" w:hAnsiTheme="minorHAnsi" w:cstheme="minorHAnsi"/>
          <w:sz w:val="22"/>
          <w:szCs w:val="22"/>
        </w:rPr>
        <w:t>,436</w:t>
      </w:r>
      <w:r w:rsidRPr="0098406B">
        <w:rPr>
          <w:rFonts w:asciiTheme="minorHAnsi" w:hAnsiTheme="minorHAnsi" w:cstheme="minorHAnsi"/>
          <w:sz w:val="22"/>
          <w:szCs w:val="22"/>
        </w:rPr>
        <w:t>.</w:t>
      </w:r>
      <w:bookmarkStart w:id="2" w:name="_Hlk523834409"/>
    </w:p>
    <w:bookmarkEnd w:id="2"/>
    <w:p w:rsidR="002D7A4C" w:rsidRPr="00B66C12" w:rsidP="002D7A4C" w14:paraId="38A72B6E" w14:textId="77777777">
      <w:pPr>
        <w:rPr>
          <w:rFonts w:asciiTheme="minorHAnsi" w:hAnsiTheme="minorHAnsi" w:cstheme="minorHAnsi"/>
          <w:bCs/>
          <w:sz w:val="22"/>
          <w:szCs w:val="22"/>
        </w:rPr>
      </w:pPr>
    </w:p>
    <w:p w:rsidR="00614F13" w:rsidRPr="008A04C5" w:rsidP="008A04C5" w14:paraId="0039EBD0" w14:textId="0145931A">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REASONS FOR CHANGE IN BURDEN</w:t>
      </w:r>
    </w:p>
    <w:p w:rsidR="00614F13" w:rsidRPr="00B66C12" w14:paraId="49183DAA" w14:textId="77777777">
      <w:pPr>
        <w:jc w:val="both"/>
        <w:rPr>
          <w:rFonts w:asciiTheme="minorHAnsi" w:hAnsiTheme="minorHAnsi" w:cstheme="minorHAnsi"/>
          <w:sz w:val="22"/>
          <w:szCs w:val="22"/>
        </w:rPr>
      </w:pPr>
    </w:p>
    <w:p w:rsidR="00861FD8" w:rsidP="00861FD8" w14:paraId="3BCE9834" w14:textId="3C9B458D">
      <w:pPr>
        <w:ind w:left="720"/>
        <w:rPr>
          <w:rFonts w:asciiTheme="minorHAnsi" w:hAnsiTheme="minorHAnsi"/>
          <w:sz w:val="22"/>
          <w:szCs w:val="22"/>
        </w:rPr>
      </w:pPr>
      <w:bookmarkStart w:id="3" w:name="_Hlk94264276"/>
      <w:r w:rsidRPr="00453AD3">
        <w:rPr>
          <w:rFonts w:asciiTheme="minorHAnsi" w:hAnsiTheme="minorHAnsi"/>
          <w:sz w:val="22"/>
          <w:szCs w:val="22"/>
        </w:rPr>
        <w:t xml:space="preserve">There </w:t>
      </w:r>
      <w:r w:rsidR="00130711">
        <w:rPr>
          <w:rFonts w:asciiTheme="minorHAnsi" w:hAnsiTheme="minorHAnsi"/>
          <w:sz w:val="22"/>
          <w:szCs w:val="22"/>
        </w:rPr>
        <w:t>are</w:t>
      </w:r>
      <w:r w:rsidRPr="00453AD3">
        <w:rPr>
          <w:rFonts w:asciiTheme="minorHAnsi" w:hAnsiTheme="minorHAnsi"/>
          <w:sz w:val="22"/>
          <w:szCs w:val="22"/>
        </w:rPr>
        <w:t xml:space="preserve"> no change</w:t>
      </w:r>
      <w:r w:rsidR="006D2F01">
        <w:rPr>
          <w:rFonts w:asciiTheme="minorHAnsi" w:hAnsiTheme="minorHAnsi"/>
          <w:sz w:val="22"/>
          <w:szCs w:val="22"/>
        </w:rPr>
        <w:t xml:space="preserve">s to the forms that would affect burden, however the agency has updated the estimated number of filers for Form 4506-B, based on </w:t>
      </w:r>
      <w:r w:rsidR="00CB1FCD">
        <w:rPr>
          <w:rFonts w:asciiTheme="minorHAnsi" w:hAnsiTheme="minorHAnsi"/>
          <w:sz w:val="22"/>
          <w:szCs w:val="22"/>
        </w:rPr>
        <w:t>most</w:t>
      </w:r>
      <w:r w:rsidR="006D2F01">
        <w:rPr>
          <w:rFonts w:asciiTheme="minorHAnsi" w:hAnsiTheme="minorHAnsi"/>
          <w:sz w:val="22"/>
          <w:szCs w:val="22"/>
        </w:rPr>
        <w:t xml:space="preserve"> </w:t>
      </w:r>
      <w:r w:rsidR="00CB1FCD">
        <w:rPr>
          <w:rFonts w:asciiTheme="minorHAnsi" w:hAnsiTheme="minorHAnsi"/>
          <w:sz w:val="22"/>
          <w:szCs w:val="22"/>
        </w:rPr>
        <w:t xml:space="preserve">recent </w:t>
      </w:r>
      <w:r w:rsidR="006D2F01">
        <w:rPr>
          <w:rFonts w:asciiTheme="minorHAnsi" w:hAnsiTheme="minorHAnsi"/>
          <w:sz w:val="22"/>
          <w:szCs w:val="22"/>
        </w:rPr>
        <w:t xml:space="preserve">filing data. This change results in an increase of 7,000 respondents/responses and increased </w:t>
      </w:r>
      <w:r w:rsidRPr="00453AD3">
        <w:rPr>
          <w:rFonts w:asciiTheme="minorHAnsi" w:hAnsiTheme="minorHAnsi"/>
          <w:sz w:val="22"/>
          <w:szCs w:val="22"/>
        </w:rPr>
        <w:t>previously approved</w:t>
      </w:r>
      <w:r w:rsidR="00CB1FCD">
        <w:rPr>
          <w:rFonts w:asciiTheme="minorHAnsi" w:hAnsiTheme="minorHAnsi"/>
          <w:sz w:val="22"/>
          <w:szCs w:val="22"/>
        </w:rPr>
        <w:t xml:space="preserve"> overall all burden by 6,790 hours (19,400 to 26,190)</w:t>
      </w:r>
      <w:r w:rsidRPr="00453AD3">
        <w:rPr>
          <w:rFonts w:asciiTheme="minorHAnsi" w:hAnsiTheme="minorHAnsi"/>
          <w:sz w:val="22"/>
          <w:szCs w:val="22"/>
        </w:rPr>
        <w:t xml:space="preserve">. </w:t>
      </w:r>
      <w:bookmarkEnd w:id="3"/>
    </w:p>
    <w:p w:rsidR="00891862" w:rsidP="00861FD8" w14:paraId="15BBC2FC" w14:textId="77777777">
      <w:pPr>
        <w:ind w:left="720"/>
        <w:rPr>
          <w:rFonts w:asciiTheme="minorHAnsi" w:hAnsi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363FDB08" w14:textId="77777777" w:rsidTr="0030359D">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3B0D1E1A" w14:textId="77777777">
            <w:pPr>
              <w:keepNext/>
              <w:keepLines/>
              <w:autoSpaceDE/>
              <w:autoSpaceDN/>
              <w:adjustRightInd/>
              <w:jc w:val="center"/>
              <w:rPr>
                <w:rFonts w:ascii="Arial Narrow" w:hAnsi="Arial Narrow" w:cs="Arial"/>
                <w:b/>
                <w:bCs/>
                <w:color w:val="000000"/>
                <w:sz w:val="18"/>
                <w:szCs w:val="18"/>
              </w:rPr>
            </w:pPr>
          </w:p>
        </w:tc>
        <w:tc>
          <w:tcPr>
            <w:tcW w:w="1022"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014893AE"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 xml:space="preserve">Total </w:t>
            </w:r>
            <w:r>
              <w:rPr>
                <w:rFonts w:ascii="Arial Narrow" w:hAnsi="Arial Narrow" w:cs="Arial"/>
                <w:b/>
                <w:bCs/>
                <w:color w:val="000000"/>
                <w:sz w:val="18"/>
                <w:szCs w:val="18"/>
              </w:rPr>
              <w:t>Requested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58563195"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7DB903E2"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3DD6E9D7"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891862" w:rsidRPr="001C511B" w:rsidP="0030359D" w14:paraId="78D5B6F1"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891862" w:rsidRPr="001C511B" w:rsidP="0030359D" w14:paraId="39D83396"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Previously Approved</w:t>
            </w:r>
          </w:p>
        </w:tc>
      </w:tr>
      <w:tr w14:paraId="1AA93CE6" w14:textId="77777777" w:rsidTr="00891862">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891862" w:rsidRPr="001C511B" w:rsidP="0030359D" w14:paraId="4AC29E11" w14:textId="77777777">
            <w:pPr>
              <w:keepNext/>
              <w:keepLines/>
              <w:autoSpaceDE/>
              <w:autoSpaceDN/>
              <w:adjustRightInd/>
              <w:rPr>
                <w:rFonts w:ascii="Arial Narrow" w:hAnsi="Arial Narrow" w:cs="Arial"/>
                <w:color w:val="000000"/>
                <w:sz w:val="18"/>
                <w:szCs w:val="18"/>
              </w:rPr>
            </w:pPr>
            <w:r w:rsidRPr="001C511B">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2736DC0D" w14:textId="686FB71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27,000</w:t>
            </w:r>
          </w:p>
        </w:tc>
        <w:tc>
          <w:tcPr>
            <w:tcW w:w="1144"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7EA4AB72" w14:textId="7AD1BDA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0E52349F" w14:textId="5B64AC0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02B96326" w14:textId="7E5911D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7,000</w:t>
            </w:r>
          </w:p>
        </w:tc>
        <w:tc>
          <w:tcPr>
            <w:tcW w:w="1315"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1D1D62CD" w14:textId="4028104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0B641C95" w14:textId="44B25CA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20,000</w:t>
            </w:r>
          </w:p>
        </w:tc>
      </w:tr>
      <w:tr w14:paraId="6A7409ED" w14:textId="77777777" w:rsidTr="00891862">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891862" w:rsidRPr="001C511B" w:rsidP="0030359D" w14:paraId="699202F1" w14:textId="77777777">
            <w:pPr>
              <w:keepNext/>
              <w:keepLines/>
              <w:autoSpaceDE/>
              <w:autoSpaceDN/>
              <w:adjustRightInd/>
              <w:rPr>
                <w:rFonts w:ascii="Arial Narrow" w:hAnsi="Arial Narrow" w:cs="Arial"/>
                <w:color w:val="000000"/>
                <w:sz w:val="18"/>
                <w:szCs w:val="18"/>
              </w:rPr>
            </w:pPr>
            <w:r w:rsidRPr="001C511B">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2187CB04" w14:textId="386E252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26,190</w:t>
            </w:r>
          </w:p>
        </w:tc>
        <w:tc>
          <w:tcPr>
            <w:tcW w:w="1144"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71842EC5" w14:textId="33E2594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77031EFE" w14:textId="39D4CDA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4DC8F7F9" w14:textId="5D05C63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6,790</w:t>
            </w:r>
          </w:p>
        </w:tc>
        <w:tc>
          <w:tcPr>
            <w:tcW w:w="1315"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31DDF57B" w14:textId="5C04A90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891862" w:rsidRPr="001C511B" w:rsidP="0030359D" w14:paraId="2B1F4A59" w14:textId="77F82CB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19,400</w:t>
            </w:r>
          </w:p>
        </w:tc>
      </w:tr>
    </w:tbl>
    <w:p w:rsidR="00CD5AE6" w:rsidRPr="00B66C12" w:rsidP="005255C7" w14:paraId="73C0A1A8" w14:textId="77777777">
      <w:pPr>
        <w:rPr>
          <w:rFonts w:asciiTheme="minorHAnsi" w:hAnsiTheme="minorHAnsi" w:cstheme="minorHAnsi"/>
          <w:sz w:val="22"/>
          <w:szCs w:val="22"/>
        </w:rPr>
      </w:pPr>
    </w:p>
    <w:p w:rsidR="00614F13" w:rsidRPr="008A04C5" w:rsidP="008A04C5" w14:paraId="400697F4" w14:textId="34FD8DDA">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PLANS FOR TABULATION, STATISTICAL ANALYSIS AND PUBLICATION</w:t>
      </w:r>
    </w:p>
    <w:p w:rsidR="00614F13" w:rsidRPr="00B66C12" w14:paraId="58003119" w14:textId="77777777">
      <w:pPr>
        <w:jc w:val="both"/>
        <w:rPr>
          <w:rFonts w:asciiTheme="minorHAnsi" w:hAnsiTheme="minorHAnsi" w:cstheme="minorHAnsi"/>
          <w:sz w:val="22"/>
          <w:szCs w:val="22"/>
        </w:rPr>
      </w:pPr>
    </w:p>
    <w:p w:rsidR="00903226" w:rsidRPr="00B66C12" w:rsidP="005A67A8" w14:paraId="1A687489" w14:textId="0D477896">
      <w:pPr>
        <w:ind w:left="288" w:firstLine="432"/>
        <w:rPr>
          <w:rFonts w:asciiTheme="minorHAnsi" w:hAnsiTheme="minorHAnsi" w:cstheme="minorHAnsi"/>
          <w:sz w:val="22"/>
          <w:szCs w:val="22"/>
        </w:rPr>
      </w:pPr>
      <w:r w:rsidRPr="00B66C12">
        <w:rPr>
          <w:rFonts w:asciiTheme="minorHAnsi" w:hAnsiTheme="minorHAnsi" w:cstheme="minorHAnsi"/>
          <w:sz w:val="22"/>
          <w:szCs w:val="22"/>
        </w:rPr>
        <w:t>There are no plans for tabulation, statistical analysis</w:t>
      </w:r>
      <w:r w:rsidR="002160B6">
        <w:rPr>
          <w:rFonts w:asciiTheme="minorHAnsi" w:hAnsiTheme="minorHAnsi" w:cstheme="minorHAnsi"/>
          <w:sz w:val="22"/>
          <w:szCs w:val="22"/>
        </w:rPr>
        <w:t>,</w:t>
      </w:r>
      <w:r w:rsidRPr="00B66C12">
        <w:rPr>
          <w:rFonts w:asciiTheme="minorHAnsi" w:hAnsiTheme="minorHAnsi" w:cstheme="minorHAnsi"/>
          <w:sz w:val="22"/>
          <w:szCs w:val="22"/>
        </w:rPr>
        <w:t xml:space="preserve"> and publication.</w:t>
      </w:r>
    </w:p>
    <w:p w:rsidR="00614F13" w:rsidRPr="00B66C12" w14:paraId="344B6730" w14:textId="77777777">
      <w:pPr>
        <w:jc w:val="both"/>
        <w:rPr>
          <w:rFonts w:asciiTheme="minorHAnsi" w:hAnsiTheme="minorHAnsi" w:cstheme="minorHAnsi"/>
          <w:sz w:val="22"/>
          <w:szCs w:val="22"/>
        </w:rPr>
      </w:pPr>
    </w:p>
    <w:p w:rsidR="00614F13" w:rsidRPr="008A04C5" w:rsidP="008A04C5" w14:paraId="4BC277DA"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REASONS WHY DISPLAYING THE OMB EXPIRATION DATE IS INAPPROPRIATE</w:t>
      </w:r>
    </w:p>
    <w:p w:rsidR="00614F13" w:rsidRPr="00B66C12" w14:paraId="7E7CB0BF" w14:textId="77777777">
      <w:pPr>
        <w:jc w:val="both"/>
        <w:rPr>
          <w:rFonts w:asciiTheme="minorHAnsi" w:hAnsiTheme="minorHAnsi" w:cstheme="minorHAnsi"/>
          <w:sz w:val="22"/>
          <w:szCs w:val="22"/>
        </w:rPr>
      </w:pPr>
    </w:p>
    <w:p w:rsidR="00903226" w:rsidRPr="00B66C12" w:rsidP="005A67A8" w14:paraId="10958554" w14:textId="62AD2C26">
      <w:pPr>
        <w:spacing w:line="268" w:lineRule="exact"/>
        <w:ind w:left="720" w:right="624"/>
        <w:rPr>
          <w:rFonts w:asciiTheme="minorHAnsi" w:hAnsiTheme="minorHAnsi" w:cstheme="minorHAnsi"/>
          <w:bCs/>
          <w:sz w:val="22"/>
          <w:szCs w:val="22"/>
        </w:rPr>
      </w:pPr>
      <w:bookmarkStart w:id="4"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forms</w:t>
      </w:r>
      <w:r w:rsidRPr="00453AD3">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4"/>
    </w:p>
    <w:p w:rsidR="00614F13" w:rsidRPr="00B66C12" w:rsidP="00E7625F" w14:paraId="53289765" w14:textId="77777777">
      <w:pPr>
        <w:ind w:left="432"/>
        <w:jc w:val="both"/>
        <w:rPr>
          <w:rFonts w:asciiTheme="minorHAnsi" w:hAnsiTheme="minorHAnsi" w:cstheme="minorHAnsi"/>
          <w:sz w:val="22"/>
          <w:szCs w:val="22"/>
        </w:rPr>
      </w:pPr>
    </w:p>
    <w:p w:rsidR="00614F13" w:rsidRPr="008A04C5" w:rsidP="008A04C5" w14:paraId="5744DA27" w14:textId="77E87F42">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EXCEPTION</w:t>
      </w:r>
      <w:r w:rsidRPr="008A04C5" w:rsidR="00CD5AE6">
        <w:rPr>
          <w:rFonts w:asciiTheme="minorHAnsi" w:hAnsiTheme="minorHAnsi"/>
          <w:sz w:val="22"/>
          <w:szCs w:val="22"/>
          <w:u w:val="single"/>
        </w:rPr>
        <w:t>S</w:t>
      </w:r>
      <w:r w:rsidRPr="008A04C5">
        <w:rPr>
          <w:rFonts w:asciiTheme="minorHAnsi" w:hAnsiTheme="minorHAnsi"/>
          <w:sz w:val="22"/>
          <w:szCs w:val="22"/>
          <w:u w:val="single"/>
        </w:rPr>
        <w:t xml:space="preserve"> TO THE CERTIFICATION STATEMENT</w:t>
      </w:r>
    </w:p>
    <w:p w:rsidR="00903226" w:rsidRPr="00B66C12" w14:paraId="0771E98E" w14:textId="77777777">
      <w:pPr>
        <w:jc w:val="both"/>
        <w:rPr>
          <w:rFonts w:asciiTheme="minorHAnsi" w:hAnsiTheme="minorHAnsi" w:cstheme="minorHAnsi"/>
          <w:sz w:val="22"/>
          <w:szCs w:val="22"/>
        </w:rPr>
      </w:pPr>
    </w:p>
    <w:p w:rsidR="00614F13" w:rsidRPr="00B66C12" w:rsidP="00067760" w14:paraId="4E28DA02" w14:textId="1B56A900">
      <w:pPr>
        <w:ind w:left="720"/>
        <w:rPr>
          <w:rFonts w:asciiTheme="minorHAnsi" w:hAnsiTheme="minorHAnsi" w:cstheme="minorHAnsi"/>
          <w:sz w:val="22"/>
          <w:szCs w:val="22"/>
        </w:rPr>
      </w:pPr>
      <w:r w:rsidRPr="00453AD3">
        <w:rPr>
          <w:rFonts w:asciiTheme="minorHAnsi" w:hAnsiTheme="minorHAnsi"/>
          <w:sz w:val="22"/>
          <w:szCs w:val="22"/>
        </w:rPr>
        <w:t>There are no exceptions to the certification statement.</w:t>
      </w:r>
      <w:bookmarkStart w:id="5" w:name="_Hlk95714878"/>
      <w:bookmarkEnd w:id="5"/>
    </w:p>
    <w:sectPr w:rsidSect="00614F1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3CAD0693"/>
    <w:multiLevelType w:val="hybridMultilevel"/>
    <w:tmpl w:val="B7FE0E92"/>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368992">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3278253">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86643548">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661853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 R. Callahan">
    <w15:presenceInfo w15:providerId="None" w15:userId="Jon R. Call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13"/>
    <w:rsid w:val="00020A1D"/>
    <w:rsid w:val="00026308"/>
    <w:rsid w:val="00067760"/>
    <w:rsid w:val="001108AE"/>
    <w:rsid w:val="00130711"/>
    <w:rsid w:val="0014337B"/>
    <w:rsid w:val="00143F8A"/>
    <w:rsid w:val="00147C43"/>
    <w:rsid w:val="00177B5D"/>
    <w:rsid w:val="00195281"/>
    <w:rsid w:val="001C2684"/>
    <w:rsid w:val="001C511B"/>
    <w:rsid w:val="002152CA"/>
    <w:rsid w:val="002160B6"/>
    <w:rsid w:val="0027373C"/>
    <w:rsid w:val="00281850"/>
    <w:rsid w:val="0028558F"/>
    <w:rsid w:val="002D7A4C"/>
    <w:rsid w:val="0030359D"/>
    <w:rsid w:val="00371124"/>
    <w:rsid w:val="003B4434"/>
    <w:rsid w:val="003E0A6F"/>
    <w:rsid w:val="003E7E96"/>
    <w:rsid w:val="003F099E"/>
    <w:rsid w:val="003F5909"/>
    <w:rsid w:val="0043165A"/>
    <w:rsid w:val="00431AD5"/>
    <w:rsid w:val="004474DF"/>
    <w:rsid w:val="00450E2D"/>
    <w:rsid w:val="00453AD3"/>
    <w:rsid w:val="00474AB2"/>
    <w:rsid w:val="004842C4"/>
    <w:rsid w:val="004B19E5"/>
    <w:rsid w:val="004C482E"/>
    <w:rsid w:val="004D2935"/>
    <w:rsid w:val="00504599"/>
    <w:rsid w:val="00520F4C"/>
    <w:rsid w:val="005255C7"/>
    <w:rsid w:val="00553AC8"/>
    <w:rsid w:val="00572502"/>
    <w:rsid w:val="00586328"/>
    <w:rsid w:val="005A67A8"/>
    <w:rsid w:val="005C571F"/>
    <w:rsid w:val="005D667B"/>
    <w:rsid w:val="00614F13"/>
    <w:rsid w:val="00617C3C"/>
    <w:rsid w:val="006361B0"/>
    <w:rsid w:val="0067744F"/>
    <w:rsid w:val="006D2F01"/>
    <w:rsid w:val="006E21CC"/>
    <w:rsid w:val="006F14D7"/>
    <w:rsid w:val="006F6BBB"/>
    <w:rsid w:val="007005AF"/>
    <w:rsid w:val="0071535A"/>
    <w:rsid w:val="007166F3"/>
    <w:rsid w:val="007461BD"/>
    <w:rsid w:val="00760BD9"/>
    <w:rsid w:val="0076448E"/>
    <w:rsid w:val="007718A9"/>
    <w:rsid w:val="0077645D"/>
    <w:rsid w:val="007949F2"/>
    <w:rsid w:val="007D71FB"/>
    <w:rsid w:val="007F1ECD"/>
    <w:rsid w:val="00820313"/>
    <w:rsid w:val="00835738"/>
    <w:rsid w:val="00861FD8"/>
    <w:rsid w:val="0086372A"/>
    <w:rsid w:val="00891862"/>
    <w:rsid w:val="008A04C5"/>
    <w:rsid w:val="008C6967"/>
    <w:rsid w:val="008D2BF5"/>
    <w:rsid w:val="008E2DFD"/>
    <w:rsid w:val="00903226"/>
    <w:rsid w:val="0098406B"/>
    <w:rsid w:val="0099388F"/>
    <w:rsid w:val="00A051FC"/>
    <w:rsid w:val="00A32B68"/>
    <w:rsid w:val="00A9535F"/>
    <w:rsid w:val="00AA34FE"/>
    <w:rsid w:val="00AC5A04"/>
    <w:rsid w:val="00AD00F5"/>
    <w:rsid w:val="00B03653"/>
    <w:rsid w:val="00B174DE"/>
    <w:rsid w:val="00B47CA7"/>
    <w:rsid w:val="00B66C12"/>
    <w:rsid w:val="00B72E36"/>
    <w:rsid w:val="00B73732"/>
    <w:rsid w:val="00B9419C"/>
    <w:rsid w:val="00BD51F6"/>
    <w:rsid w:val="00BE3BAB"/>
    <w:rsid w:val="00C303BA"/>
    <w:rsid w:val="00C833DD"/>
    <w:rsid w:val="00C94E69"/>
    <w:rsid w:val="00CA124E"/>
    <w:rsid w:val="00CB1FCD"/>
    <w:rsid w:val="00CD5AE6"/>
    <w:rsid w:val="00CE0E41"/>
    <w:rsid w:val="00CF4401"/>
    <w:rsid w:val="00D25CB1"/>
    <w:rsid w:val="00D64A67"/>
    <w:rsid w:val="00DA5248"/>
    <w:rsid w:val="00DE77B5"/>
    <w:rsid w:val="00DE7D74"/>
    <w:rsid w:val="00E152BA"/>
    <w:rsid w:val="00E20033"/>
    <w:rsid w:val="00E245FA"/>
    <w:rsid w:val="00E75531"/>
    <w:rsid w:val="00E7625F"/>
    <w:rsid w:val="00E86D7B"/>
    <w:rsid w:val="00EB5C91"/>
    <w:rsid w:val="00F13373"/>
    <w:rsid w:val="00F140EC"/>
    <w:rsid w:val="00FC6613"/>
    <w:rsid w:val="00FD3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F72E5C6"/>
  <w15:chartTrackingRefBased/>
  <w15:docId w15:val="{867B5643-1F1B-45DA-8551-009342F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55C7"/>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255C7"/>
    <w:pPr>
      <w:keepNext/>
      <w:numPr>
        <w:numId w:val="4"/>
      </w:numPr>
      <w:ind w:left="504"/>
      <w:outlineLvl w:val="0"/>
    </w:pPr>
    <w:rPr>
      <w:rFonts w:ascii="Courier New" w:hAnsi="Courier New"/>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paragraph" w:styleId="BalloonText">
    <w:name w:val="Balloon Text"/>
    <w:basedOn w:val="Normal"/>
    <w:semiHidden/>
    <w:rsid w:val="003E0A6F"/>
    <w:rPr>
      <w:rFonts w:ascii="Tahoma" w:hAnsi="Tahoma" w:cs="Tahoma"/>
      <w:sz w:val="16"/>
      <w:szCs w:val="16"/>
    </w:rPr>
  </w:style>
  <w:style w:type="character" w:styleId="CommentReference">
    <w:name w:val="annotation reference"/>
    <w:rsid w:val="005255C7"/>
    <w:rPr>
      <w:sz w:val="16"/>
      <w:szCs w:val="16"/>
    </w:rPr>
  </w:style>
  <w:style w:type="paragraph" w:styleId="CommentText">
    <w:name w:val="annotation text"/>
    <w:basedOn w:val="Normal"/>
    <w:link w:val="CommentTextChar"/>
    <w:rsid w:val="005255C7"/>
    <w:rPr>
      <w:sz w:val="20"/>
      <w:szCs w:val="20"/>
    </w:rPr>
  </w:style>
  <w:style w:type="character" w:customStyle="1" w:styleId="CommentTextChar">
    <w:name w:val="Comment Text Char"/>
    <w:link w:val="CommentText"/>
    <w:rsid w:val="005255C7"/>
    <w:rPr>
      <w:rFonts w:ascii="Courier" w:hAnsi="Courier"/>
    </w:rPr>
  </w:style>
  <w:style w:type="paragraph" w:styleId="CommentSubject">
    <w:name w:val="annotation subject"/>
    <w:basedOn w:val="CommentText"/>
    <w:next w:val="CommentText"/>
    <w:link w:val="CommentSubjectChar"/>
    <w:rsid w:val="005255C7"/>
    <w:rPr>
      <w:b/>
      <w:bCs/>
    </w:rPr>
  </w:style>
  <w:style w:type="character" w:customStyle="1" w:styleId="CommentSubjectChar">
    <w:name w:val="Comment Subject Char"/>
    <w:link w:val="CommentSubject"/>
    <w:rsid w:val="005255C7"/>
    <w:rPr>
      <w:rFonts w:ascii="Courier" w:hAnsi="Courier"/>
      <w:b/>
      <w:bCs/>
    </w:rPr>
  </w:style>
  <w:style w:type="table" w:styleId="TableGrid">
    <w:name w:val="Table Grid"/>
    <w:basedOn w:val="TableNormal"/>
    <w:rsid w:val="0052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255C7"/>
    <w:rPr>
      <w:rFonts w:ascii="Courier New" w:eastAsia="Times New Roman" w:hAnsi="Courier New" w:cs="Times New Roman"/>
      <w:b/>
      <w:bCs/>
      <w:kern w:val="32"/>
      <w:sz w:val="24"/>
      <w:szCs w:val="32"/>
      <w:u w:val="single"/>
    </w:rPr>
  </w:style>
  <w:style w:type="character" w:styleId="Hyperlink">
    <w:name w:val="Hyperlink"/>
    <w:rsid w:val="00143F8A"/>
    <w:rPr>
      <w:color w:val="0000FF"/>
      <w:u w:val="single"/>
    </w:rPr>
  </w:style>
  <w:style w:type="character" w:styleId="Strong">
    <w:name w:val="Strong"/>
    <w:qFormat/>
    <w:rsid w:val="007005AF"/>
    <w:rPr>
      <w:b/>
      <w:bCs/>
    </w:rPr>
  </w:style>
  <w:style w:type="character" w:styleId="FollowedHyperlink">
    <w:name w:val="FollowedHyperlink"/>
    <w:rsid w:val="00CA124E"/>
    <w:rPr>
      <w:color w:val="954F72"/>
      <w:u w:val="single"/>
    </w:rPr>
  </w:style>
  <w:style w:type="paragraph" w:styleId="Revision">
    <w:name w:val="Revision"/>
    <w:hidden/>
    <w:uiPriority w:val="99"/>
    <w:semiHidden/>
    <w:rsid w:val="0098406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#1545-0495 supporting statement</vt:lpstr>
    </vt:vector>
  </TitlesOfParts>
  <Company>Department of the Treasury</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#1545-0495 supporting statement</dc:title>
  <dc:creator>Internal Revenue Service</dc:creator>
  <dc:description>ICR reference number: 201512-1545-008</dc:description>
  <cp:lastModifiedBy>Jon R. Callahan</cp:lastModifiedBy>
  <cp:revision>2</cp:revision>
  <cp:lastPrinted>2006-05-18T18:14:00Z</cp:lastPrinted>
  <dcterms:created xsi:type="dcterms:W3CDTF">2025-04-02T14:38:00Z</dcterms:created>
  <dcterms:modified xsi:type="dcterms:W3CDTF">2025-04-02T14:38:00Z</dcterms:modified>
</cp:coreProperties>
</file>