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3936" w:rsidRPr="00846F61" w:rsidP="00D53936" w14:paraId="69124109" w14:textId="77777777">
      <w:pPr>
        <w:jc w:val="center"/>
      </w:pPr>
      <w:r w:rsidRPr="00846F61">
        <w:t xml:space="preserve">Supporting Statement </w:t>
      </w:r>
    </w:p>
    <w:p w:rsidR="00D53936" w:rsidRPr="00846F61" w:rsidP="00D53936" w14:paraId="7C55ED54" w14:textId="77777777">
      <w:pPr>
        <w:jc w:val="center"/>
      </w:pPr>
      <w:r w:rsidRPr="00846F61">
        <w:t>Community Development Financial Institutions Program</w:t>
      </w:r>
    </w:p>
    <w:p w:rsidR="00D53936" w:rsidRPr="00846F61" w:rsidP="00D53936" w14:paraId="077EA169" w14:textId="764FD1FB">
      <w:pPr>
        <w:jc w:val="center"/>
      </w:pPr>
      <w:bookmarkStart w:id="0" w:name="_Hlk186120109"/>
      <w:r w:rsidRPr="00846F61">
        <w:t>CDFI/NACA Program Award Recipient and NMTC Allocatee Annual Report</w:t>
      </w:r>
      <w:r w:rsidRPr="005C5A17" w:rsidR="00397755">
        <w:t xml:space="preserve"> </w:t>
      </w:r>
      <w:r w:rsidR="003E4B82">
        <w:br/>
      </w:r>
      <w:r w:rsidRPr="005C5A17" w:rsidR="00397755">
        <w:t>including CDFI ERP</w:t>
      </w:r>
    </w:p>
    <w:p w:rsidR="00D53936" w:rsidRPr="00846F61" w:rsidP="00D53936" w14:paraId="2002F038" w14:textId="77777777">
      <w:pPr>
        <w:jc w:val="center"/>
      </w:pPr>
      <w:r w:rsidRPr="00846F61">
        <w:t>OMB Approval Number 1559-0027</w:t>
      </w:r>
      <w:bookmarkEnd w:id="0"/>
    </w:p>
    <w:p w:rsidR="00D53936" w:rsidRPr="00846F61" w:rsidP="00D53936" w14:paraId="2BC65B3A" w14:textId="77777777"/>
    <w:p w:rsidR="00D53936" w:rsidRPr="00846F61" w:rsidP="00D53936" w14:paraId="73A69376" w14:textId="6B84F91F">
      <w:pPr>
        <w:pStyle w:val="Heading1"/>
      </w:pPr>
      <w:r w:rsidRPr="00846F61">
        <w:t>A</w:t>
      </w:r>
      <w:r w:rsidR="003E4B82">
        <w:t xml:space="preserve">. </w:t>
      </w:r>
      <w:r w:rsidRPr="00846F61">
        <w:t>Justification</w:t>
      </w:r>
    </w:p>
    <w:p w:rsidR="00D53936" w:rsidRPr="00846F61" w:rsidP="00D53936" w14:paraId="58741C70" w14:textId="77777777"/>
    <w:p w:rsidR="00D53936" w:rsidRPr="00846F61" w:rsidP="00D53936" w14:paraId="7973D737" w14:textId="3C6B138E">
      <w:r w:rsidRPr="00846F61">
        <w:rPr>
          <w:u w:val="single"/>
        </w:rPr>
        <w:t>1</w:t>
      </w:r>
      <w:r w:rsidR="003E4B82">
        <w:rPr>
          <w:u w:val="single"/>
        </w:rPr>
        <w:t xml:space="preserve">. </w:t>
      </w:r>
      <w:r w:rsidRPr="00846F61">
        <w:rPr>
          <w:u w:val="single"/>
        </w:rPr>
        <w:t>Circumstances necessitating collection of information</w:t>
      </w:r>
    </w:p>
    <w:p w:rsidR="00D53936" w:rsidP="00D53936" w14:paraId="6C1453B6" w14:textId="6F12C21A">
      <w:pPr>
        <w:rPr>
          <w:rFonts w:eastAsia="Calibri"/>
          <w:szCs w:val="24"/>
        </w:rPr>
      </w:pPr>
      <w:r w:rsidRPr="00846F61">
        <w:t>The Community Development Financial Institutions Program</w:t>
      </w:r>
      <w:r w:rsidR="00A10F9E">
        <w:t xml:space="preserve"> (CDFI Program)</w:t>
      </w:r>
      <w:r w:rsidRPr="00846F61">
        <w:t xml:space="preserve"> provides financial and technical assistance to selected organizations certified by the C</w:t>
      </w:r>
      <w:r w:rsidR="00A10F9E">
        <w:t xml:space="preserve">ommunity </w:t>
      </w:r>
      <w:r w:rsidRPr="00846F61">
        <w:t>D</w:t>
      </w:r>
      <w:r w:rsidR="00A10F9E">
        <w:t xml:space="preserve">evelopment </w:t>
      </w:r>
      <w:r w:rsidRPr="00846F61">
        <w:t>F</w:t>
      </w:r>
      <w:r w:rsidR="00A10F9E">
        <w:t xml:space="preserve">inancial </w:t>
      </w:r>
      <w:r w:rsidRPr="00846F61">
        <w:t>I</w:t>
      </w:r>
      <w:r w:rsidR="00A10F9E">
        <w:t>nstitutions</w:t>
      </w:r>
      <w:r w:rsidRPr="00846F61">
        <w:t xml:space="preserve"> Fund </w:t>
      </w:r>
      <w:r w:rsidR="00A10F9E">
        <w:t xml:space="preserve">(CDFI Fund) </w:t>
      </w:r>
      <w:r w:rsidRPr="00846F61">
        <w:t>as C</w:t>
      </w:r>
      <w:r w:rsidR="00A10F9E">
        <w:t xml:space="preserve">ommunity </w:t>
      </w:r>
      <w:r w:rsidRPr="00846F61">
        <w:t>D</w:t>
      </w:r>
      <w:r w:rsidR="00A10F9E">
        <w:t xml:space="preserve">evelopment </w:t>
      </w:r>
      <w:r w:rsidRPr="00846F61">
        <w:t>F</w:t>
      </w:r>
      <w:r w:rsidR="00A10F9E">
        <w:t xml:space="preserve">inancial </w:t>
      </w:r>
      <w:r w:rsidRPr="00846F61" w:rsidR="00A10F9E">
        <w:t>I</w:t>
      </w:r>
      <w:r w:rsidR="00A10F9E">
        <w:t>nstitutions (CDFI</w:t>
      </w:r>
      <w:r w:rsidR="003E4B82">
        <w:t>s</w:t>
      </w:r>
      <w:r w:rsidR="00A10F9E">
        <w:t>)</w:t>
      </w:r>
      <w:r w:rsidRPr="00846F61">
        <w:t xml:space="preserve">, or entities that propose to become CDFIs, </w:t>
      </w:r>
      <w:r w:rsidRPr="00846F61">
        <w:t>in order to</w:t>
      </w:r>
      <w:r w:rsidRPr="00846F61">
        <w:t xml:space="preserve"> enhance their ability to make loans and investments and provide services for the benefit of </w:t>
      </w:r>
      <w:r w:rsidR="0026186D">
        <w:t xml:space="preserve">their </w:t>
      </w:r>
      <w:r w:rsidRPr="00846F61">
        <w:t>designated investment areas and targeted populations</w:t>
      </w:r>
      <w:r w:rsidR="003E4B82">
        <w:t xml:space="preserve">. </w:t>
      </w:r>
      <w:r w:rsidRPr="00846F61" w:rsidR="00402CD1">
        <w:t>T</w:t>
      </w:r>
      <w:r w:rsidRPr="00846F61">
        <w:t xml:space="preserve">hese </w:t>
      </w:r>
      <w:r w:rsidRPr="00846F61" w:rsidR="00402CD1">
        <w:t xml:space="preserve">organizations </w:t>
      </w:r>
      <w:r w:rsidRPr="00846F61">
        <w:t xml:space="preserve">also include selected Native American organizations certified by the CDFI Fund as CDFIs, or entities that propose to become CDFIs, </w:t>
      </w:r>
      <w:r w:rsidRPr="00846F61">
        <w:t>in order to</w:t>
      </w:r>
      <w:r w:rsidRPr="00846F61">
        <w:t xml:space="preserve"> enhance their ability to make loans and investments and provide services for the benefit of Native American communities and individual Native Americans through the Native American CDFI Assistance Program (NACA Program). Based on an </w:t>
      </w:r>
      <w:r w:rsidR="0094177A">
        <w:t>A</w:t>
      </w:r>
      <w:r w:rsidRPr="00846F61">
        <w:t xml:space="preserve">ssistance </w:t>
      </w:r>
      <w:r w:rsidR="0094177A">
        <w:t>A</w:t>
      </w:r>
      <w:r w:rsidRPr="00846F61">
        <w:t>greement between each Financial Award (FA) Recipient and the CDFI Fund, the CDFI/NACA</w:t>
      </w:r>
      <w:r w:rsidR="003E4B82">
        <w:t xml:space="preserve"> Program</w:t>
      </w:r>
      <w:r w:rsidRPr="00846F61">
        <w:t xml:space="preserve"> Transaction Level Report (TLR) is used to collect information for compliance monitoring</w:t>
      </w:r>
      <w:r w:rsidR="00AF72EB">
        <w:t xml:space="preserve"> and</w:t>
      </w:r>
      <w:r w:rsidRPr="00846F61">
        <w:t xml:space="preserve"> performance reporting. The annual report provides qualitative and quantitative information on the </w:t>
      </w:r>
      <w:r w:rsidR="00AF72EB">
        <w:t xml:space="preserve">FA </w:t>
      </w:r>
      <w:r w:rsidRPr="00846F61">
        <w:t xml:space="preserve">Recipient’s compliance with its performance goals </w:t>
      </w:r>
      <w:r w:rsidR="00AF72EB">
        <w:t>during</w:t>
      </w:r>
      <w:r w:rsidRPr="00846F61">
        <w:t xml:space="preserve"> the period of performance in which the CDFI Fund’s financial assistance was used. The CDFI/NACA TLR is submitted via the</w:t>
      </w:r>
      <w:r w:rsidRPr="00846F61">
        <w:rPr>
          <w:rFonts w:eastAsia="Calibri"/>
          <w:szCs w:val="24"/>
        </w:rPr>
        <w:t xml:space="preserve"> CDFI Fund’s Awards Management Information System (AMIS) once a year, six (6) months after </w:t>
      </w:r>
      <w:r w:rsidRPr="00846F61" w:rsidR="00402CD1">
        <w:rPr>
          <w:rFonts w:eastAsia="Calibri"/>
          <w:szCs w:val="24"/>
        </w:rPr>
        <w:t>a Recipient’s</w:t>
      </w:r>
      <w:r w:rsidRPr="00846F61">
        <w:rPr>
          <w:rFonts w:eastAsia="Calibri"/>
          <w:szCs w:val="24"/>
        </w:rPr>
        <w:t xml:space="preserve"> fiscal year end.</w:t>
      </w:r>
      <w:r w:rsidRPr="00846F61" w:rsidR="00717A97">
        <w:rPr>
          <w:rFonts w:eastAsia="Calibri"/>
          <w:szCs w:val="24"/>
        </w:rPr>
        <w:t xml:space="preserve"> </w:t>
      </w:r>
    </w:p>
    <w:p w:rsidR="00233004" w:rsidP="00D53936" w14:paraId="6C39DAE4" w14:textId="77777777">
      <w:pPr>
        <w:rPr>
          <w:rFonts w:eastAsia="Calibri"/>
          <w:szCs w:val="24"/>
        </w:rPr>
      </w:pPr>
    </w:p>
    <w:p w:rsidR="00233004" w:rsidP="00233004" w14:paraId="1D217B04" w14:textId="77777777">
      <w:pPr>
        <w:rPr>
          <w:rFonts w:eastAsia="Calibri"/>
          <w:szCs w:val="24"/>
        </w:rPr>
      </w:pPr>
      <w:r>
        <w:t>The legislation that created the New Markets Tax Credit (NMTC) Program, administered by the CDFI Fund in coordination with the Internal Revenue Service (IRS), requires the collection of data from Community Development Entities (CDEs) that receive allocations of NMTC authority. NMTC Program Allocatees enter into Allocation Agreements with the CDFI Fund, which contain the terms and conditions of their NMTC allocations, including submission of an annual report comprised of the Allocatee Institution Level Report (ILR) and the Allocatee Transaction Level Report (TLR). These reports provide qualitative and quantitative information on the Allocatee’s compliance and performance commitments with its Allocation Agreement, adherence to IRS regulations (section 45D of the Internal Revenue Code (26 USC 45D)), community impact data and its financial health. The NMTC ILR and NMTC TLR are submitted via the</w:t>
      </w:r>
      <w:r w:rsidRPr="00A42EE9">
        <w:rPr>
          <w:rFonts w:eastAsia="Calibri"/>
          <w:szCs w:val="24"/>
        </w:rPr>
        <w:t xml:space="preserve"> CDFI Fund’s Awards Management Information System (AMIS) </w:t>
      </w:r>
      <w:r>
        <w:rPr>
          <w:rFonts w:eastAsia="Calibri"/>
          <w:szCs w:val="24"/>
        </w:rPr>
        <w:t xml:space="preserve">on annual basis </w:t>
      </w:r>
      <w:r w:rsidRPr="0033510C">
        <w:rPr>
          <w:rFonts w:eastAsia="Calibri"/>
          <w:szCs w:val="24"/>
        </w:rPr>
        <w:t>no later than 180 calendar days after the end of the Allocatee’s fiscal year in which the Allocatee or its Subsidiary Allocatee(s) makes its first QLICI and each fiscal year thereafter</w:t>
      </w:r>
      <w:r>
        <w:rPr>
          <w:rFonts w:eastAsia="Calibri"/>
          <w:szCs w:val="24"/>
        </w:rPr>
        <w:t>.</w:t>
      </w:r>
    </w:p>
    <w:p w:rsidR="00D53936" w:rsidRPr="00846F61" w:rsidP="00D53936" w14:paraId="62DC5B56" w14:textId="0BF713B0"/>
    <w:p w:rsidR="00C20314" w:rsidRPr="00846F61" w:rsidP="00D53936" w14:paraId="12326A04" w14:textId="510C97D8">
      <w:r>
        <w:t>In</w:t>
      </w:r>
      <w:r w:rsidR="00FA4E3B">
        <w:t xml:space="preserve"> 2023, t</w:t>
      </w:r>
      <w:r w:rsidRPr="00846F61">
        <w:t>he CDFI Fund</w:t>
      </w:r>
      <w:r w:rsidR="00E4338E">
        <w:t xml:space="preserve"> </w:t>
      </w:r>
      <w:r>
        <w:t>made award</w:t>
      </w:r>
      <w:r w:rsidR="00E540D7">
        <w:t>s</w:t>
      </w:r>
      <w:r>
        <w:t xml:space="preserve"> under </w:t>
      </w:r>
      <w:r w:rsidRPr="00846F61">
        <w:t>the CDFI Equitable Recovery Program (CDFI ERP)</w:t>
      </w:r>
      <w:r w:rsidR="003E4B82">
        <w:t>,</w:t>
      </w:r>
      <w:r w:rsidRPr="00846F61">
        <w:t xml:space="preserve"> which was </w:t>
      </w:r>
      <w:r>
        <w:t xml:space="preserve">a new program </w:t>
      </w:r>
      <w:r w:rsidRPr="00846F61">
        <w:t xml:space="preserve">authorized by Congress under the Consolidated Appropriations Act, </w:t>
      </w:r>
      <w:r w:rsidRPr="00846F61">
        <w:rPr>
          <w:szCs w:val="24"/>
        </w:rPr>
        <w:t>2021 (</w:t>
      </w:r>
      <w:r w:rsidRPr="008E3BAE">
        <w:rPr>
          <w:color w:val="000000"/>
          <w:szCs w:val="24"/>
          <w:shd w:val="clear" w:color="auto" w:fill="FFFFFF"/>
        </w:rPr>
        <w:t>Act; Section 523 of Division N; Pub. L. 116-260</w:t>
      </w:r>
      <w:r w:rsidR="00846F61">
        <w:rPr>
          <w:szCs w:val="24"/>
        </w:rPr>
        <w:t>)</w:t>
      </w:r>
      <w:r w:rsidRPr="00846F61">
        <w:rPr>
          <w:szCs w:val="24"/>
        </w:rPr>
        <w:t>.</w:t>
      </w:r>
      <w:r w:rsidRPr="00846F61">
        <w:t xml:space="preserve"> The </w:t>
      </w:r>
      <w:r>
        <w:t>CDFI ERP</w:t>
      </w:r>
      <w:r w:rsidRPr="00846F61">
        <w:t xml:space="preserve"> </w:t>
      </w:r>
      <w:r w:rsidRPr="00846F61">
        <w:t xml:space="preserve">was designed to award CDFIs grants to respond to the economic impacts of the COVID-19 pandemic. Awards provided to CDFIs </w:t>
      </w:r>
      <w:r w:rsidR="0026186D">
        <w:t>were:</w:t>
      </w:r>
      <w:r w:rsidRPr="00846F61">
        <w:t xml:space="preserve"> </w:t>
      </w:r>
      <w:r w:rsidR="0026186D">
        <w:t xml:space="preserve">(1) </w:t>
      </w:r>
      <w:r w:rsidRPr="00846F61">
        <w:t xml:space="preserve">to expand lending, grant making, and investment activity in low- or moderate-income communities and to borrowers, including minorities, that have significant </w:t>
      </w:r>
      <w:r w:rsidRPr="00846F61">
        <w:t>unmet capital or financial service needs and were disproportionately impacted by the COVID-19 pandemic</w:t>
      </w:r>
      <w:r w:rsidR="0026186D">
        <w:t>;</w:t>
      </w:r>
      <w:r w:rsidRPr="00846F61">
        <w:t xml:space="preserve"> and </w:t>
      </w:r>
      <w:r w:rsidR="0026186D">
        <w:t xml:space="preserve">(2) </w:t>
      </w:r>
      <w:r w:rsidRPr="00846F61">
        <w:t xml:space="preserve">to enable CDFIs to build organizational capacity and acquire technology, staff and other tools necessary to accomplish the activities under a CDFI ERP Award. In April 2023, the CDFI Fund awarded over $1.73 billion in grants to 604 CDFIs. </w:t>
      </w:r>
    </w:p>
    <w:p w:rsidR="00C20314" w:rsidRPr="00846F61" w:rsidP="00D53936" w14:paraId="2D52983B" w14:textId="77777777"/>
    <w:p w:rsidR="00C20314" w:rsidRPr="00846F61" w:rsidP="00D53936" w14:paraId="6204843C" w14:textId="2B81178B">
      <w:r w:rsidRPr="00846F61">
        <w:t xml:space="preserve">Based on an </w:t>
      </w:r>
      <w:r w:rsidR="0094177A">
        <w:t>A</w:t>
      </w:r>
      <w:r w:rsidRPr="00846F61">
        <w:t xml:space="preserve">ssistance </w:t>
      </w:r>
      <w:r w:rsidR="0094177A">
        <w:t>A</w:t>
      </w:r>
      <w:r w:rsidRPr="00846F61">
        <w:t>greement between each CDFI ERP Recipient and the CDFI Fund,</w:t>
      </w:r>
      <w:r w:rsidRPr="00846F61" w:rsidR="003C56C8">
        <w:t xml:space="preserve"> CDFI ERP Recipients will be required to complete the existing CDFI/NACA</w:t>
      </w:r>
      <w:r w:rsidRPr="00846F61">
        <w:t xml:space="preserve"> TLR </w:t>
      </w:r>
      <w:r w:rsidRPr="00846F61" w:rsidR="003C56C8">
        <w:t>for the</w:t>
      </w:r>
      <w:r w:rsidRPr="00846F61">
        <w:t xml:space="preserve"> collect</w:t>
      </w:r>
      <w:r w:rsidRPr="00846F61" w:rsidR="003C56C8">
        <w:t xml:space="preserve">ion of </w:t>
      </w:r>
      <w:r w:rsidRPr="00846F61">
        <w:t>information</w:t>
      </w:r>
      <w:r w:rsidRPr="00846F61" w:rsidR="003C56C8">
        <w:t xml:space="preserve"> used</w:t>
      </w:r>
      <w:r w:rsidRPr="00846F61">
        <w:t xml:space="preserve"> for compliance monitoring</w:t>
      </w:r>
      <w:r w:rsidR="00AF72EB">
        <w:t xml:space="preserve"> and </w:t>
      </w:r>
      <w:r w:rsidRPr="00846F61">
        <w:t>performance reporting purposes</w:t>
      </w:r>
      <w:r w:rsidR="00FA4E3B">
        <w:t xml:space="preserve"> until the end of the performance period</w:t>
      </w:r>
      <w:r w:rsidRPr="00846F61">
        <w:t xml:space="preserve">. </w:t>
      </w:r>
      <w:r w:rsidR="003E4B82">
        <w:t xml:space="preserve">Because </w:t>
      </w:r>
      <w:r w:rsidRPr="00846F61" w:rsidR="003C56C8">
        <w:t xml:space="preserve">the </w:t>
      </w:r>
      <w:r w:rsidR="00107020">
        <w:t>objectives</w:t>
      </w:r>
      <w:r w:rsidRPr="00846F61" w:rsidR="00107020">
        <w:t xml:space="preserve"> </w:t>
      </w:r>
      <w:r w:rsidRPr="00846F61" w:rsidR="003C56C8">
        <w:t xml:space="preserve">of the CDFI ERP Program differ from the existing CDFI and NACA </w:t>
      </w:r>
      <w:r w:rsidR="003707EE">
        <w:t>P</w:t>
      </w:r>
      <w:r w:rsidRPr="00846F61" w:rsidR="003C56C8">
        <w:t xml:space="preserve">rograms, the CDFI Fund needs to add additional data fields to the TLR for CDFI ERP </w:t>
      </w:r>
      <w:r w:rsidR="003707EE">
        <w:t>R</w:t>
      </w:r>
      <w:r w:rsidRPr="00846F61" w:rsidR="003C56C8">
        <w:t>ecipients to complete</w:t>
      </w:r>
      <w:r w:rsidR="003E4B82">
        <w:t>,</w:t>
      </w:r>
      <w:r w:rsidRPr="00846F61" w:rsidR="003C56C8">
        <w:t xml:space="preserve"> as well as create a reporting form to capture </w:t>
      </w:r>
      <w:r w:rsidR="003E4B82">
        <w:t xml:space="preserve">CDFI ERP-eligible </w:t>
      </w:r>
      <w:r w:rsidRPr="00846F61" w:rsidR="003C56C8">
        <w:t xml:space="preserve">activities </w:t>
      </w:r>
      <w:r w:rsidR="003E4B82">
        <w:t>that are</w:t>
      </w:r>
      <w:r w:rsidRPr="00846F61" w:rsidR="003C56C8">
        <w:t xml:space="preserve"> not </w:t>
      </w:r>
      <w:r w:rsidR="003E4B82">
        <w:t xml:space="preserve">eligible under </w:t>
      </w:r>
      <w:r w:rsidRPr="00846F61" w:rsidR="003C56C8">
        <w:t xml:space="preserve">the CDFI and NACA </w:t>
      </w:r>
      <w:r w:rsidR="003707EE">
        <w:t>P</w:t>
      </w:r>
      <w:r w:rsidRPr="00846F61" w:rsidR="003C56C8">
        <w:t>rograms</w:t>
      </w:r>
      <w:r w:rsidR="00107020">
        <w:t xml:space="preserve"> (i.e. the provision of grants)</w:t>
      </w:r>
      <w:r w:rsidRPr="00846F61" w:rsidR="003C56C8">
        <w:t xml:space="preserve">. </w:t>
      </w:r>
      <w:r w:rsidRPr="00846F61" w:rsidR="00D008FC">
        <w:t xml:space="preserve">CDFI ERP Recipients will follow the same </w:t>
      </w:r>
      <w:r w:rsidR="003E4B82">
        <w:t xml:space="preserve">annual </w:t>
      </w:r>
      <w:r w:rsidRPr="00846F61" w:rsidR="00D008FC">
        <w:t xml:space="preserve">TLR submission schedule </w:t>
      </w:r>
      <w:r w:rsidR="003E4B82">
        <w:t>as</w:t>
      </w:r>
      <w:r w:rsidRPr="00846F61" w:rsidR="00D008FC">
        <w:t xml:space="preserve"> </w:t>
      </w:r>
      <w:r w:rsidRPr="00846F61">
        <w:t>CDFI/NACA</w:t>
      </w:r>
      <w:r w:rsidR="003E4B82">
        <w:t xml:space="preserve"> Program</w:t>
      </w:r>
      <w:r w:rsidRPr="00846F61" w:rsidR="00D008FC">
        <w:t xml:space="preserve"> Recipients</w:t>
      </w:r>
      <w:r w:rsidR="003E4B82">
        <w:t>,</w:t>
      </w:r>
      <w:r w:rsidRPr="00846F61" w:rsidR="00D008FC">
        <w:t xml:space="preserve"> which is </w:t>
      </w:r>
      <w:r w:rsidRPr="00846F61">
        <w:rPr>
          <w:rFonts w:eastAsia="Calibri"/>
          <w:szCs w:val="24"/>
        </w:rPr>
        <w:t>six (6) months after a Recipient’s fiscal year end</w:t>
      </w:r>
      <w:r w:rsidRPr="00846F61" w:rsidR="00D008FC">
        <w:rPr>
          <w:rFonts w:eastAsia="Calibri"/>
          <w:szCs w:val="24"/>
        </w:rPr>
        <w:t xml:space="preserve"> </w:t>
      </w:r>
      <w:r w:rsidRPr="00846F61" w:rsidR="00D008FC">
        <w:t xml:space="preserve">via </w:t>
      </w:r>
      <w:r w:rsidR="003707EE">
        <w:rPr>
          <w:rFonts w:eastAsia="Calibri"/>
          <w:szCs w:val="24"/>
        </w:rPr>
        <w:t>AMIS</w:t>
      </w:r>
      <w:r w:rsidRPr="00846F61">
        <w:rPr>
          <w:rFonts w:eastAsia="Calibri"/>
          <w:szCs w:val="24"/>
        </w:rPr>
        <w:t>.</w:t>
      </w:r>
      <w:r w:rsidRPr="00846F61" w:rsidR="008F6980">
        <w:rPr>
          <w:rFonts w:eastAsia="Calibri"/>
          <w:szCs w:val="24"/>
        </w:rPr>
        <w:t xml:space="preserve"> CDFI/NACA</w:t>
      </w:r>
      <w:r w:rsidR="003E4B82">
        <w:rPr>
          <w:rFonts w:eastAsia="Calibri"/>
          <w:szCs w:val="24"/>
        </w:rPr>
        <w:t xml:space="preserve"> Program</w:t>
      </w:r>
      <w:r w:rsidRPr="00846F61" w:rsidR="008F6980">
        <w:rPr>
          <w:rFonts w:eastAsia="Calibri"/>
          <w:szCs w:val="24"/>
        </w:rPr>
        <w:t xml:space="preserve"> Recipients who are also CDFI ERP Recipients will only submit one TLR per year.</w:t>
      </w:r>
    </w:p>
    <w:p w:rsidR="00C20314" w:rsidRPr="00846F61" w:rsidP="00D53936" w14:paraId="5EE3D539" w14:textId="77777777"/>
    <w:p w:rsidR="00D53936" w:rsidRPr="00846F61" w:rsidP="00D53936" w14:paraId="79C9865D" w14:textId="4D62E608">
      <w:r w:rsidRPr="00846F61">
        <w:t xml:space="preserve">In August 2024, the CDFI Fund requested public comment on the proposed revisions to the CDFI/NACA </w:t>
      </w:r>
      <w:r w:rsidR="003E4B82">
        <w:t xml:space="preserve">Program </w:t>
      </w:r>
      <w:r w:rsidRPr="00846F61">
        <w:t>TLR</w:t>
      </w:r>
      <w:r w:rsidR="00E4338E">
        <w:t>,</w:t>
      </w:r>
      <w:r w:rsidRPr="00846F61">
        <w:t xml:space="preserve"> as well as the creation of the CDFI ERP </w:t>
      </w:r>
      <w:r w:rsidRPr="00846F61" w:rsidR="00293240">
        <w:t xml:space="preserve">Grant-Level Report (GLR). </w:t>
      </w:r>
      <w:r w:rsidRPr="00846F61">
        <w:t xml:space="preserve">The CDFI Fund received a total of </w:t>
      </w:r>
      <w:r w:rsidRPr="00846F61" w:rsidR="00110D92">
        <w:t>eighteen</w:t>
      </w:r>
      <w:r w:rsidRPr="00846F61">
        <w:t xml:space="preserve"> (</w:t>
      </w:r>
      <w:r w:rsidRPr="00846F61" w:rsidR="00110D92">
        <w:t>18</w:t>
      </w:r>
      <w:r w:rsidRPr="00846F61">
        <w:t xml:space="preserve">) comments from </w:t>
      </w:r>
      <w:r w:rsidRPr="00846F61" w:rsidR="00397755">
        <w:t xml:space="preserve">three </w:t>
      </w:r>
      <w:r w:rsidRPr="00846F61">
        <w:t>(</w:t>
      </w:r>
      <w:r w:rsidRPr="00846F61" w:rsidR="00397755">
        <w:t>3</w:t>
      </w:r>
      <w:r w:rsidRPr="00846F61">
        <w:t xml:space="preserve">) organizations on the </w:t>
      </w:r>
      <w:r w:rsidRPr="00846F61" w:rsidR="00397755">
        <w:t>CDFI ERP-related additions to the existing CDFI/NACA</w:t>
      </w:r>
      <w:r w:rsidR="003E4B82">
        <w:t xml:space="preserve"> Program</w:t>
      </w:r>
      <w:r w:rsidRPr="00846F61" w:rsidR="00397755">
        <w:t xml:space="preserve"> </w:t>
      </w:r>
      <w:r w:rsidR="003707EE">
        <w:t>TLR</w:t>
      </w:r>
      <w:r w:rsidRPr="00846F61">
        <w:t xml:space="preserve"> data collection. </w:t>
      </w:r>
      <w:r w:rsidRPr="00846F61" w:rsidR="00293240">
        <w:t>As a result of the comments received during the public comment period, no additional revisions were necessary to the existing CDFI/NACA</w:t>
      </w:r>
      <w:r w:rsidR="003E4B82">
        <w:t xml:space="preserve"> Program</w:t>
      </w:r>
      <w:r w:rsidRPr="00846F61" w:rsidR="00293240">
        <w:t xml:space="preserve"> TLR </w:t>
      </w:r>
      <w:r w:rsidRPr="00846F61" w:rsidR="00110D92">
        <w:t>and the new GLR beyond what the CDFI Fund has proposed.</w:t>
      </w:r>
      <w:r w:rsidRPr="00846F61">
        <w:t xml:space="preserve"> </w:t>
      </w:r>
    </w:p>
    <w:p w:rsidR="00D53936" w:rsidRPr="00846F61" w:rsidP="00D53936" w14:paraId="4334A76E" w14:textId="77777777"/>
    <w:p w:rsidR="00D53936" w:rsidRPr="00846F61" w:rsidP="00D53936" w14:paraId="5607F45C" w14:textId="2A8BACA5">
      <w:pPr>
        <w:rPr>
          <w:u w:val="single"/>
        </w:rPr>
      </w:pPr>
      <w:r w:rsidRPr="00846F61">
        <w:rPr>
          <w:u w:val="single"/>
        </w:rPr>
        <w:t>2</w:t>
      </w:r>
      <w:r w:rsidR="003E4B82">
        <w:rPr>
          <w:u w:val="single"/>
        </w:rPr>
        <w:t xml:space="preserve">. </w:t>
      </w:r>
      <w:r w:rsidRPr="00846F61">
        <w:rPr>
          <w:u w:val="single"/>
        </w:rPr>
        <w:t>Method of collection and use of data</w:t>
      </w:r>
    </w:p>
    <w:p w:rsidR="00D53936" w:rsidRPr="00846F61" w:rsidP="00D53936" w14:paraId="0A365F9E" w14:textId="0ADBE030">
      <w:r w:rsidRPr="00846F61">
        <w:t xml:space="preserve">The CDFI Fund collects this data on an annual basis electronically in AMIS according to the Recipient’s </w:t>
      </w:r>
      <w:r w:rsidR="00233004">
        <w:t xml:space="preserve">or Allocatee’s </w:t>
      </w:r>
      <w:r w:rsidRPr="00846F61">
        <w:t xml:space="preserve">fiscal year end. The annual report data will be used to determine a Recipient’s </w:t>
      </w:r>
      <w:r w:rsidR="00233004">
        <w:t xml:space="preserve">or Allocatee’s </w:t>
      </w:r>
      <w:r w:rsidRPr="00846F61">
        <w:t xml:space="preserve">compliance with the terms of its Assistance </w:t>
      </w:r>
      <w:r w:rsidR="00233004">
        <w:t xml:space="preserve">or Allocation </w:t>
      </w:r>
      <w:r w:rsidRPr="00846F61">
        <w:t>Agreement, respectively, as well as demonstrate impact of the programs.</w:t>
      </w:r>
    </w:p>
    <w:p w:rsidR="00D53936" w:rsidRPr="00846F61" w:rsidP="00D53936" w14:paraId="62FEDCFB" w14:textId="77777777">
      <w:pPr>
        <w:rPr>
          <w:u w:val="single"/>
        </w:rPr>
      </w:pPr>
    </w:p>
    <w:p w:rsidR="00D53936" w:rsidRPr="00846F61" w:rsidP="00D53936" w14:paraId="667065F1" w14:textId="0086EC80">
      <w:pPr>
        <w:jc w:val="both"/>
        <w:rPr>
          <w:u w:val="single"/>
        </w:rPr>
      </w:pPr>
      <w:r w:rsidRPr="00846F61">
        <w:rPr>
          <w:u w:val="single"/>
        </w:rPr>
        <w:t>3</w:t>
      </w:r>
      <w:r w:rsidR="003E4B82">
        <w:rPr>
          <w:u w:val="single"/>
        </w:rPr>
        <w:t xml:space="preserve">. </w:t>
      </w:r>
      <w:r w:rsidRPr="00846F61">
        <w:rPr>
          <w:u w:val="single"/>
        </w:rPr>
        <w:t>Use of Information Technology</w:t>
      </w:r>
    </w:p>
    <w:p w:rsidR="00D53936" w:rsidRPr="00846F61" w:rsidP="00D53936" w14:paraId="0103C9D0" w14:textId="32655A29">
      <w:pPr>
        <w:pStyle w:val="Header"/>
        <w:tabs>
          <w:tab w:val="clear" w:pos="4320"/>
          <w:tab w:val="clear" w:pos="8640"/>
        </w:tabs>
      </w:pPr>
      <w:r w:rsidRPr="00846F61">
        <w:t xml:space="preserve">The CDFI Fund will collect information electronically and/or use online collaboration tools to reduce </w:t>
      </w:r>
      <w:r w:rsidR="00F76745">
        <w:t xml:space="preserve">Recipients’ </w:t>
      </w:r>
      <w:r w:rsidRPr="00846F61">
        <w:t>burden. The</w:t>
      </w:r>
      <w:r w:rsidRPr="00846F61" w:rsidR="00110D92">
        <w:t xml:space="preserve"> updated</w:t>
      </w:r>
      <w:r w:rsidRPr="00846F61">
        <w:t xml:space="preserve"> CDFI/NACA</w:t>
      </w:r>
      <w:r w:rsidR="003E4B82">
        <w:t xml:space="preserve"> Program</w:t>
      </w:r>
      <w:r w:rsidRPr="00846F61">
        <w:t xml:space="preserve"> TLR module</w:t>
      </w:r>
      <w:r w:rsidR="00233004">
        <w:t xml:space="preserve">, </w:t>
      </w:r>
      <w:r w:rsidR="00233004">
        <w:t>NMTC ILR and TLR modules</w:t>
      </w:r>
      <w:r w:rsidRPr="00846F61">
        <w:t xml:space="preserve"> </w:t>
      </w:r>
      <w:r w:rsidRPr="00846F61" w:rsidR="00110D92">
        <w:t xml:space="preserve">and the GLR </w:t>
      </w:r>
      <w:r w:rsidRPr="00846F61">
        <w:t xml:space="preserve">will be made available on the CDFI Fund’s website, via a secure </w:t>
      </w:r>
      <w:r w:rsidR="00E4338E">
        <w:t>i</w:t>
      </w:r>
      <w:r w:rsidRPr="00846F61">
        <w:t>nternet portal that requires password entry. The CDFI Fund will only accept data using the electronic method(s) set forth in the CDFI/NACA</w:t>
      </w:r>
      <w:r w:rsidR="003E4B82">
        <w:t xml:space="preserve"> Program</w:t>
      </w:r>
      <w:r w:rsidRPr="00846F61">
        <w:t xml:space="preserve"> TLR</w:t>
      </w:r>
      <w:r w:rsidR="00233004">
        <w:t xml:space="preserve">, </w:t>
      </w:r>
      <w:r w:rsidR="00233004">
        <w:t xml:space="preserve">NMTC ILR and TLR </w:t>
      </w:r>
      <w:r w:rsidR="00233004">
        <w:t>modules</w:t>
      </w:r>
      <w:r w:rsidR="00233004">
        <w:t>and</w:t>
      </w:r>
      <w:r w:rsidR="00233004">
        <w:t xml:space="preserve"> </w:t>
      </w:r>
      <w:r w:rsidRPr="00846F61" w:rsidR="00110D92">
        <w:t>the GLR</w:t>
      </w:r>
      <w:r w:rsidRPr="00846F61">
        <w:t xml:space="preserve"> modules.</w:t>
      </w:r>
    </w:p>
    <w:p w:rsidR="00D53936" w:rsidRPr="00846F61" w:rsidP="00D53936" w14:paraId="0961DC53" w14:textId="77777777"/>
    <w:p w:rsidR="00D53936" w:rsidRPr="00846F61" w:rsidP="00D53936" w14:paraId="0A4E12A1" w14:textId="3CB81728">
      <w:pPr>
        <w:jc w:val="both"/>
        <w:rPr>
          <w:u w:val="single"/>
        </w:rPr>
      </w:pPr>
      <w:r w:rsidRPr="00846F61">
        <w:rPr>
          <w:u w:val="single"/>
        </w:rPr>
        <w:t>4</w:t>
      </w:r>
      <w:r w:rsidR="003E4B82">
        <w:rPr>
          <w:u w:val="single"/>
        </w:rPr>
        <w:t xml:space="preserve">. </w:t>
      </w:r>
      <w:r w:rsidRPr="00846F61">
        <w:rPr>
          <w:u w:val="single"/>
        </w:rPr>
        <w:t>Efforts to identify duplication</w:t>
      </w:r>
    </w:p>
    <w:p w:rsidR="00D53936" w:rsidRPr="00846F61" w:rsidP="00D53936" w14:paraId="702D6B7C" w14:textId="5D123AFB">
      <w:pPr>
        <w:rPr>
          <w:strike/>
        </w:rPr>
      </w:pPr>
      <w:r w:rsidRPr="00846F61">
        <w:t xml:space="preserve">The CDFI Fund has ensured no similar data is gathered or maintained by the CDFI Fund or available from other sources known to the CDFI Fund. All </w:t>
      </w:r>
      <w:r w:rsidR="00663FB2">
        <w:t xml:space="preserve">requested </w:t>
      </w:r>
      <w:r w:rsidRPr="00846F61">
        <w:t xml:space="preserve">information is required </w:t>
      </w:r>
      <w:r w:rsidRPr="00846F61">
        <w:t>in order to</w:t>
      </w:r>
      <w:r w:rsidRPr="00846F61">
        <w:t xml:space="preserve"> determine Recipient </w:t>
      </w:r>
      <w:r w:rsidR="006563F8">
        <w:t xml:space="preserve">or Allocatee </w:t>
      </w:r>
      <w:r w:rsidRPr="00846F61">
        <w:t xml:space="preserve">compliance with the requirements specified in </w:t>
      </w:r>
      <w:r w:rsidR="00E4338E">
        <w:t>its</w:t>
      </w:r>
      <w:r w:rsidRPr="00846F61">
        <w:t xml:space="preserve"> Assistance </w:t>
      </w:r>
      <w:r w:rsidR="006563F8">
        <w:t xml:space="preserve">or Allocation </w:t>
      </w:r>
      <w:r w:rsidRPr="00846F61">
        <w:t xml:space="preserve">Agreement. </w:t>
      </w:r>
    </w:p>
    <w:p w:rsidR="00D53936" w:rsidRPr="00846F61" w:rsidP="00D53936" w14:paraId="19817710" w14:textId="77777777"/>
    <w:p w:rsidR="00D53936" w:rsidRPr="00846F61" w:rsidP="00D53936" w14:paraId="16C15830" w14:textId="0CB49848">
      <w:pPr>
        <w:rPr>
          <w:u w:val="single"/>
        </w:rPr>
      </w:pPr>
      <w:r w:rsidRPr="00846F61">
        <w:rPr>
          <w:u w:val="single"/>
        </w:rPr>
        <w:t>5</w:t>
      </w:r>
      <w:r w:rsidR="003E4B82">
        <w:rPr>
          <w:u w:val="single"/>
        </w:rPr>
        <w:t xml:space="preserve">. </w:t>
      </w:r>
      <w:r w:rsidRPr="00846F61">
        <w:rPr>
          <w:u w:val="single"/>
        </w:rPr>
        <w:t>Impact on small entities</w:t>
      </w:r>
    </w:p>
    <w:p w:rsidR="00D53936" w:rsidRPr="00846F61" w:rsidP="00D53936" w14:paraId="1260E5D5" w14:textId="5AC65E4E">
      <w:pPr>
        <w:autoSpaceDE w:val="0"/>
        <w:autoSpaceDN w:val="0"/>
        <w:rPr>
          <w:sz w:val="22"/>
        </w:rPr>
      </w:pPr>
      <w:r w:rsidRPr="00846F61">
        <w:t xml:space="preserve">This collection of information is not expected to have a significant impact on small entities. </w:t>
      </w:r>
      <w:r w:rsidRPr="00846F61">
        <w:rPr>
          <w:szCs w:val="24"/>
        </w:rPr>
        <w:t>Entities that become</w:t>
      </w:r>
      <w:r w:rsidR="006563F8">
        <w:rPr>
          <w:szCs w:val="24"/>
        </w:rPr>
        <w:t xml:space="preserve"> CDFI Fund Allocatees or</w:t>
      </w:r>
      <w:r w:rsidRPr="00846F61">
        <w:rPr>
          <w:szCs w:val="24"/>
        </w:rPr>
        <w:t xml:space="preserve"> </w:t>
      </w:r>
      <w:r w:rsidR="0028767A">
        <w:rPr>
          <w:szCs w:val="24"/>
        </w:rPr>
        <w:t xml:space="preserve">FA </w:t>
      </w:r>
      <w:r w:rsidRPr="00846F61">
        <w:rPr>
          <w:szCs w:val="24"/>
        </w:rPr>
        <w:t xml:space="preserve">Recipients </w:t>
      </w:r>
      <w:r w:rsidR="0028767A">
        <w:rPr>
          <w:szCs w:val="24"/>
        </w:rPr>
        <w:t xml:space="preserve">through the CDFI/NACA Program and Recipients through </w:t>
      </w:r>
      <w:r w:rsidR="0028767A">
        <w:rPr>
          <w:szCs w:val="24"/>
        </w:rPr>
        <w:t xml:space="preserve">the CDFI ERP Program </w:t>
      </w:r>
      <w:r w:rsidRPr="00846F61">
        <w:rPr>
          <w:szCs w:val="24"/>
        </w:rPr>
        <w:t xml:space="preserve">must demonstrate significant management capacity to be selected for </w:t>
      </w:r>
      <w:r w:rsidR="0028767A">
        <w:rPr>
          <w:szCs w:val="24"/>
        </w:rPr>
        <w:t>these awards</w:t>
      </w:r>
      <w:r w:rsidR="006563F8">
        <w:rPr>
          <w:szCs w:val="24"/>
        </w:rPr>
        <w:t xml:space="preserve"> or allocations of NMTC authority</w:t>
      </w:r>
      <w:r w:rsidR="00E4338E">
        <w:rPr>
          <w:szCs w:val="24"/>
        </w:rPr>
        <w:t>,</w:t>
      </w:r>
      <w:r w:rsidR="0028767A">
        <w:rPr>
          <w:szCs w:val="24"/>
        </w:rPr>
        <w:t xml:space="preserve"> which </w:t>
      </w:r>
      <w:r w:rsidRPr="00846F61">
        <w:rPr>
          <w:szCs w:val="24"/>
        </w:rPr>
        <w:t>trigger the submission of the</w:t>
      </w:r>
      <w:r w:rsidR="0028767A">
        <w:rPr>
          <w:szCs w:val="24"/>
        </w:rPr>
        <w:t xml:space="preserve"> TLR</w:t>
      </w:r>
      <w:r w:rsidRPr="00846F61">
        <w:rPr>
          <w:szCs w:val="24"/>
        </w:rPr>
        <w:t xml:space="preserve"> reports.</w:t>
      </w:r>
    </w:p>
    <w:p w:rsidR="00D53936" w:rsidRPr="00846F61" w:rsidP="00D53936" w14:paraId="2A5DDF4B" w14:textId="77777777"/>
    <w:p w:rsidR="00D53936" w:rsidRPr="00846F61" w:rsidP="00D53936" w14:paraId="6E4BFB96" w14:textId="70F291C2">
      <w:pPr>
        <w:rPr>
          <w:u w:val="single"/>
        </w:rPr>
      </w:pPr>
      <w:r w:rsidRPr="00846F61">
        <w:rPr>
          <w:u w:val="single"/>
        </w:rPr>
        <w:t>6</w:t>
      </w:r>
      <w:r w:rsidR="003E4B82">
        <w:rPr>
          <w:u w:val="single"/>
        </w:rPr>
        <w:t xml:space="preserve">. </w:t>
      </w:r>
      <w:r w:rsidRPr="00846F61">
        <w:rPr>
          <w:u w:val="single"/>
        </w:rPr>
        <w:t>Consequences of less frequent collection and obstacles to burden reduction</w:t>
      </w:r>
    </w:p>
    <w:p w:rsidR="00D53936" w:rsidRPr="00846F61" w:rsidP="00D53936" w14:paraId="73FFA44C" w14:textId="0D86E15E">
      <w:r w:rsidRPr="00846F61">
        <w:t>The CDFI Fund cannot determine compliance with Assistance</w:t>
      </w:r>
      <w:r w:rsidR="006563F8">
        <w:t xml:space="preserve"> and Allocation</w:t>
      </w:r>
      <w:r w:rsidRPr="00846F61">
        <w:t xml:space="preserve"> Agreements or measure annual performance or perform program evaluation without this annual collection of data.</w:t>
      </w:r>
    </w:p>
    <w:p w:rsidR="00D53936" w:rsidRPr="00846F61" w:rsidP="00D53936" w14:paraId="314EECB9" w14:textId="77777777"/>
    <w:p w:rsidR="00D53936" w:rsidRPr="00846F61" w:rsidP="00D53936" w14:paraId="3BDC4B73" w14:textId="088E4852">
      <w:r w:rsidRPr="00846F61">
        <w:t xml:space="preserve">In addition, the </w:t>
      </w:r>
      <w:r w:rsidRPr="00846F61" w:rsidR="00733024">
        <w:t xml:space="preserve">transaction-level information collected through the </w:t>
      </w:r>
      <w:r w:rsidRPr="00846F61">
        <w:t xml:space="preserve">CDFI/NACA TLR </w:t>
      </w:r>
      <w:r w:rsidRPr="00846F61" w:rsidR="00733024">
        <w:t xml:space="preserve">on </w:t>
      </w:r>
      <w:r w:rsidR="00C65A17">
        <w:t xml:space="preserve">CDFI/NACA </w:t>
      </w:r>
      <w:r w:rsidRPr="00846F61" w:rsidR="00733024">
        <w:t xml:space="preserve">Award Recipients </w:t>
      </w:r>
      <w:r w:rsidRPr="00846F61">
        <w:t xml:space="preserve">will now be </w:t>
      </w:r>
      <w:r w:rsidRPr="00846F61" w:rsidR="00733024">
        <w:t xml:space="preserve">used as </w:t>
      </w:r>
      <w:r w:rsidRPr="00846F61">
        <w:t>part of the Certification of CDFIs (OMB Control Number 1559-0028) and their recertification (OMB Control Number 1559-0046)</w:t>
      </w:r>
      <w:r w:rsidRPr="00846F61" w:rsidR="00733024">
        <w:t xml:space="preserve">. </w:t>
      </w:r>
      <w:r w:rsidRPr="00846F61" w:rsidR="00717A97">
        <w:t>T</w:t>
      </w:r>
      <w:r w:rsidRPr="00846F61">
        <w:t xml:space="preserve">he </w:t>
      </w:r>
      <w:r w:rsidRPr="00846F61" w:rsidR="00733024">
        <w:t>transaction</w:t>
      </w:r>
      <w:r w:rsidRPr="00846F61" w:rsidR="00717A97">
        <w:t xml:space="preserve">s reported through the </w:t>
      </w:r>
      <w:r w:rsidRPr="00846F61">
        <w:t xml:space="preserve">CDFI/NACA </w:t>
      </w:r>
      <w:r w:rsidR="003E4B82">
        <w:t xml:space="preserve">Program </w:t>
      </w:r>
      <w:r w:rsidRPr="00846F61">
        <w:t xml:space="preserve">TLR will be used to measure </w:t>
      </w:r>
      <w:r w:rsidRPr="00846F61" w:rsidR="00AF3DAF">
        <w:t xml:space="preserve">the </w:t>
      </w:r>
      <w:r w:rsidRPr="00846F61">
        <w:t>Target Market activity</w:t>
      </w:r>
      <w:r w:rsidRPr="00846F61" w:rsidR="00AF3DAF">
        <w:t xml:space="preserve"> of </w:t>
      </w:r>
      <w:r w:rsidRPr="00846F61" w:rsidR="00717A97">
        <w:t xml:space="preserve">Certified CDFIs who </w:t>
      </w:r>
      <w:r w:rsidRPr="00846F61" w:rsidR="00717A97">
        <w:t>are CDFI/NACA</w:t>
      </w:r>
      <w:r w:rsidR="003E4B82">
        <w:t xml:space="preserve"> Program</w:t>
      </w:r>
      <w:r w:rsidRPr="00846F61" w:rsidR="00717A97">
        <w:t xml:space="preserve"> </w:t>
      </w:r>
      <w:r w:rsidRPr="00846F61" w:rsidR="00397755">
        <w:t xml:space="preserve">and CDFI ERP </w:t>
      </w:r>
      <w:r w:rsidR="005A0022">
        <w:t xml:space="preserve">Program </w:t>
      </w:r>
      <w:r w:rsidRPr="00846F61" w:rsidR="00717A97">
        <w:t>Award Recipients</w:t>
      </w:r>
      <w:r w:rsidRPr="00846F61">
        <w:t xml:space="preserve">. The CDFI Fund is statutorily required to have an </w:t>
      </w:r>
      <w:r w:rsidRPr="00846F61">
        <w:t>Application</w:t>
      </w:r>
      <w:r w:rsidRPr="00846F61">
        <w:t xml:space="preserve"> process for the Certification of CDFIs</w:t>
      </w:r>
      <w:r w:rsidR="003E4B82">
        <w:t>.</w:t>
      </w:r>
      <w:r w:rsidRPr="00846F61">
        <w:t xml:space="preserve"> CDFI Certification is a prerequisite for receiving CDFI/NACA </w:t>
      </w:r>
      <w:r w:rsidR="003E4B82">
        <w:t xml:space="preserve">Program </w:t>
      </w:r>
      <w:r w:rsidRPr="00846F61">
        <w:t xml:space="preserve">FA </w:t>
      </w:r>
      <w:r w:rsidRPr="00846F61" w:rsidR="00650E4F">
        <w:t xml:space="preserve">and CDFI ERP </w:t>
      </w:r>
      <w:r w:rsidR="005A0022">
        <w:t xml:space="preserve">Program </w:t>
      </w:r>
      <w:r w:rsidRPr="00846F61">
        <w:t xml:space="preserve">funding. </w:t>
      </w:r>
    </w:p>
    <w:p w:rsidR="00D53936" w:rsidRPr="00846F61" w:rsidP="00D53936" w14:paraId="0D47573E" w14:textId="77777777"/>
    <w:p w:rsidR="00D53936" w:rsidRPr="00846F61" w:rsidP="00D53936" w14:paraId="04EA9E8C" w14:textId="1E0D4B0F">
      <w:pPr>
        <w:rPr>
          <w:u w:val="single"/>
        </w:rPr>
      </w:pPr>
      <w:r w:rsidRPr="00846F61">
        <w:rPr>
          <w:u w:val="single"/>
        </w:rPr>
        <w:t>7</w:t>
      </w:r>
      <w:r w:rsidR="003E4B82">
        <w:rPr>
          <w:u w:val="single"/>
        </w:rPr>
        <w:t xml:space="preserve">. </w:t>
      </w:r>
      <w:r w:rsidRPr="00846F61">
        <w:rPr>
          <w:u w:val="single"/>
        </w:rPr>
        <w:t>Circumstances requiring special information collection</w:t>
      </w:r>
    </w:p>
    <w:p w:rsidR="00D53936" w:rsidRPr="00846F61" w:rsidP="00D53936" w14:paraId="37D11D1A" w14:textId="77777777">
      <w:r w:rsidRPr="00846F61">
        <w:t>There are no special circumstances.</w:t>
      </w:r>
    </w:p>
    <w:p w:rsidR="00D53936" w:rsidRPr="00846F61" w:rsidP="00D53936" w14:paraId="6C5649C8" w14:textId="77777777"/>
    <w:p w:rsidR="00D53936" w:rsidRPr="00846F61" w:rsidP="00D53936" w14:paraId="4559679B" w14:textId="414D16B6">
      <w:pPr>
        <w:rPr>
          <w:u w:val="single"/>
        </w:rPr>
      </w:pPr>
      <w:r w:rsidRPr="00846F61">
        <w:rPr>
          <w:u w:val="single"/>
        </w:rPr>
        <w:t>8</w:t>
      </w:r>
      <w:r w:rsidR="003E4B82">
        <w:rPr>
          <w:u w:val="single"/>
        </w:rPr>
        <w:t xml:space="preserve">. </w:t>
      </w:r>
      <w:r w:rsidRPr="00846F61">
        <w:rPr>
          <w:u w:val="single"/>
        </w:rPr>
        <w:t>Solicitation of comments on information collection</w:t>
      </w:r>
    </w:p>
    <w:p w:rsidR="00D53936" w:rsidRPr="00846F61" w:rsidP="00D53936" w14:paraId="11E87928" w14:textId="3891CEDB">
      <w:r w:rsidRPr="00846F61">
        <w:t xml:space="preserve">Pursuant to the notice and request for comments published in the </w:t>
      </w:r>
      <w:r w:rsidRPr="00846F61">
        <w:rPr>
          <w:i/>
          <w:iCs/>
        </w:rPr>
        <w:t>Federal Register</w:t>
      </w:r>
      <w:r w:rsidRPr="00846F61">
        <w:t xml:space="preserve"> on </w:t>
      </w:r>
      <w:r w:rsidRPr="00846F61" w:rsidR="00650E4F">
        <w:t>August 22</w:t>
      </w:r>
      <w:r w:rsidRPr="00846F61">
        <w:t xml:space="preserve">, </w:t>
      </w:r>
      <w:r w:rsidRPr="00846F61" w:rsidR="00650E4F">
        <w:t>2024</w:t>
      </w:r>
      <w:r w:rsidRPr="00846F61">
        <w:t xml:space="preserve">, at </w:t>
      </w:r>
      <w:r w:rsidRPr="00846F61" w:rsidR="00650E4F">
        <w:t xml:space="preserve">89 </w:t>
      </w:r>
      <w:r w:rsidRPr="00846F61">
        <w:t xml:space="preserve">FR </w:t>
      </w:r>
      <w:r w:rsidR="00272570">
        <w:t>68029</w:t>
      </w:r>
      <w:r w:rsidRPr="00846F61">
        <w:t xml:space="preserve">, the CDFI Fund received detailed comments on or before </w:t>
      </w:r>
      <w:r w:rsidRPr="00846F61" w:rsidR="00650E4F">
        <w:t>October 21</w:t>
      </w:r>
      <w:r w:rsidRPr="00846F61">
        <w:t xml:space="preserve">, </w:t>
      </w:r>
      <w:r w:rsidRPr="00846F61" w:rsidR="00650E4F">
        <w:t>2024</w:t>
      </w:r>
      <w:r w:rsidRPr="00846F61">
        <w:t xml:space="preserve">, from </w:t>
      </w:r>
      <w:r w:rsidRPr="00846F61" w:rsidR="00650E4F">
        <w:t xml:space="preserve">three </w:t>
      </w:r>
      <w:r w:rsidRPr="00846F61">
        <w:t>(</w:t>
      </w:r>
      <w:r w:rsidRPr="00846F61" w:rsidR="00650E4F">
        <w:t>3</w:t>
      </w:r>
      <w:r w:rsidRPr="00846F61">
        <w:t xml:space="preserve">) organizations responding to the solicitation for a total </w:t>
      </w:r>
      <w:r w:rsidRPr="00846F61" w:rsidR="00650E4F">
        <w:t xml:space="preserve">18 </w:t>
      </w:r>
      <w:r w:rsidRPr="00846F61">
        <w:t xml:space="preserve">unique comments. Please see Appendix A for the specific comments, and the CDFI Fund response. </w:t>
      </w:r>
    </w:p>
    <w:p w:rsidR="00D53936" w:rsidRPr="00846F61" w:rsidP="00D53936" w14:paraId="1E7CB0D3" w14:textId="77777777">
      <w:pPr>
        <w:rPr>
          <w:u w:val="single"/>
        </w:rPr>
      </w:pPr>
    </w:p>
    <w:p w:rsidR="00D53936" w:rsidRPr="00846F61" w:rsidP="00D53936" w14:paraId="30985875" w14:textId="276DEAD0">
      <w:pPr>
        <w:rPr>
          <w:u w:val="single"/>
        </w:rPr>
      </w:pPr>
      <w:r w:rsidRPr="00846F61">
        <w:rPr>
          <w:u w:val="single"/>
        </w:rPr>
        <w:t>9</w:t>
      </w:r>
      <w:r w:rsidR="003E4B82">
        <w:rPr>
          <w:u w:val="single"/>
        </w:rPr>
        <w:t xml:space="preserve">. </w:t>
      </w:r>
      <w:r w:rsidRPr="00846F61">
        <w:rPr>
          <w:u w:val="single"/>
        </w:rPr>
        <w:t>Provision of payment to respondents</w:t>
      </w:r>
    </w:p>
    <w:p w:rsidR="00D53936" w:rsidRPr="00846F61" w:rsidP="00D53936" w14:paraId="5F86571F" w14:textId="77777777">
      <w:r w:rsidRPr="00846F61">
        <w:t>No payments or gifts will be made to respondents.</w:t>
      </w:r>
    </w:p>
    <w:p w:rsidR="00D53936" w:rsidRPr="00846F61" w:rsidP="00D53936" w14:paraId="3FC91934" w14:textId="77777777"/>
    <w:p w:rsidR="00D53936" w:rsidRPr="00846F61" w:rsidP="00D53936" w14:paraId="20D8AAAC" w14:textId="5AAAB336">
      <w:pPr>
        <w:rPr>
          <w:u w:val="single"/>
        </w:rPr>
      </w:pPr>
      <w:r w:rsidRPr="00846F61">
        <w:rPr>
          <w:u w:val="single"/>
        </w:rPr>
        <w:t>10</w:t>
      </w:r>
      <w:r w:rsidR="003E4B82">
        <w:rPr>
          <w:u w:val="single"/>
        </w:rPr>
        <w:t xml:space="preserve">. </w:t>
      </w:r>
      <w:r w:rsidRPr="00846F61">
        <w:rPr>
          <w:u w:val="single"/>
        </w:rPr>
        <w:t>Assurance of confidentiality</w:t>
      </w:r>
    </w:p>
    <w:p w:rsidR="00D53936" w:rsidRPr="00846F61" w:rsidP="00D53936" w14:paraId="3318469A" w14:textId="09667BCB">
      <w:pPr>
        <w:rPr>
          <w:strike/>
        </w:rPr>
      </w:pPr>
      <w:r w:rsidRPr="00846F61">
        <w:t>The CDFI Fund is subject to all Federal regulations with respect to confidentiality of information supplied in the annual reports. All information is submitted by the Recipient</w:t>
      </w:r>
      <w:r w:rsidR="006563F8">
        <w:t xml:space="preserve"> or Allocatee</w:t>
      </w:r>
      <w:r w:rsidRPr="00846F61">
        <w:t xml:space="preserve"> and their designated representatives through an authenticated and secure </w:t>
      </w:r>
      <w:r w:rsidR="00E009EE">
        <w:t xml:space="preserve">Recipient </w:t>
      </w:r>
      <w:r w:rsidRPr="00846F61">
        <w:t xml:space="preserve">organizational profile in AMIS. </w:t>
      </w:r>
      <w:r w:rsidRPr="00846F61">
        <w:rPr>
          <w:rFonts w:eastAsia="Calibri"/>
          <w:color w:val="000000"/>
          <w:szCs w:val="24"/>
        </w:rPr>
        <w:t xml:space="preserve">Access to data submitted in response to this information collection will be limited to Recipients </w:t>
      </w:r>
      <w:r w:rsidR="006563F8">
        <w:rPr>
          <w:rFonts w:eastAsia="Calibri"/>
          <w:color w:val="000000"/>
          <w:szCs w:val="24"/>
        </w:rPr>
        <w:t xml:space="preserve">and Allocatees </w:t>
      </w:r>
      <w:r w:rsidRPr="00846F61">
        <w:rPr>
          <w:rFonts w:eastAsia="Calibri"/>
          <w:color w:val="000000"/>
          <w:szCs w:val="24"/>
        </w:rPr>
        <w:t>and their designated representatives, CDFI Fund staff and, if applicable, designated contractors who are subject to all Federal regulations and have completed annual privacy and cybersecurity training.</w:t>
      </w:r>
    </w:p>
    <w:p w:rsidR="00D53936" w:rsidRPr="00846F61" w:rsidP="00D53936" w14:paraId="45594BAD" w14:textId="77777777">
      <w:pPr>
        <w:rPr>
          <w:strike/>
        </w:rPr>
      </w:pPr>
    </w:p>
    <w:p w:rsidR="00D53936" w:rsidRPr="00846F61" w:rsidP="00D53936" w14:paraId="0DB8FB80" w14:textId="62D62336">
      <w:pPr>
        <w:rPr>
          <w:u w:val="single"/>
        </w:rPr>
      </w:pPr>
      <w:r w:rsidRPr="00846F61">
        <w:rPr>
          <w:u w:val="single"/>
        </w:rPr>
        <w:t>11</w:t>
      </w:r>
      <w:r w:rsidR="003E4B82">
        <w:rPr>
          <w:u w:val="single"/>
        </w:rPr>
        <w:t xml:space="preserve">. </w:t>
      </w:r>
      <w:r w:rsidRPr="00846F61">
        <w:rPr>
          <w:u w:val="single"/>
        </w:rPr>
        <w:t>Justification of sensitive questions.</w:t>
      </w:r>
    </w:p>
    <w:p w:rsidR="00D53936" w:rsidRPr="00846F61" w:rsidP="00D53936" w14:paraId="0C951433" w14:textId="3005451E">
      <w:r w:rsidRPr="00846F61">
        <w:t>No questions of a sensitive nature are asked in this information collection. No Personally Identifiable Information (PII) is collected.</w:t>
      </w:r>
    </w:p>
    <w:p w:rsidR="00D53936" w:rsidRPr="00846F61" w:rsidP="00D53936" w14:paraId="4E34B2EE" w14:textId="77777777">
      <w:pPr>
        <w:rPr>
          <w:u w:val="single"/>
        </w:rPr>
      </w:pPr>
    </w:p>
    <w:p w:rsidR="00D53936" w:rsidRPr="00846F61" w:rsidP="00D53936" w14:paraId="56C13C76" w14:textId="0A116283">
      <w:pPr>
        <w:rPr>
          <w:u w:val="single"/>
        </w:rPr>
      </w:pPr>
      <w:r w:rsidRPr="00846F61">
        <w:rPr>
          <w:u w:val="single"/>
        </w:rPr>
        <w:t>12</w:t>
      </w:r>
      <w:r w:rsidR="003E4B82">
        <w:rPr>
          <w:u w:val="single"/>
        </w:rPr>
        <w:t xml:space="preserve">. </w:t>
      </w:r>
      <w:r w:rsidRPr="00846F61">
        <w:rPr>
          <w:u w:val="single"/>
        </w:rPr>
        <w:t>Estimate of the hour burden of information collection.</w:t>
      </w:r>
    </w:p>
    <w:p w:rsidR="00D53936" w:rsidP="00D53936" w14:paraId="4E395934" w14:textId="75409C46">
      <w:r>
        <w:t xml:space="preserve">There are no changes to the previously approved burden for CDFI/NACA and NMTC reports. New burden is being added </w:t>
      </w:r>
      <w:r w:rsidRPr="00846F61" w:rsidR="00EA5443">
        <w:t xml:space="preserve">specific to the CDFI ERP </w:t>
      </w:r>
      <w:r w:rsidR="002B6F62">
        <w:t>R</w:t>
      </w:r>
      <w:r w:rsidRPr="00846F61" w:rsidR="00EA5443">
        <w:t>ecipients because they</w:t>
      </w:r>
      <w:r w:rsidR="007176DA">
        <w:t xml:space="preserve"> will be </w:t>
      </w:r>
      <w:r w:rsidRPr="00846F61" w:rsidR="00EA5443">
        <w:t xml:space="preserve">completing the new ERP-specific data fields in the TLR </w:t>
      </w:r>
      <w:r w:rsidR="00C65A17">
        <w:t xml:space="preserve">and </w:t>
      </w:r>
      <w:r w:rsidRPr="00846F61" w:rsidR="00EA5443">
        <w:t>the GLR</w:t>
      </w:r>
      <w:r w:rsidR="00C65A17">
        <w:t xml:space="preserve">, </w:t>
      </w:r>
      <w:r w:rsidR="007176DA">
        <w:t>if applicable</w:t>
      </w:r>
      <w:r w:rsidRPr="00846F61" w:rsidR="00EA5443">
        <w:t xml:space="preserve">. Given the feedback received during the public comment period, we have increased our original estimated annual time (in hours) per CDFI ERP </w:t>
      </w:r>
      <w:r w:rsidR="002B6F62">
        <w:t>R</w:t>
      </w:r>
      <w:r w:rsidRPr="00846F61" w:rsidR="00EA5443">
        <w:t xml:space="preserve">ecipient from 10 hours to 20 hours. For the 603 CDFI ERP </w:t>
      </w:r>
      <w:r w:rsidR="002B6F62">
        <w:t>R</w:t>
      </w:r>
      <w:r w:rsidRPr="00846F61" w:rsidR="00EA5443">
        <w:t>ecipients, this information collection has a</w:t>
      </w:r>
      <w:r w:rsidR="008E3BAE">
        <w:t xml:space="preserve"> </w:t>
      </w:r>
      <w:r w:rsidRPr="00846F61">
        <w:t xml:space="preserve">total estimated burden of </w:t>
      </w:r>
      <w:r w:rsidRPr="00846F61" w:rsidR="00EA5443">
        <w:t>12,060</w:t>
      </w:r>
      <w:r w:rsidRPr="00846F61">
        <w:t xml:space="preserve"> hours. </w:t>
      </w:r>
    </w:p>
    <w:p w:rsidR="00FF3D90" w:rsidRPr="00846F61" w:rsidP="00FF3D90" w14:paraId="3589907D" w14:textId="77777777"/>
    <w:tbl>
      <w:tblPr>
        <w:tblW w:w="1044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53"/>
        <w:gridCol w:w="1415"/>
        <w:gridCol w:w="1329"/>
        <w:gridCol w:w="1182"/>
        <w:gridCol w:w="1097"/>
        <w:gridCol w:w="1377"/>
        <w:gridCol w:w="891"/>
        <w:gridCol w:w="1296"/>
      </w:tblGrid>
      <w:tr w14:paraId="7003A63E" w14:textId="77777777" w:rsidTr="00FF3D90">
        <w:tblPrEx>
          <w:tblW w:w="1044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8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90" w:rsidRPr="00846F61" w:rsidP="00146589" w14:paraId="7978DAFB" w14:textId="77777777">
            <w:pPr>
              <w:pStyle w:val="BodyText2"/>
              <w:jc w:val="center"/>
              <w:rPr>
                <w:b/>
                <w:sz w:val="22"/>
                <w:szCs w:val="22"/>
              </w:rPr>
            </w:pPr>
            <w:r>
              <w:rPr>
                <w:b/>
                <w:bCs/>
                <w:iCs/>
                <w:sz w:val="22"/>
                <w:szCs w:val="22"/>
              </w:rPr>
              <w:t>Type of Response</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90" w:rsidRPr="00846F61" w:rsidP="00146589" w14:paraId="2C75CBA4" w14:textId="77777777">
            <w:pPr>
              <w:pStyle w:val="BodyText2"/>
              <w:jc w:val="center"/>
              <w:rPr>
                <w:b/>
                <w:sz w:val="22"/>
                <w:szCs w:val="22"/>
              </w:rPr>
            </w:pPr>
            <w:r w:rsidRPr="00846F61">
              <w:rPr>
                <w:b/>
                <w:sz w:val="22"/>
                <w:szCs w:val="22"/>
              </w:rPr>
              <w:t># Respondents</w:t>
            </w:r>
          </w:p>
        </w:tc>
        <w:tc>
          <w:tcPr>
            <w:tcW w:w="132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90" w:rsidRPr="00846F61" w:rsidP="00146589" w14:paraId="3E12212E" w14:textId="77777777">
            <w:pPr>
              <w:pStyle w:val="BodyText2"/>
              <w:jc w:val="center"/>
              <w:rPr>
                <w:b/>
                <w:sz w:val="22"/>
                <w:szCs w:val="22"/>
              </w:rPr>
            </w:pPr>
            <w:r w:rsidRPr="00846F61">
              <w:rPr>
                <w:b/>
                <w:sz w:val="22"/>
                <w:szCs w:val="22"/>
              </w:rPr>
              <w:t># Responses Per Respondent</w:t>
            </w:r>
          </w:p>
        </w:tc>
        <w:tc>
          <w:tcPr>
            <w:tcW w:w="118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90" w:rsidRPr="00846F61" w:rsidP="00146589" w14:paraId="588FA9F1" w14:textId="77777777">
            <w:pPr>
              <w:pStyle w:val="BodyText2"/>
              <w:jc w:val="center"/>
              <w:rPr>
                <w:b/>
                <w:sz w:val="22"/>
                <w:szCs w:val="22"/>
              </w:rPr>
            </w:pPr>
            <w:r w:rsidRPr="00846F61">
              <w:rPr>
                <w:b/>
                <w:sz w:val="22"/>
                <w:szCs w:val="22"/>
              </w:rPr>
              <w:t xml:space="preserve">Total </w:t>
            </w:r>
          </w:p>
          <w:p w:rsidR="00FF3D90" w:rsidRPr="00846F61" w:rsidP="00146589" w14:paraId="1A77604A" w14:textId="77777777">
            <w:pPr>
              <w:pStyle w:val="BodyText2"/>
              <w:jc w:val="center"/>
              <w:rPr>
                <w:b/>
                <w:sz w:val="22"/>
                <w:szCs w:val="22"/>
              </w:rPr>
            </w:pPr>
            <w:r w:rsidRPr="00846F61">
              <w:rPr>
                <w:b/>
                <w:sz w:val="22"/>
                <w:szCs w:val="22"/>
              </w:rPr>
              <w:t>Average Annual Responses</w:t>
            </w:r>
          </w:p>
        </w:tc>
        <w:tc>
          <w:tcPr>
            <w:tcW w:w="10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90" w:rsidRPr="00846F61" w:rsidP="00146589" w14:paraId="70B5B346" w14:textId="77777777">
            <w:pPr>
              <w:pStyle w:val="BodyText2"/>
              <w:jc w:val="center"/>
              <w:rPr>
                <w:b/>
                <w:sz w:val="22"/>
                <w:szCs w:val="22"/>
              </w:rPr>
            </w:pPr>
            <w:r w:rsidRPr="00846F61">
              <w:rPr>
                <w:b/>
                <w:sz w:val="22"/>
                <w:szCs w:val="22"/>
              </w:rPr>
              <w:t>Average</w:t>
            </w:r>
          </w:p>
          <w:p w:rsidR="00FF3D90" w:rsidRPr="00846F61" w:rsidP="00146589" w14:paraId="05AB6DB5" w14:textId="77777777">
            <w:pPr>
              <w:pStyle w:val="BodyText2"/>
              <w:jc w:val="center"/>
              <w:rPr>
                <w:b/>
                <w:sz w:val="22"/>
                <w:szCs w:val="22"/>
              </w:rPr>
            </w:pPr>
            <w:r w:rsidRPr="00846F61">
              <w:rPr>
                <w:b/>
                <w:sz w:val="22"/>
                <w:szCs w:val="22"/>
              </w:rPr>
              <w:t>Hours Per Response</w:t>
            </w:r>
          </w:p>
        </w:tc>
        <w:tc>
          <w:tcPr>
            <w:tcW w:w="13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90" w:rsidRPr="00846F61" w:rsidP="00146589" w14:paraId="1C9C742D" w14:textId="77777777">
            <w:pPr>
              <w:pStyle w:val="BodyText2"/>
              <w:jc w:val="center"/>
              <w:rPr>
                <w:b/>
                <w:sz w:val="22"/>
                <w:szCs w:val="22"/>
              </w:rPr>
            </w:pPr>
            <w:r w:rsidRPr="00846F61">
              <w:rPr>
                <w:b/>
                <w:sz w:val="22"/>
                <w:szCs w:val="22"/>
              </w:rPr>
              <w:t>Total Hours</w:t>
            </w:r>
          </w:p>
        </w:tc>
        <w:tc>
          <w:tcPr>
            <w:tcW w:w="891" w:type="dxa"/>
            <w:tcBorders>
              <w:top w:val="single" w:sz="4" w:space="0" w:color="000000"/>
              <w:left w:val="single" w:sz="4" w:space="0" w:color="000000"/>
              <w:bottom w:val="single" w:sz="4" w:space="0" w:color="000000"/>
              <w:right w:val="single" w:sz="4" w:space="0" w:color="000000"/>
            </w:tcBorders>
            <w:shd w:val="clear" w:color="auto" w:fill="D9D9D9"/>
            <w:hideMark/>
          </w:tcPr>
          <w:p w:rsidR="00FF3D90" w:rsidRPr="00846F61" w:rsidP="00146589" w14:paraId="39219766" w14:textId="77777777">
            <w:pPr>
              <w:pStyle w:val="BodyText2"/>
              <w:jc w:val="center"/>
              <w:rPr>
                <w:b/>
                <w:sz w:val="22"/>
                <w:szCs w:val="22"/>
              </w:rPr>
            </w:pPr>
            <w:r w:rsidRPr="00846F61">
              <w:rPr>
                <w:b/>
                <w:sz w:val="22"/>
                <w:szCs w:val="22"/>
              </w:rPr>
              <w:t>Time Value (per hour)</w:t>
            </w:r>
          </w:p>
        </w:tc>
        <w:tc>
          <w:tcPr>
            <w:tcW w:w="129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90" w:rsidRPr="00846F61" w:rsidP="00FF3D90" w14:paraId="58B9EE9B" w14:textId="5179782A">
            <w:pPr>
              <w:pStyle w:val="BodyText2"/>
              <w:jc w:val="center"/>
              <w:rPr>
                <w:b/>
                <w:sz w:val="22"/>
                <w:szCs w:val="22"/>
              </w:rPr>
            </w:pPr>
            <w:r w:rsidRPr="00846F61">
              <w:rPr>
                <w:b/>
                <w:sz w:val="22"/>
                <w:szCs w:val="22"/>
              </w:rPr>
              <w:t>Monetized Burden Hours</w:t>
            </w:r>
          </w:p>
        </w:tc>
      </w:tr>
      <w:tr w14:paraId="4E098C6F" w14:textId="77777777" w:rsidTr="00FF3D90">
        <w:tblPrEx>
          <w:tblW w:w="10440" w:type="dxa"/>
          <w:tblInd w:w="-455" w:type="dxa"/>
          <w:tblLayout w:type="fixed"/>
          <w:tblLook w:val="04A0"/>
        </w:tblPrEx>
        <w:tc>
          <w:tcPr>
            <w:tcW w:w="1853" w:type="dxa"/>
            <w:tcBorders>
              <w:top w:val="single" w:sz="4" w:space="0" w:color="000000"/>
              <w:left w:val="single" w:sz="4" w:space="0" w:color="000000"/>
              <w:bottom w:val="double" w:sz="4" w:space="0" w:color="000000"/>
              <w:right w:val="single" w:sz="4" w:space="0" w:color="000000"/>
            </w:tcBorders>
          </w:tcPr>
          <w:p w:rsidR="00FF3D90" w:rsidRPr="00846F61" w:rsidP="00146589" w14:paraId="570D94FA" w14:textId="77777777">
            <w:pPr>
              <w:pStyle w:val="BodyText2"/>
              <w:jc w:val="left"/>
              <w:rPr>
                <w:sz w:val="22"/>
                <w:szCs w:val="22"/>
              </w:rPr>
            </w:pPr>
            <w:r>
              <w:rPr>
                <w:sz w:val="22"/>
                <w:szCs w:val="22"/>
              </w:rPr>
              <w:t xml:space="preserve">Annual </w:t>
            </w:r>
            <w:r w:rsidRPr="004C08A6">
              <w:rPr>
                <w:sz w:val="22"/>
                <w:szCs w:val="22"/>
              </w:rPr>
              <w:t>CDFI</w:t>
            </w:r>
            <w:r>
              <w:rPr>
                <w:sz w:val="22"/>
                <w:szCs w:val="22"/>
              </w:rPr>
              <w:t>/NACA</w:t>
            </w:r>
            <w:r w:rsidRPr="004C08A6">
              <w:rPr>
                <w:sz w:val="22"/>
                <w:szCs w:val="22"/>
              </w:rPr>
              <w:t xml:space="preserve"> </w:t>
            </w:r>
            <w:r>
              <w:rPr>
                <w:sz w:val="22"/>
                <w:szCs w:val="22"/>
              </w:rPr>
              <w:t xml:space="preserve">Financial </w:t>
            </w:r>
            <w:r w:rsidRPr="004C08A6">
              <w:rPr>
                <w:sz w:val="22"/>
                <w:szCs w:val="22"/>
              </w:rPr>
              <w:t>Award</w:t>
            </w:r>
            <w:r>
              <w:rPr>
                <w:sz w:val="22"/>
                <w:szCs w:val="22"/>
              </w:rPr>
              <w:t xml:space="preserve"> Recipient</w:t>
            </w:r>
            <w:r w:rsidRPr="004C08A6">
              <w:rPr>
                <w:sz w:val="22"/>
                <w:szCs w:val="22"/>
              </w:rPr>
              <w:t xml:space="preserve"> </w:t>
            </w:r>
            <w:r>
              <w:rPr>
                <w:sz w:val="22"/>
                <w:szCs w:val="22"/>
              </w:rPr>
              <w:t>Transaction Level Report</w:t>
            </w:r>
          </w:p>
        </w:tc>
        <w:tc>
          <w:tcPr>
            <w:tcW w:w="1415" w:type="dxa"/>
            <w:tcBorders>
              <w:top w:val="single" w:sz="4" w:space="0" w:color="000000"/>
              <w:left w:val="single" w:sz="4" w:space="0" w:color="000000"/>
              <w:bottom w:val="double" w:sz="4" w:space="0" w:color="000000"/>
              <w:right w:val="single" w:sz="4" w:space="0" w:color="000000"/>
            </w:tcBorders>
            <w:vAlign w:val="center"/>
          </w:tcPr>
          <w:p w:rsidR="00FF3D90" w:rsidRPr="00846F61" w:rsidP="00146589" w14:paraId="3F192FC9" w14:textId="77777777">
            <w:pPr>
              <w:pStyle w:val="BodyText2"/>
              <w:jc w:val="center"/>
              <w:rPr>
                <w:sz w:val="22"/>
                <w:szCs w:val="22"/>
              </w:rPr>
            </w:pPr>
            <w:r>
              <w:rPr>
                <w:sz w:val="22"/>
                <w:szCs w:val="22"/>
              </w:rPr>
              <w:t>863</w:t>
            </w:r>
          </w:p>
        </w:tc>
        <w:tc>
          <w:tcPr>
            <w:tcW w:w="1329" w:type="dxa"/>
            <w:tcBorders>
              <w:top w:val="single" w:sz="4" w:space="0" w:color="000000"/>
              <w:left w:val="single" w:sz="4" w:space="0" w:color="000000"/>
              <w:bottom w:val="double" w:sz="4" w:space="0" w:color="000000"/>
              <w:right w:val="single" w:sz="4" w:space="0" w:color="000000"/>
            </w:tcBorders>
            <w:vAlign w:val="center"/>
          </w:tcPr>
          <w:p w:rsidR="00FF3D90" w:rsidRPr="00846F61" w:rsidP="00146589" w14:paraId="444AFA40" w14:textId="77777777">
            <w:pPr>
              <w:pStyle w:val="BodyText2"/>
              <w:jc w:val="center"/>
              <w:rPr>
                <w:sz w:val="22"/>
                <w:szCs w:val="22"/>
              </w:rPr>
            </w:pPr>
            <w:r>
              <w:rPr>
                <w:sz w:val="22"/>
                <w:szCs w:val="22"/>
              </w:rPr>
              <w:t>1</w:t>
            </w:r>
          </w:p>
        </w:tc>
        <w:tc>
          <w:tcPr>
            <w:tcW w:w="1182" w:type="dxa"/>
            <w:tcBorders>
              <w:top w:val="single" w:sz="4" w:space="0" w:color="000000"/>
              <w:left w:val="single" w:sz="4" w:space="0" w:color="000000"/>
              <w:bottom w:val="double" w:sz="4" w:space="0" w:color="000000"/>
              <w:right w:val="single" w:sz="4" w:space="0" w:color="000000"/>
            </w:tcBorders>
            <w:vAlign w:val="center"/>
          </w:tcPr>
          <w:p w:rsidR="00FF3D90" w:rsidRPr="00846F61" w:rsidP="00146589" w14:paraId="0B6F46FD" w14:textId="77777777">
            <w:pPr>
              <w:pStyle w:val="BodyText2"/>
              <w:jc w:val="center"/>
              <w:rPr>
                <w:sz w:val="22"/>
                <w:szCs w:val="22"/>
              </w:rPr>
            </w:pPr>
            <w:r>
              <w:rPr>
                <w:sz w:val="22"/>
                <w:szCs w:val="22"/>
              </w:rPr>
              <w:t>863</w:t>
            </w:r>
          </w:p>
        </w:tc>
        <w:tc>
          <w:tcPr>
            <w:tcW w:w="1097" w:type="dxa"/>
            <w:tcBorders>
              <w:top w:val="single" w:sz="4" w:space="0" w:color="000000"/>
              <w:left w:val="single" w:sz="4" w:space="0" w:color="000000"/>
              <w:bottom w:val="double" w:sz="4" w:space="0" w:color="000000"/>
              <w:right w:val="single" w:sz="4" w:space="0" w:color="000000"/>
            </w:tcBorders>
            <w:vAlign w:val="center"/>
          </w:tcPr>
          <w:p w:rsidR="00FF3D90" w:rsidRPr="00846F61" w:rsidP="00146589" w14:paraId="4703144D" w14:textId="77777777">
            <w:pPr>
              <w:pStyle w:val="BodyText2"/>
              <w:jc w:val="center"/>
              <w:rPr>
                <w:sz w:val="22"/>
                <w:szCs w:val="22"/>
              </w:rPr>
            </w:pPr>
            <w:r w:rsidRPr="004C08A6">
              <w:rPr>
                <w:sz w:val="22"/>
                <w:szCs w:val="22"/>
              </w:rPr>
              <w:t>40</w:t>
            </w:r>
          </w:p>
        </w:tc>
        <w:tc>
          <w:tcPr>
            <w:tcW w:w="1377" w:type="dxa"/>
            <w:tcBorders>
              <w:top w:val="single" w:sz="4" w:space="0" w:color="000000"/>
              <w:left w:val="single" w:sz="4" w:space="0" w:color="000000"/>
              <w:bottom w:val="double" w:sz="4" w:space="0" w:color="000000"/>
              <w:right w:val="single" w:sz="4" w:space="0" w:color="000000"/>
            </w:tcBorders>
            <w:vAlign w:val="center"/>
          </w:tcPr>
          <w:p w:rsidR="00FF3D90" w:rsidRPr="00846F61" w:rsidP="00146589" w14:paraId="5C2EB73F" w14:textId="77777777">
            <w:pPr>
              <w:pStyle w:val="BodyText2"/>
              <w:jc w:val="center"/>
              <w:rPr>
                <w:sz w:val="22"/>
                <w:szCs w:val="22"/>
              </w:rPr>
            </w:pPr>
            <w:r>
              <w:rPr>
                <w:sz w:val="22"/>
                <w:szCs w:val="22"/>
              </w:rPr>
              <w:t>34,520</w:t>
            </w:r>
          </w:p>
        </w:tc>
        <w:tc>
          <w:tcPr>
            <w:tcW w:w="891" w:type="dxa"/>
            <w:tcBorders>
              <w:top w:val="single" w:sz="4" w:space="0" w:color="000000"/>
              <w:left w:val="single" w:sz="4" w:space="0" w:color="000000"/>
              <w:bottom w:val="double" w:sz="4" w:space="0" w:color="000000"/>
              <w:right w:val="single" w:sz="4" w:space="0" w:color="000000"/>
            </w:tcBorders>
            <w:vAlign w:val="center"/>
          </w:tcPr>
          <w:p w:rsidR="00FF3D90" w:rsidRPr="00846F61" w:rsidP="00146589" w14:paraId="0738CD99" w14:textId="77777777">
            <w:pPr>
              <w:pStyle w:val="BodyText2"/>
              <w:jc w:val="center"/>
              <w:rPr>
                <w:sz w:val="22"/>
                <w:szCs w:val="22"/>
              </w:rPr>
            </w:pPr>
            <w:r w:rsidRPr="00846F61">
              <w:rPr>
                <w:sz w:val="22"/>
                <w:szCs w:val="22"/>
              </w:rPr>
              <w:t>$75.05</w:t>
            </w:r>
            <w:r>
              <w:rPr>
                <w:rStyle w:val="FootnoteReference"/>
                <w:sz w:val="22"/>
                <w:szCs w:val="22"/>
              </w:rPr>
              <w:footnoteReference w:id="2"/>
            </w:r>
          </w:p>
        </w:tc>
        <w:tc>
          <w:tcPr>
            <w:tcW w:w="1296" w:type="dxa"/>
            <w:tcBorders>
              <w:top w:val="single" w:sz="4" w:space="0" w:color="000000"/>
              <w:left w:val="single" w:sz="4" w:space="0" w:color="000000"/>
              <w:bottom w:val="double" w:sz="4" w:space="0" w:color="000000"/>
              <w:right w:val="single" w:sz="4" w:space="0" w:color="000000"/>
            </w:tcBorders>
            <w:vAlign w:val="center"/>
          </w:tcPr>
          <w:p w:rsidR="00FF3D90" w:rsidRPr="00846F61" w:rsidP="00146589" w14:paraId="293414AA" w14:textId="77777777">
            <w:pPr>
              <w:pStyle w:val="BodyText2"/>
              <w:jc w:val="center"/>
              <w:rPr>
                <w:sz w:val="22"/>
                <w:szCs w:val="22"/>
              </w:rPr>
            </w:pPr>
            <w:r>
              <w:rPr>
                <w:sz w:val="22"/>
                <w:szCs w:val="22"/>
              </w:rPr>
              <w:t>$</w:t>
            </w:r>
            <w:r w:rsidRPr="00FF3D90">
              <w:rPr>
                <w:sz w:val="22"/>
                <w:szCs w:val="22"/>
              </w:rPr>
              <w:t>2</w:t>
            </w:r>
            <w:r>
              <w:rPr>
                <w:sz w:val="22"/>
                <w:szCs w:val="22"/>
              </w:rPr>
              <w:t>,</w:t>
            </w:r>
            <w:r w:rsidRPr="00FF3D90">
              <w:rPr>
                <w:sz w:val="22"/>
                <w:szCs w:val="22"/>
              </w:rPr>
              <w:t>590</w:t>
            </w:r>
            <w:r>
              <w:rPr>
                <w:sz w:val="22"/>
                <w:szCs w:val="22"/>
              </w:rPr>
              <w:t>,</w:t>
            </w:r>
            <w:r w:rsidRPr="00FF3D90">
              <w:rPr>
                <w:sz w:val="22"/>
                <w:szCs w:val="22"/>
              </w:rPr>
              <w:t>726</w:t>
            </w:r>
          </w:p>
        </w:tc>
      </w:tr>
      <w:tr w14:paraId="66817FBF" w14:textId="77777777" w:rsidTr="00FF3D90">
        <w:tblPrEx>
          <w:tblW w:w="10440" w:type="dxa"/>
          <w:tblInd w:w="-455" w:type="dxa"/>
          <w:tblLayout w:type="fixed"/>
          <w:tblLook w:val="04A0"/>
        </w:tblPrEx>
        <w:tc>
          <w:tcPr>
            <w:tcW w:w="1853" w:type="dxa"/>
            <w:tcBorders>
              <w:top w:val="single" w:sz="4" w:space="0" w:color="000000"/>
              <w:left w:val="single" w:sz="4" w:space="0" w:color="000000"/>
              <w:bottom w:val="double" w:sz="4" w:space="0" w:color="000000"/>
              <w:right w:val="single" w:sz="4" w:space="0" w:color="000000"/>
            </w:tcBorders>
          </w:tcPr>
          <w:p w:rsidR="00FF3D90" w:rsidRPr="00846F61" w:rsidP="00146589" w14:paraId="5F5D4D86" w14:textId="77777777">
            <w:pPr>
              <w:pStyle w:val="BodyText2"/>
              <w:jc w:val="left"/>
              <w:rPr>
                <w:sz w:val="22"/>
                <w:szCs w:val="22"/>
              </w:rPr>
            </w:pPr>
            <w:r>
              <w:rPr>
                <w:sz w:val="22"/>
                <w:szCs w:val="22"/>
              </w:rPr>
              <w:t xml:space="preserve">Annual </w:t>
            </w:r>
            <w:r w:rsidRPr="004C08A6">
              <w:rPr>
                <w:sz w:val="22"/>
                <w:szCs w:val="22"/>
              </w:rPr>
              <w:t xml:space="preserve">NMTC Allocatee </w:t>
            </w:r>
            <w:r>
              <w:rPr>
                <w:sz w:val="22"/>
                <w:szCs w:val="22"/>
              </w:rPr>
              <w:t xml:space="preserve">Transaction Level and Institution Level </w:t>
            </w:r>
            <w:r w:rsidRPr="004C08A6">
              <w:rPr>
                <w:sz w:val="22"/>
                <w:szCs w:val="22"/>
              </w:rPr>
              <w:t>Report</w:t>
            </w:r>
          </w:p>
        </w:tc>
        <w:tc>
          <w:tcPr>
            <w:tcW w:w="1415" w:type="dxa"/>
            <w:tcBorders>
              <w:top w:val="single" w:sz="4" w:space="0" w:color="000000"/>
              <w:left w:val="single" w:sz="4" w:space="0" w:color="000000"/>
              <w:bottom w:val="double" w:sz="4" w:space="0" w:color="000000"/>
              <w:right w:val="single" w:sz="4" w:space="0" w:color="000000"/>
            </w:tcBorders>
            <w:vAlign w:val="center"/>
          </w:tcPr>
          <w:p w:rsidR="00FF3D90" w:rsidRPr="00846F61" w:rsidP="00146589" w14:paraId="1973E74C" w14:textId="77777777">
            <w:pPr>
              <w:pStyle w:val="BodyText2"/>
              <w:jc w:val="center"/>
              <w:rPr>
                <w:sz w:val="22"/>
                <w:szCs w:val="22"/>
              </w:rPr>
            </w:pPr>
            <w:r>
              <w:rPr>
                <w:sz w:val="22"/>
                <w:szCs w:val="22"/>
              </w:rPr>
              <w:t>210</w:t>
            </w:r>
          </w:p>
        </w:tc>
        <w:tc>
          <w:tcPr>
            <w:tcW w:w="1329" w:type="dxa"/>
            <w:tcBorders>
              <w:top w:val="single" w:sz="4" w:space="0" w:color="000000"/>
              <w:left w:val="single" w:sz="4" w:space="0" w:color="000000"/>
              <w:bottom w:val="double" w:sz="4" w:space="0" w:color="000000"/>
              <w:right w:val="single" w:sz="4" w:space="0" w:color="000000"/>
            </w:tcBorders>
            <w:vAlign w:val="center"/>
          </w:tcPr>
          <w:p w:rsidR="00FF3D90" w:rsidRPr="00846F61" w:rsidP="00146589" w14:paraId="0E7D0B61" w14:textId="77777777">
            <w:pPr>
              <w:pStyle w:val="BodyText2"/>
              <w:jc w:val="center"/>
              <w:rPr>
                <w:sz w:val="22"/>
                <w:szCs w:val="22"/>
              </w:rPr>
            </w:pPr>
            <w:r>
              <w:rPr>
                <w:sz w:val="22"/>
                <w:szCs w:val="22"/>
              </w:rPr>
              <w:t>1</w:t>
            </w:r>
          </w:p>
        </w:tc>
        <w:tc>
          <w:tcPr>
            <w:tcW w:w="1182" w:type="dxa"/>
            <w:tcBorders>
              <w:top w:val="single" w:sz="4" w:space="0" w:color="000000"/>
              <w:left w:val="single" w:sz="4" w:space="0" w:color="000000"/>
              <w:bottom w:val="double" w:sz="4" w:space="0" w:color="000000"/>
              <w:right w:val="single" w:sz="4" w:space="0" w:color="000000"/>
            </w:tcBorders>
            <w:vAlign w:val="center"/>
          </w:tcPr>
          <w:p w:rsidR="00FF3D90" w:rsidRPr="00846F61" w:rsidP="00146589" w14:paraId="6E2A47A0" w14:textId="77777777">
            <w:pPr>
              <w:pStyle w:val="BodyText2"/>
              <w:jc w:val="center"/>
              <w:rPr>
                <w:sz w:val="22"/>
                <w:szCs w:val="22"/>
              </w:rPr>
            </w:pPr>
            <w:r>
              <w:rPr>
                <w:sz w:val="22"/>
                <w:szCs w:val="22"/>
              </w:rPr>
              <w:t>210</w:t>
            </w:r>
          </w:p>
        </w:tc>
        <w:tc>
          <w:tcPr>
            <w:tcW w:w="1097" w:type="dxa"/>
            <w:tcBorders>
              <w:top w:val="single" w:sz="4" w:space="0" w:color="000000"/>
              <w:left w:val="single" w:sz="4" w:space="0" w:color="000000"/>
              <w:bottom w:val="double" w:sz="4" w:space="0" w:color="000000"/>
              <w:right w:val="single" w:sz="4" w:space="0" w:color="000000"/>
            </w:tcBorders>
            <w:vAlign w:val="center"/>
          </w:tcPr>
          <w:p w:rsidR="00FF3D90" w:rsidRPr="00846F61" w:rsidP="00146589" w14:paraId="670AB896" w14:textId="77777777">
            <w:pPr>
              <w:pStyle w:val="BodyText2"/>
              <w:jc w:val="center"/>
              <w:rPr>
                <w:sz w:val="22"/>
                <w:szCs w:val="22"/>
              </w:rPr>
            </w:pPr>
            <w:r>
              <w:rPr>
                <w:sz w:val="22"/>
                <w:szCs w:val="22"/>
              </w:rPr>
              <w:t>81.33</w:t>
            </w:r>
          </w:p>
        </w:tc>
        <w:tc>
          <w:tcPr>
            <w:tcW w:w="1377" w:type="dxa"/>
            <w:tcBorders>
              <w:top w:val="single" w:sz="4" w:space="0" w:color="000000"/>
              <w:left w:val="single" w:sz="4" w:space="0" w:color="000000"/>
              <w:bottom w:val="double" w:sz="4" w:space="0" w:color="000000"/>
              <w:right w:val="single" w:sz="4" w:space="0" w:color="000000"/>
            </w:tcBorders>
            <w:vAlign w:val="center"/>
          </w:tcPr>
          <w:p w:rsidR="00FF3D90" w:rsidRPr="00846F61" w:rsidP="00146589" w14:paraId="21584F40" w14:textId="77777777">
            <w:pPr>
              <w:pStyle w:val="BodyText2"/>
              <w:jc w:val="center"/>
              <w:rPr>
                <w:sz w:val="22"/>
                <w:szCs w:val="22"/>
              </w:rPr>
            </w:pPr>
            <w:r>
              <w:rPr>
                <w:sz w:val="22"/>
                <w:szCs w:val="22"/>
              </w:rPr>
              <w:t>17,079</w:t>
            </w:r>
          </w:p>
        </w:tc>
        <w:tc>
          <w:tcPr>
            <w:tcW w:w="891" w:type="dxa"/>
            <w:tcBorders>
              <w:top w:val="single" w:sz="4" w:space="0" w:color="000000"/>
              <w:left w:val="single" w:sz="4" w:space="0" w:color="000000"/>
              <w:bottom w:val="double" w:sz="4" w:space="0" w:color="000000"/>
              <w:right w:val="single" w:sz="4" w:space="0" w:color="000000"/>
            </w:tcBorders>
            <w:vAlign w:val="center"/>
          </w:tcPr>
          <w:p w:rsidR="00FF3D90" w:rsidRPr="00846F61" w:rsidP="00146589" w14:paraId="53E50E49" w14:textId="77777777">
            <w:pPr>
              <w:pStyle w:val="BodyText2"/>
              <w:jc w:val="center"/>
              <w:rPr>
                <w:sz w:val="22"/>
                <w:szCs w:val="22"/>
              </w:rPr>
            </w:pPr>
            <w:r w:rsidRPr="00846F61">
              <w:rPr>
                <w:sz w:val="22"/>
                <w:szCs w:val="22"/>
              </w:rPr>
              <w:t>$75.05</w:t>
            </w:r>
            <w:r>
              <w:rPr>
                <w:rStyle w:val="FootnoteReference"/>
                <w:sz w:val="22"/>
                <w:szCs w:val="22"/>
              </w:rPr>
              <w:footnoteReference w:id="3"/>
            </w:r>
          </w:p>
        </w:tc>
        <w:tc>
          <w:tcPr>
            <w:tcW w:w="1296" w:type="dxa"/>
            <w:tcBorders>
              <w:top w:val="single" w:sz="4" w:space="0" w:color="000000"/>
              <w:left w:val="single" w:sz="4" w:space="0" w:color="000000"/>
              <w:bottom w:val="double" w:sz="4" w:space="0" w:color="000000"/>
              <w:right w:val="single" w:sz="4" w:space="0" w:color="000000"/>
            </w:tcBorders>
            <w:vAlign w:val="center"/>
          </w:tcPr>
          <w:p w:rsidR="00FF3D90" w:rsidRPr="00846F61" w:rsidP="00146589" w14:paraId="1561DDAA" w14:textId="77777777">
            <w:pPr>
              <w:pStyle w:val="BodyText2"/>
              <w:jc w:val="center"/>
              <w:rPr>
                <w:sz w:val="22"/>
                <w:szCs w:val="22"/>
              </w:rPr>
            </w:pPr>
            <w:r>
              <w:rPr>
                <w:sz w:val="22"/>
                <w:szCs w:val="22"/>
              </w:rPr>
              <w:t>$</w:t>
            </w:r>
            <w:r w:rsidRPr="00FF3D90">
              <w:rPr>
                <w:sz w:val="22"/>
                <w:szCs w:val="22"/>
              </w:rPr>
              <w:t>1</w:t>
            </w:r>
            <w:r>
              <w:rPr>
                <w:sz w:val="22"/>
                <w:szCs w:val="22"/>
              </w:rPr>
              <w:t>,</w:t>
            </w:r>
            <w:r w:rsidRPr="00FF3D90">
              <w:rPr>
                <w:sz w:val="22"/>
                <w:szCs w:val="22"/>
              </w:rPr>
              <w:t>281</w:t>
            </w:r>
            <w:r>
              <w:rPr>
                <w:sz w:val="22"/>
                <w:szCs w:val="22"/>
              </w:rPr>
              <w:t>,</w:t>
            </w:r>
            <w:r w:rsidRPr="00FF3D90">
              <w:rPr>
                <w:sz w:val="22"/>
                <w:szCs w:val="22"/>
              </w:rPr>
              <w:t>77</w:t>
            </w:r>
            <w:r>
              <w:rPr>
                <w:sz w:val="22"/>
                <w:szCs w:val="22"/>
              </w:rPr>
              <w:t>9</w:t>
            </w:r>
          </w:p>
        </w:tc>
      </w:tr>
      <w:tr w14:paraId="498D6342" w14:textId="77777777" w:rsidTr="00FF3D90">
        <w:tblPrEx>
          <w:tblW w:w="10440" w:type="dxa"/>
          <w:tblInd w:w="-455" w:type="dxa"/>
          <w:tblLayout w:type="fixed"/>
          <w:tblLook w:val="04A0"/>
        </w:tblPrEx>
        <w:tc>
          <w:tcPr>
            <w:tcW w:w="1853" w:type="dxa"/>
            <w:tcBorders>
              <w:top w:val="single" w:sz="4" w:space="0" w:color="000000"/>
              <w:left w:val="single" w:sz="4" w:space="0" w:color="000000"/>
              <w:bottom w:val="double" w:sz="4" w:space="0" w:color="000000"/>
              <w:right w:val="single" w:sz="4" w:space="0" w:color="000000"/>
            </w:tcBorders>
            <w:hideMark/>
          </w:tcPr>
          <w:p w:rsidR="00FF3D90" w:rsidRPr="00846F61" w:rsidP="00146589" w14:paraId="110EBD0C" w14:textId="77777777">
            <w:pPr>
              <w:pStyle w:val="BodyText2"/>
              <w:jc w:val="left"/>
              <w:rPr>
                <w:sz w:val="22"/>
                <w:szCs w:val="22"/>
              </w:rPr>
            </w:pPr>
            <w:r w:rsidRPr="00846F61">
              <w:rPr>
                <w:sz w:val="22"/>
                <w:szCs w:val="22"/>
              </w:rPr>
              <w:t>Annual CDFI ERP Recipient Transaction Level Report including the CDFI ERP Consumer Loan Report and Grant-Level Report</w:t>
            </w:r>
          </w:p>
        </w:tc>
        <w:tc>
          <w:tcPr>
            <w:tcW w:w="1415" w:type="dxa"/>
            <w:tcBorders>
              <w:top w:val="single" w:sz="4" w:space="0" w:color="000000"/>
              <w:left w:val="single" w:sz="4" w:space="0" w:color="000000"/>
              <w:bottom w:val="double" w:sz="4" w:space="0" w:color="000000"/>
              <w:right w:val="single" w:sz="4" w:space="0" w:color="000000"/>
            </w:tcBorders>
            <w:vAlign w:val="center"/>
            <w:hideMark/>
          </w:tcPr>
          <w:p w:rsidR="00FF3D90" w:rsidRPr="00846F61" w:rsidP="00146589" w14:paraId="7D773618" w14:textId="77777777">
            <w:pPr>
              <w:pStyle w:val="BodyText2"/>
              <w:jc w:val="center"/>
              <w:rPr>
                <w:sz w:val="22"/>
                <w:szCs w:val="22"/>
              </w:rPr>
            </w:pPr>
            <w:r w:rsidRPr="00846F61">
              <w:rPr>
                <w:sz w:val="22"/>
                <w:szCs w:val="22"/>
              </w:rPr>
              <w:t>603</w:t>
            </w:r>
          </w:p>
        </w:tc>
        <w:tc>
          <w:tcPr>
            <w:tcW w:w="1329" w:type="dxa"/>
            <w:tcBorders>
              <w:top w:val="single" w:sz="4" w:space="0" w:color="000000"/>
              <w:left w:val="single" w:sz="4" w:space="0" w:color="000000"/>
              <w:bottom w:val="double" w:sz="4" w:space="0" w:color="000000"/>
              <w:right w:val="single" w:sz="4" w:space="0" w:color="000000"/>
            </w:tcBorders>
            <w:vAlign w:val="center"/>
            <w:hideMark/>
          </w:tcPr>
          <w:p w:rsidR="00FF3D90" w:rsidRPr="00846F61" w:rsidP="00146589" w14:paraId="61633486" w14:textId="77777777">
            <w:pPr>
              <w:pStyle w:val="BodyText2"/>
              <w:jc w:val="center"/>
              <w:rPr>
                <w:sz w:val="22"/>
                <w:szCs w:val="22"/>
              </w:rPr>
            </w:pPr>
            <w:r w:rsidRPr="00846F61">
              <w:rPr>
                <w:sz w:val="22"/>
                <w:szCs w:val="22"/>
              </w:rPr>
              <w:t>1</w:t>
            </w:r>
          </w:p>
        </w:tc>
        <w:tc>
          <w:tcPr>
            <w:tcW w:w="1182" w:type="dxa"/>
            <w:tcBorders>
              <w:top w:val="single" w:sz="4" w:space="0" w:color="000000"/>
              <w:left w:val="single" w:sz="4" w:space="0" w:color="000000"/>
              <w:bottom w:val="double" w:sz="4" w:space="0" w:color="000000"/>
              <w:right w:val="single" w:sz="4" w:space="0" w:color="000000"/>
            </w:tcBorders>
            <w:vAlign w:val="center"/>
            <w:hideMark/>
          </w:tcPr>
          <w:p w:rsidR="00FF3D90" w:rsidRPr="00846F61" w:rsidP="00146589" w14:paraId="35E2D19F" w14:textId="77777777">
            <w:pPr>
              <w:pStyle w:val="BodyText2"/>
              <w:jc w:val="center"/>
              <w:rPr>
                <w:sz w:val="22"/>
                <w:szCs w:val="22"/>
              </w:rPr>
            </w:pPr>
            <w:r w:rsidRPr="00846F61">
              <w:rPr>
                <w:sz w:val="22"/>
                <w:szCs w:val="22"/>
              </w:rPr>
              <w:t>603</w:t>
            </w:r>
          </w:p>
        </w:tc>
        <w:tc>
          <w:tcPr>
            <w:tcW w:w="1097" w:type="dxa"/>
            <w:tcBorders>
              <w:top w:val="single" w:sz="4" w:space="0" w:color="000000"/>
              <w:left w:val="single" w:sz="4" w:space="0" w:color="000000"/>
              <w:bottom w:val="double" w:sz="4" w:space="0" w:color="000000"/>
              <w:right w:val="single" w:sz="4" w:space="0" w:color="000000"/>
            </w:tcBorders>
            <w:vAlign w:val="center"/>
            <w:hideMark/>
          </w:tcPr>
          <w:p w:rsidR="00FF3D90" w:rsidRPr="00846F61" w:rsidP="00146589" w14:paraId="59908B8A" w14:textId="77777777">
            <w:pPr>
              <w:pStyle w:val="BodyText2"/>
              <w:jc w:val="center"/>
              <w:rPr>
                <w:sz w:val="22"/>
                <w:szCs w:val="22"/>
              </w:rPr>
            </w:pPr>
            <w:r w:rsidRPr="00846F61">
              <w:rPr>
                <w:sz w:val="22"/>
                <w:szCs w:val="22"/>
              </w:rPr>
              <w:t>20</w:t>
            </w:r>
          </w:p>
        </w:tc>
        <w:tc>
          <w:tcPr>
            <w:tcW w:w="1377" w:type="dxa"/>
            <w:tcBorders>
              <w:top w:val="single" w:sz="4" w:space="0" w:color="000000"/>
              <w:left w:val="single" w:sz="4" w:space="0" w:color="000000"/>
              <w:bottom w:val="double" w:sz="4" w:space="0" w:color="000000"/>
              <w:right w:val="single" w:sz="4" w:space="0" w:color="000000"/>
            </w:tcBorders>
            <w:vAlign w:val="center"/>
            <w:hideMark/>
          </w:tcPr>
          <w:p w:rsidR="00FF3D90" w:rsidRPr="00846F61" w:rsidP="00146589" w14:paraId="1946119D" w14:textId="77777777">
            <w:pPr>
              <w:pStyle w:val="BodyText2"/>
              <w:jc w:val="center"/>
              <w:rPr>
                <w:sz w:val="22"/>
                <w:szCs w:val="22"/>
              </w:rPr>
            </w:pPr>
            <w:r w:rsidRPr="00846F61">
              <w:rPr>
                <w:sz w:val="22"/>
                <w:szCs w:val="22"/>
              </w:rPr>
              <w:t>12,060</w:t>
            </w:r>
          </w:p>
        </w:tc>
        <w:tc>
          <w:tcPr>
            <w:tcW w:w="891" w:type="dxa"/>
            <w:tcBorders>
              <w:top w:val="single" w:sz="4" w:space="0" w:color="000000"/>
              <w:left w:val="single" w:sz="4" w:space="0" w:color="000000"/>
              <w:bottom w:val="double" w:sz="4" w:space="0" w:color="000000"/>
              <w:right w:val="single" w:sz="4" w:space="0" w:color="000000"/>
            </w:tcBorders>
            <w:vAlign w:val="center"/>
            <w:hideMark/>
          </w:tcPr>
          <w:p w:rsidR="00FF3D90" w:rsidRPr="00846F61" w:rsidP="00146589" w14:paraId="301E7DC4" w14:textId="77777777">
            <w:pPr>
              <w:pStyle w:val="BodyText2"/>
              <w:jc w:val="center"/>
              <w:rPr>
                <w:sz w:val="22"/>
                <w:szCs w:val="22"/>
              </w:rPr>
            </w:pPr>
            <w:r w:rsidRPr="00846F61">
              <w:rPr>
                <w:sz w:val="22"/>
                <w:szCs w:val="22"/>
              </w:rPr>
              <w:t>$75.05</w:t>
            </w:r>
            <w:r>
              <w:rPr>
                <w:rStyle w:val="FootnoteReference"/>
                <w:sz w:val="22"/>
                <w:szCs w:val="22"/>
              </w:rPr>
              <w:footnoteReference w:id="4"/>
            </w:r>
          </w:p>
        </w:tc>
        <w:tc>
          <w:tcPr>
            <w:tcW w:w="1296" w:type="dxa"/>
            <w:tcBorders>
              <w:top w:val="single" w:sz="4" w:space="0" w:color="000000"/>
              <w:left w:val="single" w:sz="4" w:space="0" w:color="000000"/>
              <w:bottom w:val="double" w:sz="4" w:space="0" w:color="000000"/>
              <w:right w:val="single" w:sz="4" w:space="0" w:color="000000"/>
            </w:tcBorders>
            <w:vAlign w:val="center"/>
            <w:hideMark/>
          </w:tcPr>
          <w:p w:rsidR="00FF3D90" w:rsidRPr="00846F61" w:rsidP="00146589" w14:paraId="1CCB97DB" w14:textId="77777777">
            <w:pPr>
              <w:pStyle w:val="BodyText2"/>
              <w:jc w:val="center"/>
              <w:rPr>
                <w:sz w:val="22"/>
                <w:szCs w:val="22"/>
              </w:rPr>
            </w:pPr>
            <w:r w:rsidRPr="00846F61">
              <w:rPr>
                <w:sz w:val="22"/>
                <w:szCs w:val="22"/>
              </w:rPr>
              <w:t>$905,103</w:t>
            </w:r>
          </w:p>
        </w:tc>
      </w:tr>
      <w:tr w14:paraId="3947F1D9" w14:textId="77777777" w:rsidTr="00FF3D90">
        <w:tblPrEx>
          <w:tblW w:w="10440" w:type="dxa"/>
          <w:tblInd w:w="-455" w:type="dxa"/>
          <w:tblLayout w:type="fixed"/>
          <w:tblLook w:val="04A0"/>
        </w:tblPrEx>
        <w:tc>
          <w:tcPr>
            <w:tcW w:w="1853" w:type="dxa"/>
            <w:tcBorders>
              <w:top w:val="double" w:sz="4" w:space="0" w:color="000000"/>
              <w:left w:val="single" w:sz="4" w:space="0" w:color="000000"/>
              <w:bottom w:val="single" w:sz="4" w:space="0" w:color="000000"/>
              <w:right w:val="single" w:sz="4" w:space="0" w:color="000000"/>
            </w:tcBorders>
            <w:vAlign w:val="center"/>
            <w:hideMark/>
          </w:tcPr>
          <w:p w:rsidR="00FF3D90" w:rsidRPr="00846F61" w:rsidP="00146589" w14:paraId="5025A561" w14:textId="77777777">
            <w:pPr>
              <w:pStyle w:val="BodyText2"/>
              <w:rPr>
                <w:sz w:val="22"/>
                <w:szCs w:val="22"/>
              </w:rPr>
            </w:pPr>
            <w:r w:rsidRPr="00846F61">
              <w:rPr>
                <w:sz w:val="22"/>
                <w:szCs w:val="22"/>
              </w:rPr>
              <w:t>Totals</w:t>
            </w:r>
          </w:p>
        </w:tc>
        <w:tc>
          <w:tcPr>
            <w:tcW w:w="1415" w:type="dxa"/>
            <w:tcBorders>
              <w:top w:val="double" w:sz="4" w:space="0" w:color="000000"/>
              <w:left w:val="single" w:sz="4" w:space="0" w:color="000000"/>
              <w:bottom w:val="single" w:sz="4" w:space="0" w:color="000000"/>
              <w:right w:val="single" w:sz="4" w:space="0" w:color="000000"/>
            </w:tcBorders>
            <w:vAlign w:val="center"/>
            <w:hideMark/>
          </w:tcPr>
          <w:p w:rsidR="00FF3D90" w:rsidRPr="00846F61" w:rsidP="00146589" w14:paraId="4F46623D" w14:textId="77777777">
            <w:pPr>
              <w:pStyle w:val="BodyText2"/>
              <w:jc w:val="center"/>
              <w:rPr>
                <w:sz w:val="22"/>
                <w:szCs w:val="22"/>
              </w:rPr>
            </w:pPr>
            <w:r w:rsidRPr="00846F61">
              <w:rPr>
                <w:sz w:val="22"/>
                <w:szCs w:val="22"/>
              </w:rPr>
              <w:t>603</w:t>
            </w:r>
          </w:p>
        </w:tc>
        <w:tc>
          <w:tcPr>
            <w:tcW w:w="1329" w:type="dxa"/>
            <w:tcBorders>
              <w:top w:val="double" w:sz="4" w:space="0" w:color="000000"/>
              <w:left w:val="single" w:sz="4" w:space="0" w:color="000000"/>
              <w:bottom w:val="single" w:sz="4" w:space="0" w:color="000000"/>
              <w:right w:val="single" w:sz="4" w:space="0" w:color="000000"/>
            </w:tcBorders>
            <w:vAlign w:val="center"/>
            <w:hideMark/>
          </w:tcPr>
          <w:p w:rsidR="00FF3D90" w:rsidRPr="00846F61" w:rsidP="00146589" w14:paraId="5A339C7E" w14:textId="77777777">
            <w:pPr>
              <w:pStyle w:val="BodyText2"/>
              <w:jc w:val="center"/>
              <w:rPr>
                <w:sz w:val="22"/>
                <w:szCs w:val="22"/>
              </w:rPr>
            </w:pPr>
            <w:r w:rsidRPr="00846F61">
              <w:rPr>
                <w:sz w:val="22"/>
                <w:szCs w:val="22"/>
              </w:rPr>
              <w:t>1</w:t>
            </w:r>
          </w:p>
        </w:tc>
        <w:tc>
          <w:tcPr>
            <w:tcW w:w="1182" w:type="dxa"/>
            <w:tcBorders>
              <w:top w:val="double" w:sz="4" w:space="0" w:color="000000"/>
              <w:left w:val="single" w:sz="4" w:space="0" w:color="000000"/>
              <w:bottom w:val="single" w:sz="4" w:space="0" w:color="000000"/>
              <w:right w:val="single" w:sz="4" w:space="0" w:color="000000"/>
            </w:tcBorders>
            <w:vAlign w:val="center"/>
            <w:hideMark/>
          </w:tcPr>
          <w:p w:rsidR="00FF3D90" w:rsidRPr="00846F61" w:rsidP="00146589" w14:paraId="090781EA" w14:textId="77777777">
            <w:pPr>
              <w:pStyle w:val="BodyText2"/>
              <w:jc w:val="center"/>
              <w:rPr>
                <w:sz w:val="22"/>
                <w:szCs w:val="22"/>
              </w:rPr>
            </w:pPr>
            <w:r w:rsidRPr="00846F61">
              <w:rPr>
                <w:sz w:val="22"/>
                <w:szCs w:val="22"/>
              </w:rPr>
              <w:t>603</w:t>
            </w:r>
          </w:p>
        </w:tc>
        <w:tc>
          <w:tcPr>
            <w:tcW w:w="1097" w:type="dxa"/>
            <w:tcBorders>
              <w:top w:val="double" w:sz="4" w:space="0" w:color="000000"/>
              <w:left w:val="single" w:sz="4" w:space="0" w:color="000000"/>
              <w:bottom w:val="single" w:sz="4" w:space="0" w:color="000000"/>
              <w:right w:val="single" w:sz="4" w:space="0" w:color="000000"/>
            </w:tcBorders>
            <w:shd w:val="clear" w:color="auto" w:fill="BFBFBF"/>
            <w:vAlign w:val="center"/>
          </w:tcPr>
          <w:p w:rsidR="00FF3D90" w:rsidRPr="00846F61" w:rsidP="00146589" w14:paraId="000FB651" w14:textId="77777777">
            <w:pPr>
              <w:pStyle w:val="BodyText2"/>
              <w:jc w:val="center"/>
              <w:rPr>
                <w:sz w:val="22"/>
                <w:szCs w:val="22"/>
              </w:rPr>
            </w:pPr>
          </w:p>
        </w:tc>
        <w:tc>
          <w:tcPr>
            <w:tcW w:w="1377" w:type="dxa"/>
            <w:tcBorders>
              <w:top w:val="double" w:sz="4" w:space="0" w:color="000000"/>
              <w:left w:val="single" w:sz="4" w:space="0" w:color="000000"/>
              <w:bottom w:val="single" w:sz="4" w:space="0" w:color="000000"/>
              <w:right w:val="single" w:sz="4" w:space="0" w:color="000000"/>
            </w:tcBorders>
            <w:vAlign w:val="center"/>
            <w:hideMark/>
          </w:tcPr>
          <w:p w:rsidR="00FF3D90" w:rsidRPr="00846F61" w:rsidP="00146589" w14:paraId="75D1FFC3" w14:textId="77777777">
            <w:pPr>
              <w:pStyle w:val="BodyText2"/>
              <w:jc w:val="center"/>
              <w:rPr>
                <w:sz w:val="22"/>
                <w:szCs w:val="22"/>
              </w:rPr>
            </w:pPr>
            <w:r>
              <w:rPr>
                <w:sz w:val="22"/>
                <w:szCs w:val="22"/>
              </w:rPr>
              <w:t>63,659</w:t>
            </w:r>
          </w:p>
        </w:tc>
        <w:tc>
          <w:tcPr>
            <w:tcW w:w="891" w:type="dxa"/>
            <w:tcBorders>
              <w:top w:val="double" w:sz="4" w:space="0" w:color="000000"/>
              <w:left w:val="single" w:sz="4" w:space="0" w:color="000000"/>
              <w:bottom w:val="single" w:sz="4" w:space="0" w:color="000000"/>
              <w:right w:val="single" w:sz="4" w:space="0" w:color="000000"/>
            </w:tcBorders>
            <w:shd w:val="clear" w:color="auto" w:fill="BFBFBF"/>
            <w:vAlign w:val="center"/>
          </w:tcPr>
          <w:p w:rsidR="00FF3D90" w:rsidRPr="00846F61" w:rsidP="00146589" w14:paraId="144DE0D8" w14:textId="77777777">
            <w:pPr>
              <w:pStyle w:val="BodyText2"/>
              <w:jc w:val="center"/>
              <w:rPr>
                <w:sz w:val="22"/>
                <w:szCs w:val="22"/>
              </w:rPr>
            </w:pPr>
          </w:p>
        </w:tc>
        <w:tc>
          <w:tcPr>
            <w:tcW w:w="1296" w:type="dxa"/>
            <w:tcBorders>
              <w:top w:val="double" w:sz="4" w:space="0" w:color="000000"/>
              <w:left w:val="single" w:sz="4" w:space="0" w:color="000000"/>
              <w:bottom w:val="single" w:sz="4" w:space="0" w:color="000000"/>
              <w:right w:val="single" w:sz="4" w:space="0" w:color="000000"/>
            </w:tcBorders>
            <w:vAlign w:val="center"/>
            <w:hideMark/>
          </w:tcPr>
          <w:p w:rsidR="00FF3D90" w:rsidRPr="00846F61" w:rsidP="00146589" w14:paraId="0AB7691B" w14:textId="77777777">
            <w:pPr>
              <w:pStyle w:val="BodyText2"/>
              <w:jc w:val="center"/>
              <w:rPr>
                <w:sz w:val="22"/>
                <w:szCs w:val="22"/>
              </w:rPr>
            </w:pPr>
            <w:r>
              <w:rPr>
                <w:sz w:val="22"/>
                <w:szCs w:val="22"/>
              </w:rPr>
              <w:t>$</w:t>
            </w:r>
            <w:r w:rsidRPr="00FF3D90">
              <w:rPr>
                <w:sz w:val="22"/>
                <w:szCs w:val="22"/>
              </w:rPr>
              <w:t>4</w:t>
            </w:r>
            <w:r>
              <w:rPr>
                <w:sz w:val="22"/>
                <w:szCs w:val="22"/>
              </w:rPr>
              <w:t>,</w:t>
            </w:r>
            <w:r w:rsidRPr="00FF3D90">
              <w:rPr>
                <w:sz w:val="22"/>
                <w:szCs w:val="22"/>
              </w:rPr>
              <w:t>777</w:t>
            </w:r>
            <w:r>
              <w:rPr>
                <w:sz w:val="22"/>
                <w:szCs w:val="22"/>
              </w:rPr>
              <w:t>,</w:t>
            </w:r>
            <w:r w:rsidRPr="00FF3D90">
              <w:rPr>
                <w:sz w:val="22"/>
                <w:szCs w:val="22"/>
              </w:rPr>
              <w:t>608</w:t>
            </w:r>
          </w:p>
        </w:tc>
      </w:tr>
    </w:tbl>
    <w:p w:rsidR="00D53936" w:rsidRPr="00846F61" w:rsidP="00D53936" w14:paraId="327DE5F9" w14:textId="77777777">
      <w:pPr>
        <w:rPr>
          <w:u w:val="single"/>
        </w:rPr>
      </w:pPr>
    </w:p>
    <w:p w:rsidR="00D53936" w:rsidRPr="00846F61" w:rsidP="00D53936" w14:paraId="22EC4FD6" w14:textId="6F99730B">
      <w:pPr>
        <w:rPr>
          <w:u w:val="single"/>
        </w:rPr>
      </w:pPr>
      <w:r w:rsidRPr="00846F61">
        <w:rPr>
          <w:u w:val="single"/>
        </w:rPr>
        <w:t>13</w:t>
      </w:r>
      <w:r w:rsidR="003E4B82">
        <w:rPr>
          <w:u w:val="single"/>
        </w:rPr>
        <w:t xml:space="preserve">. </w:t>
      </w:r>
      <w:r w:rsidRPr="00846F61">
        <w:rPr>
          <w:u w:val="single"/>
        </w:rPr>
        <w:t>Estimate of total annual cost burden to respondents</w:t>
      </w:r>
    </w:p>
    <w:p w:rsidR="00D53936" w:rsidP="00D53936" w14:paraId="5EBF7811" w14:textId="77777777">
      <w:r w:rsidRPr="00846F61">
        <w:t>There are no additional cost burdens to respondents to this collection of data. No purchase of equipment or services will be needed by respondents for this information collection, other than as required as part of customary and usual business practices.</w:t>
      </w:r>
    </w:p>
    <w:p w:rsidR="00FF3D90" w:rsidRPr="00846F61" w:rsidP="00D53936" w14:paraId="6C1B9B6E" w14:textId="77777777"/>
    <w:p w:rsidR="00D53936" w:rsidRPr="00846F61" w:rsidP="00D53936" w14:paraId="324F79BB" w14:textId="06FA8436">
      <w:pPr>
        <w:rPr>
          <w:u w:val="single"/>
        </w:rPr>
      </w:pPr>
      <w:r w:rsidRPr="00846F61">
        <w:rPr>
          <w:u w:val="single"/>
        </w:rPr>
        <w:t>14</w:t>
      </w:r>
      <w:r w:rsidR="003E4B82">
        <w:rPr>
          <w:u w:val="single"/>
        </w:rPr>
        <w:t xml:space="preserve">. </w:t>
      </w:r>
      <w:r w:rsidRPr="00846F61">
        <w:rPr>
          <w:u w:val="single"/>
        </w:rPr>
        <w:t xml:space="preserve">Estimate of annualized cost to the </w:t>
      </w:r>
      <w:r w:rsidRPr="00846F61" w:rsidR="00AF3DAF">
        <w:rPr>
          <w:u w:val="single"/>
        </w:rPr>
        <w:t>g</w:t>
      </w:r>
      <w:r w:rsidRPr="00846F61">
        <w:rPr>
          <w:u w:val="single"/>
        </w:rPr>
        <w:t>overnment</w:t>
      </w:r>
    </w:p>
    <w:p w:rsidR="00D53936" w:rsidRPr="00846F61" w:rsidP="00D53936" w14:paraId="2DFDBA8D" w14:textId="608F1202">
      <w:pPr>
        <w:autoSpaceDE w:val="0"/>
        <w:autoSpaceDN w:val="0"/>
        <w:spacing w:before="40" w:after="40"/>
      </w:pPr>
      <w:r w:rsidRPr="00846F61">
        <w:t xml:space="preserve">The annual staffing costs to the </w:t>
      </w:r>
      <w:r w:rsidRPr="00846F61" w:rsidR="00AF3DAF">
        <w:t>g</w:t>
      </w:r>
      <w:r w:rsidRPr="00846F61">
        <w:t>overnment are estimated at $</w:t>
      </w:r>
      <w:r w:rsidRPr="00846F61" w:rsidR="00427D7A">
        <w:t>251,160.00</w:t>
      </w:r>
      <w:r w:rsidRPr="00846F61">
        <w:t xml:space="preserve"> for </w:t>
      </w:r>
      <w:r w:rsidRPr="00846F61" w:rsidR="003320E7">
        <w:t xml:space="preserve">two </w:t>
      </w:r>
      <w:r w:rsidRPr="00846F61">
        <w:t>GS-13 entry- to mid-band staff people</w:t>
      </w:r>
      <w:r>
        <w:rPr>
          <w:rStyle w:val="FootnoteReference"/>
        </w:rPr>
        <w:footnoteReference w:id="5"/>
      </w:r>
      <w:r w:rsidRPr="00846F61">
        <w:t xml:space="preserve"> full time to manage, analyze and clean the data and answer client help desk questions. </w:t>
      </w:r>
      <w:r w:rsidRPr="00846F61">
        <w:rPr>
          <w:szCs w:val="24"/>
        </w:rPr>
        <w:t>The CDFI Fund pays an average of $</w:t>
      </w:r>
      <w:r w:rsidRPr="00846F61" w:rsidR="003320E7">
        <w:rPr>
          <w:szCs w:val="24"/>
        </w:rPr>
        <w:t>562,500</w:t>
      </w:r>
      <w:r w:rsidRPr="00846F61">
        <w:rPr>
          <w:szCs w:val="24"/>
        </w:rPr>
        <w:t xml:space="preserve"> annually to an external contractor for maintenance and data collection in AMIS</w:t>
      </w:r>
      <w:r w:rsidRPr="00846F61" w:rsidR="00AF3DAF">
        <w:rPr>
          <w:szCs w:val="24"/>
        </w:rPr>
        <w:t>,</w:t>
      </w:r>
      <w:r w:rsidRPr="00846F61">
        <w:rPr>
          <w:szCs w:val="24"/>
        </w:rPr>
        <w:t xml:space="preserve"> which includes support of the CDFI/NACA</w:t>
      </w:r>
      <w:r w:rsidR="003E4B82">
        <w:rPr>
          <w:szCs w:val="24"/>
        </w:rPr>
        <w:t xml:space="preserve"> Program</w:t>
      </w:r>
      <w:r w:rsidRPr="00846F61">
        <w:rPr>
          <w:szCs w:val="24"/>
        </w:rPr>
        <w:t xml:space="preserve"> TLR </w:t>
      </w:r>
      <w:r w:rsidR="00FF3D90">
        <w:rPr>
          <w:szCs w:val="24"/>
        </w:rPr>
        <w:t xml:space="preserve">NMTC </w:t>
      </w:r>
      <w:r w:rsidRPr="00431BFC" w:rsidR="00FF3D90">
        <w:rPr>
          <w:szCs w:val="24"/>
        </w:rPr>
        <w:t>ILR</w:t>
      </w:r>
      <w:r w:rsidR="00FF3D90">
        <w:rPr>
          <w:szCs w:val="24"/>
        </w:rPr>
        <w:t xml:space="preserve">, NMTC </w:t>
      </w:r>
      <w:r w:rsidRPr="00431BFC" w:rsidR="00FF3D90">
        <w:rPr>
          <w:szCs w:val="24"/>
        </w:rPr>
        <w:t>TLR</w:t>
      </w:r>
      <w:r w:rsidRPr="00846F61" w:rsidR="00FF3D90">
        <w:rPr>
          <w:szCs w:val="24"/>
        </w:rPr>
        <w:t xml:space="preserve"> </w:t>
      </w:r>
      <w:r w:rsidRPr="00846F61">
        <w:rPr>
          <w:szCs w:val="24"/>
        </w:rPr>
        <w:t xml:space="preserve">and other annual reporting submissions. The total estimated annualized cost to the </w:t>
      </w:r>
      <w:r w:rsidRPr="00846F61" w:rsidR="00AF3DAF">
        <w:rPr>
          <w:szCs w:val="24"/>
        </w:rPr>
        <w:t>g</w:t>
      </w:r>
      <w:r w:rsidRPr="00846F61">
        <w:rPr>
          <w:szCs w:val="24"/>
        </w:rPr>
        <w:t xml:space="preserve">overnment is </w:t>
      </w:r>
      <w:r w:rsidRPr="00846F61">
        <w:t>$</w:t>
      </w:r>
      <w:r w:rsidRPr="00846F61" w:rsidR="00427D7A">
        <w:t>813,660.00</w:t>
      </w:r>
      <w:r w:rsidRPr="00846F61">
        <w:t>.</w:t>
      </w:r>
    </w:p>
    <w:p w:rsidR="00D53936" w:rsidRPr="00846F61" w:rsidP="00D53936" w14:paraId="79EA6EDD" w14:textId="77777777">
      <w:pPr>
        <w:autoSpaceDE w:val="0"/>
        <w:autoSpaceDN w:val="0"/>
        <w:rPr>
          <w:u w:val="single"/>
        </w:rPr>
      </w:pPr>
      <w:r w:rsidRPr="00846F61">
        <w:rPr>
          <w:sz w:val="20"/>
        </w:rPr>
        <w:t> </w:t>
      </w:r>
    </w:p>
    <w:p w:rsidR="00D53936" w:rsidRPr="00846F61" w:rsidP="00D53936" w14:paraId="31AC049B" w14:textId="1EAD8F23">
      <w:pPr>
        <w:rPr>
          <w:u w:val="single"/>
        </w:rPr>
      </w:pPr>
      <w:r w:rsidRPr="00846F61">
        <w:rPr>
          <w:u w:val="single"/>
        </w:rPr>
        <w:t>15</w:t>
      </w:r>
      <w:r w:rsidR="003E4B82">
        <w:rPr>
          <w:u w:val="single"/>
        </w:rPr>
        <w:t xml:space="preserve">. </w:t>
      </w:r>
      <w:r w:rsidRPr="00846F61">
        <w:rPr>
          <w:u w:val="single"/>
        </w:rPr>
        <w:t>Any program changes or adjustments</w:t>
      </w:r>
    </w:p>
    <w:p w:rsidR="00D5279A" w:rsidP="00D5279A" w14:paraId="4DA07C47" w14:textId="77777777">
      <w:pPr>
        <w:autoSpaceDE w:val="0"/>
        <w:autoSpaceDN w:val="0"/>
        <w:adjustRightInd w:val="0"/>
        <w:rPr>
          <w:iCs/>
          <w:color w:val="000000"/>
          <w:szCs w:val="24"/>
        </w:rPr>
      </w:pPr>
      <w:r w:rsidRPr="00D5279A">
        <w:rPr>
          <w:iCs/>
          <w:color w:val="000000"/>
          <w:szCs w:val="24"/>
        </w:rPr>
        <w:t>To address the CDFI ERP reporting,</w:t>
      </w:r>
      <w:r>
        <w:rPr>
          <w:iCs/>
          <w:color w:val="000000"/>
          <w:szCs w:val="24"/>
        </w:rPr>
        <w:t xml:space="preserve"> </w:t>
      </w:r>
      <w:r w:rsidRPr="00D5279A">
        <w:rPr>
          <w:iCs/>
          <w:color w:val="000000"/>
          <w:szCs w:val="24"/>
        </w:rPr>
        <w:t>impact measurement, and compliance</w:t>
      </w:r>
      <w:r>
        <w:rPr>
          <w:iCs/>
          <w:color w:val="000000"/>
          <w:szCs w:val="24"/>
        </w:rPr>
        <w:t xml:space="preserve"> </w:t>
      </w:r>
      <w:r w:rsidRPr="00D5279A">
        <w:rPr>
          <w:iCs/>
          <w:color w:val="000000"/>
          <w:szCs w:val="24"/>
        </w:rPr>
        <w:t>needs, the following changes are</w:t>
      </w:r>
      <w:r>
        <w:rPr>
          <w:iCs/>
          <w:color w:val="000000"/>
          <w:szCs w:val="24"/>
        </w:rPr>
        <w:t xml:space="preserve"> </w:t>
      </w:r>
      <w:r w:rsidRPr="00D5279A">
        <w:rPr>
          <w:iCs/>
          <w:color w:val="000000"/>
          <w:szCs w:val="24"/>
        </w:rPr>
        <w:t>proposed:</w:t>
      </w:r>
      <w:r>
        <w:rPr>
          <w:iCs/>
          <w:color w:val="000000"/>
          <w:szCs w:val="24"/>
        </w:rPr>
        <w:t xml:space="preserve"> </w:t>
      </w:r>
    </w:p>
    <w:p w:rsidR="00D5279A" w:rsidRPr="008E3BAE" w:rsidP="008E3BAE" w14:paraId="5D6F88AF" w14:textId="77777777">
      <w:pPr>
        <w:pStyle w:val="ListParagraph"/>
        <w:numPr>
          <w:ilvl w:val="0"/>
          <w:numId w:val="1"/>
        </w:numPr>
        <w:autoSpaceDE w:val="0"/>
        <w:autoSpaceDN w:val="0"/>
        <w:adjustRightInd w:val="0"/>
        <w:rPr>
          <w:iCs/>
          <w:color w:val="000000"/>
          <w:szCs w:val="24"/>
        </w:rPr>
      </w:pPr>
      <w:r w:rsidRPr="008E3BAE">
        <w:rPr>
          <w:iCs/>
          <w:color w:val="000000"/>
          <w:szCs w:val="24"/>
        </w:rPr>
        <w:t xml:space="preserve">Updates to the Existing TLR, Address Record, and Loan Purchase Reports </w:t>
      </w:r>
    </w:p>
    <w:p w:rsidR="00D5279A" w:rsidRPr="008E3BAE" w:rsidP="008E3BAE" w14:paraId="1426FFF8" w14:textId="5EAAE712">
      <w:pPr>
        <w:pStyle w:val="ListParagraph"/>
        <w:numPr>
          <w:ilvl w:val="1"/>
          <w:numId w:val="1"/>
        </w:numPr>
        <w:autoSpaceDE w:val="0"/>
        <w:autoSpaceDN w:val="0"/>
        <w:adjustRightInd w:val="0"/>
        <w:rPr>
          <w:iCs/>
          <w:color w:val="000000"/>
          <w:szCs w:val="24"/>
        </w:rPr>
      </w:pPr>
      <w:r w:rsidRPr="008E3BAE">
        <w:rPr>
          <w:iCs/>
          <w:color w:val="000000"/>
          <w:szCs w:val="24"/>
        </w:rPr>
        <w:t>New answer choices for existing data fields.</w:t>
      </w:r>
    </w:p>
    <w:p w:rsidR="00D5279A" w:rsidRPr="008E3BAE" w:rsidP="008E3BAE" w14:paraId="333B0F4B" w14:textId="5C304DA2">
      <w:pPr>
        <w:pStyle w:val="ListParagraph"/>
        <w:numPr>
          <w:ilvl w:val="1"/>
          <w:numId w:val="1"/>
        </w:numPr>
        <w:autoSpaceDE w:val="0"/>
        <w:autoSpaceDN w:val="0"/>
        <w:adjustRightInd w:val="0"/>
        <w:rPr>
          <w:iCs/>
          <w:color w:val="000000"/>
          <w:szCs w:val="24"/>
        </w:rPr>
      </w:pPr>
      <w:r w:rsidRPr="008E3BAE">
        <w:rPr>
          <w:iCs/>
          <w:color w:val="000000"/>
          <w:szCs w:val="24"/>
        </w:rPr>
        <w:t>New data fields for measuring the</w:t>
      </w:r>
      <w:r>
        <w:rPr>
          <w:iCs/>
          <w:color w:val="000000"/>
          <w:szCs w:val="24"/>
        </w:rPr>
        <w:t xml:space="preserve"> </w:t>
      </w:r>
      <w:r w:rsidRPr="008E3BAE">
        <w:rPr>
          <w:iCs/>
          <w:color w:val="000000"/>
          <w:szCs w:val="24"/>
        </w:rPr>
        <w:t>specific impacts, geographies, and</w:t>
      </w:r>
      <w:r>
        <w:rPr>
          <w:iCs/>
          <w:color w:val="000000"/>
          <w:szCs w:val="24"/>
        </w:rPr>
        <w:t xml:space="preserve"> </w:t>
      </w:r>
      <w:r w:rsidRPr="008E3BAE">
        <w:rPr>
          <w:iCs/>
          <w:color w:val="000000"/>
          <w:szCs w:val="24"/>
        </w:rPr>
        <w:t>characteristics of CDFI ERP transactions.</w:t>
      </w:r>
    </w:p>
    <w:p w:rsidR="00D5279A" w:rsidRPr="008E3BAE" w:rsidP="008E3BAE" w14:paraId="3A662E15" w14:textId="4F04C829">
      <w:pPr>
        <w:pStyle w:val="ListParagraph"/>
        <w:numPr>
          <w:ilvl w:val="0"/>
          <w:numId w:val="1"/>
        </w:numPr>
        <w:autoSpaceDE w:val="0"/>
        <w:autoSpaceDN w:val="0"/>
        <w:adjustRightInd w:val="0"/>
        <w:rPr>
          <w:iCs/>
          <w:color w:val="000000"/>
          <w:szCs w:val="24"/>
        </w:rPr>
      </w:pPr>
      <w:r w:rsidRPr="008E3BAE">
        <w:rPr>
          <w:iCs/>
          <w:color w:val="000000"/>
          <w:szCs w:val="24"/>
        </w:rPr>
        <w:t>New Reporting Templates for CDFI</w:t>
      </w:r>
      <w:r>
        <w:rPr>
          <w:iCs/>
          <w:color w:val="000000"/>
          <w:szCs w:val="24"/>
        </w:rPr>
        <w:t xml:space="preserve"> </w:t>
      </w:r>
      <w:r w:rsidRPr="008E3BAE">
        <w:rPr>
          <w:iCs/>
          <w:color w:val="000000"/>
          <w:szCs w:val="24"/>
        </w:rPr>
        <w:t>ERP-Specific Grants and Consumer</w:t>
      </w:r>
      <w:r>
        <w:rPr>
          <w:iCs/>
          <w:color w:val="000000"/>
          <w:szCs w:val="24"/>
        </w:rPr>
        <w:t xml:space="preserve"> </w:t>
      </w:r>
      <w:r w:rsidRPr="008E3BAE">
        <w:rPr>
          <w:iCs/>
          <w:color w:val="000000"/>
          <w:szCs w:val="24"/>
        </w:rPr>
        <w:t>Loans</w:t>
      </w:r>
    </w:p>
    <w:p w:rsidR="00D5279A" w:rsidRPr="008E3BAE" w:rsidP="008E3BAE" w14:paraId="5645FA0E" w14:textId="311EA7B9">
      <w:pPr>
        <w:pStyle w:val="ListParagraph"/>
        <w:numPr>
          <w:ilvl w:val="1"/>
          <w:numId w:val="1"/>
        </w:numPr>
        <w:autoSpaceDE w:val="0"/>
        <w:autoSpaceDN w:val="0"/>
        <w:adjustRightInd w:val="0"/>
        <w:rPr>
          <w:iCs/>
          <w:color w:val="000000"/>
          <w:szCs w:val="24"/>
        </w:rPr>
      </w:pPr>
      <w:r w:rsidRPr="008E3BAE">
        <w:rPr>
          <w:iCs/>
          <w:color w:val="000000"/>
          <w:szCs w:val="24"/>
        </w:rPr>
        <w:t>A new Grant-Level Report (GLR)</w:t>
      </w:r>
      <w:r>
        <w:rPr>
          <w:iCs/>
          <w:color w:val="000000"/>
          <w:szCs w:val="24"/>
        </w:rPr>
        <w:t xml:space="preserve"> </w:t>
      </w:r>
      <w:r w:rsidRPr="008E3BAE">
        <w:rPr>
          <w:iCs/>
          <w:color w:val="000000"/>
          <w:szCs w:val="24"/>
        </w:rPr>
        <w:t>template and data fields to capture</w:t>
      </w:r>
      <w:r>
        <w:rPr>
          <w:iCs/>
          <w:color w:val="000000"/>
          <w:szCs w:val="24"/>
        </w:rPr>
        <w:t xml:space="preserve"> </w:t>
      </w:r>
      <w:r w:rsidRPr="008E3BAE">
        <w:rPr>
          <w:iCs/>
          <w:color w:val="000000"/>
          <w:szCs w:val="24"/>
        </w:rPr>
        <w:t>grantmaking activity that CDFI ERP</w:t>
      </w:r>
      <w:r>
        <w:rPr>
          <w:iCs/>
          <w:color w:val="000000"/>
          <w:szCs w:val="24"/>
        </w:rPr>
        <w:t xml:space="preserve"> </w:t>
      </w:r>
      <w:r w:rsidRPr="008E3BAE">
        <w:rPr>
          <w:iCs/>
          <w:color w:val="000000"/>
          <w:szCs w:val="24"/>
        </w:rPr>
        <w:t>Award Recipients may conduct as part</w:t>
      </w:r>
      <w:r>
        <w:rPr>
          <w:iCs/>
          <w:color w:val="000000"/>
          <w:szCs w:val="24"/>
        </w:rPr>
        <w:t xml:space="preserve"> </w:t>
      </w:r>
      <w:r w:rsidRPr="008E3BAE">
        <w:rPr>
          <w:iCs/>
          <w:color w:val="000000"/>
          <w:szCs w:val="24"/>
        </w:rPr>
        <w:t>of meeting their CDFI ERP Performance</w:t>
      </w:r>
      <w:r>
        <w:rPr>
          <w:iCs/>
          <w:color w:val="000000"/>
          <w:szCs w:val="24"/>
        </w:rPr>
        <w:t xml:space="preserve"> </w:t>
      </w:r>
      <w:r w:rsidRPr="008E3BAE">
        <w:rPr>
          <w:iCs/>
          <w:color w:val="000000"/>
          <w:szCs w:val="24"/>
        </w:rPr>
        <w:t>Goals and Activities.</w:t>
      </w:r>
    </w:p>
    <w:p w:rsidR="00D5279A" w:rsidRPr="008E3BAE" w:rsidP="008E3BAE" w14:paraId="40D10F8E" w14:textId="56F16361">
      <w:pPr>
        <w:pStyle w:val="ListParagraph"/>
        <w:numPr>
          <w:ilvl w:val="1"/>
          <w:numId w:val="1"/>
        </w:numPr>
        <w:autoSpaceDE w:val="0"/>
        <w:autoSpaceDN w:val="0"/>
        <w:adjustRightInd w:val="0"/>
        <w:rPr>
          <w:iCs/>
          <w:color w:val="000000"/>
          <w:szCs w:val="24"/>
        </w:rPr>
      </w:pPr>
      <w:r w:rsidRPr="008E3BAE">
        <w:rPr>
          <w:iCs/>
          <w:color w:val="000000"/>
          <w:szCs w:val="24"/>
        </w:rPr>
        <w:t>A new CDFI ERP-specific Consumer</w:t>
      </w:r>
      <w:r>
        <w:rPr>
          <w:iCs/>
          <w:color w:val="000000"/>
          <w:szCs w:val="24"/>
        </w:rPr>
        <w:t xml:space="preserve"> </w:t>
      </w:r>
      <w:r w:rsidRPr="008E3BAE">
        <w:rPr>
          <w:iCs/>
          <w:color w:val="000000"/>
          <w:szCs w:val="24"/>
        </w:rPr>
        <w:t>Loans/Investments Report (ERP CLR)</w:t>
      </w:r>
      <w:r>
        <w:rPr>
          <w:iCs/>
          <w:color w:val="000000"/>
          <w:szCs w:val="24"/>
        </w:rPr>
        <w:t xml:space="preserve"> </w:t>
      </w:r>
      <w:r w:rsidRPr="008E3BAE">
        <w:rPr>
          <w:iCs/>
          <w:color w:val="000000"/>
          <w:szCs w:val="24"/>
        </w:rPr>
        <w:t>subtotal breakout completed by</w:t>
      </w:r>
      <w:r>
        <w:rPr>
          <w:iCs/>
          <w:color w:val="000000"/>
          <w:szCs w:val="24"/>
        </w:rPr>
        <w:t xml:space="preserve"> </w:t>
      </w:r>
      <w:r w:rsidRPr="008E3BAE">
        <w:rPr>
          <w:iCs/>
          <w:color w:val="000000"/>
          <w:szCs w:val="24"/>
        </w:rPr>
        <w:t>regulated entities only (banks, credit</w:t>
      </w:r>
      <w:r>
        <w:rPr>
          <w:iCs/>
          <w:color w:val="000000"/>
          <w:szCs w:val="24"/>
        </w:rPr>
        <w:t xml:space="preserve"> </w:t>
      </w:r>
      <w:r w:rsidRPr="008E3BAE">
        <w:rPr>
          <w:iCs/>
          <w:color w:val="000000"/>
          <w:szCs w:val="24"/>
        </w:rPr>
        <w:t xml:space="preserve">unions, </w:t>
      </w:r>
      <w:r w:rsidRPr="008E3BAE">
        <w:rPr>
          <w:iCs/>
          <w:color w:val="000000"/>
          <w:szCs w:val="24"/>
        </w:rPr>
        <w:t>cooperativas</w:t>
      </w:r>
      <w:r w:rsidRPr="008E3BAE">
        <w:rPr>
          <w:iCs/>
          <w:color w:val="000000"/>
          <w:szCs w:val="24"/>
        </w:rPr>
        <w:t>, and depository</w:t>
      </w:r>
      <w:r>
        <w:rPr>
          <w:iCs/>
          <w:color w:val="000000"/>
          <w:szCs w:val="24"/>
        </w:rPr>
        <w:t xml:space="preserve"> </w:t>
      </w:r>
      <w:r w:rsidRPr="008E3BAE">
        <w:rPr>
          <w:iCs/>
          <w:color w:val="000000"/>
          <w:szCs w:val="24"/>
        </w:rPr>
        <w:t>institution holding companies) that</w:t>
      </w:r>
      <w:r>
        <w:rPr>
          <w:iCs/>
          <w:color w:val="000000"/>
          <w:szCs w:val="24"/>
        </w:rPr>
        <w:t xml:space="preserve"> </w:t>
      </w:r>
      <w:r w:rsidRPr="008E3BAE">
        <w:rPr>
          <w:iCs/>
          <w:color w:val="000000"/>
          <w:szCs w:val="24"/>
        </w:rPr>
        <w:t>summarizes CDFI ERP consumer loan</w:t>
      </w:r>
      <w:r>
        <w:rPr>
          <w:iCs/>
          <w:color w:val="000000"/>
          <w:szCs w:val="24"/>
        </w:rPr>
        <w:t xml:space="preserve"> </w:t>
      </w:r>
      <w:r w:rsidRPr="008E3BAE">
        <w:rPr>
          <w:iCs/>
          <w:color w:val="000000"/>
          <w:szCs w:val="24"/>
        </w:rPr>
        <w:t>activity at the census tract level and is</w:t>
      </w:r>
      <w:r>
        <w:rPr>
          <w:iCs/>
          <w:color w:val="000000"/>
          <w:szCs w:val="24"/>
        </w:rPr>
        <w:t xml:space="preserve"> </w:t>
      </w:r>
      <w:r w:rsidRPr="008E3BAE">
        <w:rPr>
          <w:iCs/>
          <w:color w:val="000000"/>
          <w:szCs w:val="24"/>
        </w:rPr>
        <w:t>completed in addition to the existing</w:t>
      </w:r>
      <w:r>
        <w:rPr>
          <w:iCs/>
          <w:color w:val="000000"/>
          <w:szCs w:val="24"/>
        </w:rPr>
        <w:t xml:space="preserve"> </w:t>
      </w:r>
      <w:r w:rsidRPr="008E3BAE">
        <w:rPr>
          <w:iCs/>
          <w:color w:val="000000"/>
          <w:szCs w:val="24"/>
        </w:rPr>
        <w:t>CLR.</w:t>
      </w:r>
    </w:p>
    <w:p w:rsidR="008E3BAE" w:rsidP="00D5279A" w14:paraId="204B9205" w14:textId="77777777">
      <w:pPr>
        <w:autoSpaceDE w:val="0"/>
        <w:autoSpaceDN w:val="0"/>
        <w:adjustRightInd w:val="0"/>
        <w:rPr>
          <w:iCs/>
          <w:color w:val="000000"/>
          <w:szCs w:val="24"/>
        </w:rPr>
      </w:pPr>
    </w:p>
    <w:p w:rsidR="00D5279A" w:rsidP="00D5279A" w14:paraId="521C208C" w14:textId="035D1C15">
      <w:pPr>
        <w:autoSpaceDE w:val="0"/>
        <w:autoSpaceDN w:val="0"/>
        <w:adjustRightInd w:val="0"/>
        <w:rPr>
          <w:iCs/>
          <w:color w:val="000000"/>
          <w:szCs w:val="24"/>
        </w:rPr>
      </w:pPr>
      <w:r w:rsidRPr="00D5279A">
        <w:rPr>
          <w:iCs/>
          <w:color w:val="000000"/>
          <w:szCs w:val="24"/>
        </w:rPr>
        <w:t>The data points and reports (new and</w:t>
      </w:r>
      <w:r>
        <w:rPr>
          <w:iCs/>
          <w:color w:val="000000"/>
          <w:szCs w:val="24"/>
        </w:rPr>
        <w:t xml:space="preserve"> </w:t>
      </w:r>
      <w:r w:rsidRPr="00D5279A">
        <w:rPr>
          <w:iCs/>
          <w:color w:val="000000"/>
          <w:szCs w:val="24"/>
        </w:rPr>
        <w:t>revised) align with the CDFI ERP</w:t>
      </w:r>
      <w:r>
        <w:rPr>
          <w:iCs/>
          <w:color w:val="000000"/>
          <w:szCs w:val="24"/>
        </w:rPr>
        <w:t xml:space="preserve"> </w:t>
      </w:r>
      <w:r w:rsidRPr="00D5279A">
        <w:rPr>
          <w:iCs/>
          <w:color w:val="000000"/>
          <w:szCs w:val="24"/>
        </w:rPr>
        <w:t>Eligible Activities and will allow the</w:t>
      </w:r>
      <w:r>
        <w:rPr>
          <w:iCs/>
          <w:color w:val="000000"/>
          <w:szCs w:val="24"/>
        </w:rPr>
        <w:t xml:space="preserve"> </w:t>
      </w:r>
      <w:r w:rsidRPr="00D5279A">
        <w:rPr>
          <w:iCs/>
          <w:color w:val="000000"/>
          <w:szCs w:val="24"/>
        </w:rPr>
        <w:t>CDFI Fund to track and assess CDFI ERP</w:t>
      </w:r>
      <w:r>
        <w:rPr>
          <w:iCs/>
          <w:color w:val="000000"/>
          <w:szCs w:val="24"/>
        </w:rPr>
        <w:t xml:space="preserve"> </w:t>
      </w:r>
      <w:r w:rsidRPr="00D5279A">
        <w:rPr>
          <w:iCs/>
          <w:color w:val="000000"/>
          <w:szCs w:val="24"/>
        </w:rPr>
        <w:t>impacts and compliance with certain</w:t>
      </w:r>
      <w:r>
        <w:rPr>
          <w:iCs/>
          <w:color w:val="000000"/>
          <w:szCs w:val="24"/>
        </w:rPr>
        <w:t xml:space="preserve"> </w:t>
      </w:r>
      <w:r w:rsidRPr="00D5279A">
        <w:rPr>
          <w:iCs/>
          <w:color w:val="000000"/>
          <w:szCs w:val="24"/>
        </w:rPr>
        <w:t>terms and conditions of the CDFI ERP</w:t>
      </w:r>
      <w:r>
        <w:rPr>
          <w:iCs/>
          <w:color w:val="000000"/>
          <w:szCs w:val="24"/>
        </w:rPr>
        <w:t xml:space="preserve"> </w:t>
      </w:r>
      <w:r w:rsidRPr="00D5279A">
        <w:rPr>
          <w:iCs/>
          <w:color w:val="000000"/>
          <w:szCs w:val="24"/>
        </w:rPr>
        <w:t>Award. The proposed changes also aim</w:t>
      </w:r>
      <w:r w:rsidRPr="00D5279A">
        <w:t xml:space="preserve"> </w:t>
      </w:r>
      <w:r w:rsidRPr="00D5279A">
        <w:rPr>
          <w:iCs/>
          <w:color w:val="000000"/>
          <w:szCs w:val="24"/>
        </w:rPr>
        <w:t xml:space="preserve">to minimize reporting burden for </w:t>
      </w:r>
      <w:r w:rsidR="009740A0">
        <w:rPr>
          <w:iCs/>
          <w:color w:val="000000"/>
          <w:szCs w:val="24"/>
        </w:rPr>
        <w:t xml:space="preserve">CDFI ERP </w:t>
      </w:r>
      <w:r w:rsidRPr="00D5279A">
        <w:rPr>
          <w:iCs/>
          <w:color w:val="000000"/>
          <w:szCs w:val="24"/>
        </w:rPr>
        <w:t>Award</w:t>
      </w:r>
      <w:r>
        <w:rPr>
          <w:iCs/>
          <w:color w:val="000000"/>
          <w:szCs w:val="24"/>
        </w:rPr>
        <w:t xml:space="preserve"> </w:t>
      </w:r>
      <w:r w:rsidRPr="00D5279A">
        <w:rPr>
          <w:iCs/>
          <w:color w:val="000000"/>
          <w:szCs w:val="24"/>
        </w:rPr>
        <w:t>Recipients and maximize use of existing</w:t>
      </w:r>
      <w:r>
        <w:rPr>
          <w:iCs/>
          <w:color w:val="000000"/>
          <w:szCs w:val="24"/>
        </w:rPr>
        <w:t xml:space="preserve"> </w:t>
      </w:r>
      <w:r w:rsidRPr="00D5279A">
        <w:rPr>
          <w:iCs/>
          <w:color w:val="000000"/>
          <w:szCs w:val="24"/>
        </w:rPr>
        <w:t>forms/reports where possible. The new</w:t>
      </w:r>
      <w:r>
        <w:rPr>
          <w:iCs/>
          <w:color w:val="000000"/>
          <w:szCs w:val="24"/>
        </w:rPr>
        <w:t xml:space="preserve"> </w:t>
      </w:r>
      <w:r w:rsidRPr="00D5279A">
        <w:rPr>
          <w:iCs/>
          <w:color w:val="000000"/>
          <w:szCs w:val="24"/>
        </w:rPr>
        <w:t>data points and templates will only be</w:t>
      </w:r>
      <w:r>
        <w:rPr>
          <w:iCs/>
          <w:color w:val="000000"/>
          <w:szCs w:val="24"/>
        </w:rPr>
        <w:t xml:space="preserve"> </w:t>
      </w:r>
      <w:r w:rsidRPr="00D5279A">
        <w:rPr>
          <w:iCs/>
          <w:color w:val="000000"/>
          <w:szCs w:val="24"/>
        </w:rPr>
        <w:t>required for transactions the CDFI is</w:t>
      </w:r>
      <w:r>
        <w:rPr>
          <w:iCs/>
          <w:color w:val="000000"/>
          <w:szCs w:val="24"/>
        </w:rPr>
        <w:t xml:space="preserve"> </w:t>
      </w:r>
      <w:r w:rsidRPr="00D5279A">
        <w:rPr>
          <w:iCs/>
          <w:color w:val="000000"/>
          <w:szCs w:val="24"/>
        </w:rPr>
        <w:t>choosing to associate with CDFI ERP. In</w:t>
      </w:r>
      <w:r>
        <w:rPr>
          <w:iCs/>
          <w:color w:val="000000"/>
          <w:szCs w:val="24"/>
        </w:rPr>
        <w:t xml:space="preserve"> </w:t>
      </w:r>
      <w:r w:rsidRPr="00D5279A">
        <w:rPr>
          <w:iCs/>
          <w:color w:val="000000"/>
          <w:szCs w:val="24"/>
        </w:rPr>
        <w:t>addition, the proposed changes are</w:t>
      </w:r>
      <w:r>
        <w:rPr>
          <w:iCs/>
          <w:color w:val="000000"/>
          <w:szCs w:val="24"/>
        </w:rPr>
        <w:t xml:space="preserve"> </w:t>
      </w:r>
      <w:r w:rsidRPr="00D5279A">
        <w:rPr>
          <w:iCs/>
          <w:color w:val="000000"/>
          <w:szCs w:val="24"/>
        </w:rPr>
        <w:t>presented with careful consideration of</w:t>
      </w:r>
      <w:r>
        <w:rPr>
          <w:iCs/>
          <w:color w:val="000000"/>
          <w:szCs w:val="24"/>
        </w:rPr>
        <w:t xml:space="preserve"> </w:t>
      </w:r>
      <w:r w:rsidRPr="00D5279A">
        <w:rPr>
          <w:iCs/>
          <w:color w:val="000000"/>
          <w:szCs w:val="24"/>
        </w:rPr>
        <w:t>and intended compatibility with the</w:t>
      </w:r>
      <w:r>
        <w:rPr>
          <w:iCs/>
          <w:color w:val="000000"/>
          <w:szCs w:val="24"/>
        </w:rPr>
        <w:t xml:space="preserve"> </w:t>
      </w:r>
      <w:r w:rsidRPr="00D5279A">
        <w:rPr>
          <w:iCs/>
          <w:color w:val="000000"/>
          <w:szCs w:val="24"/>
        </w:rPr>
        <w:t>CDFI Certification Application’s use of</w:t>
      </w:r>
      <w:r>
        <w:rPr>
          <w:iCs/>
          <w:color w:val="000000"/>
          <w:szCs w:val="24"/>
        </w:rPr>
        <w:t xml:space="preserve"> </w:t>
      </w:r>
      <w:r w:rsidRPr="00D5279A">
        <w:rPr>
          <w:iCs/>
          <w:color w:val="000000"/>
          <w:szCs w:val="24"/>
        </w:rPr>
        <w:t>TLR data.</w:t>
      </w:r>
    </w:p>
    <w:p w:rsidR="008E3BAE" w:rsidP="00D5279A" w14:paraId="40BB8B19" w14:textId="77777777">
      <w:pPr>
        <w:autoSpaceDE w:val="0"/>
        <w:autoSpaceDN w:val="0"/>
        <w:adjustRightInd w:val="0"/>
        <w:rPr>
          <w:iCs/>
          <w:color w:val="000000"/>
          <w:szCs w:val="24"/>
        </w:rPr>
      </w:pPr>
    </w:p>
    <w:p w:rsidR="00D5279A" w:rsidRPr="00D5279A" w:rsidP="00D5279A" w14:paraId="45909133" w14:textId="54EA6F45">
      <w:pPr>
        <w:autoSpaceDE w:val="0"/>
        <w:autoSpaceDN w:val="0"/>
        <w:adjustRightInd w:val="0"/>
        <w:rPr>
          <w:iCs/>
          <w:color w:val="000000"/>
          <w:szCs w:val="24"/>
        </w:rPr>
      </w:pPr>
      <w:r w:rsidRPr="00D5279A">
        <w:rPr>
          <w:iCs/>
          <w:color w:val="000000"/>
          <w:szCs w:val="24"/>
        </w:rPr>
        <w:t>For existing TLR data fields, one data</w:t>
      </w:r>
      <w:r>
        <w:rPr>
          <w:iCs/>
          <w:color w:val="000000"/>
          <w:szCs w:val="24"/>
        </w:rPr>
        <w:t xml:space="preserve"> </w:t>
      </w:r>
      <w:r w:rsidRPr="00D5279A">
        <w:rPr>
          <w:iCs/>
          <w:color w:val="000000"/>
          <w:szCs w:val="24"/>
        </w:rPr>
        <w:t>point has been revised in the TLR and</w:t>
      </w:r>
      <w:r>
        <w:rPr>
          <w:iCs/>
          <w:color w:val="000000"/>
          <w:szCs w:val="24"/>
        </w:rPr>
        <w:t xml:space="preserve"> </w:t>
      </w:r>
      <w:r w:rsidRPr="00D5279A">
        <w:rPr>
          <w:iCs/>
          <w:color w:val="000000"/>
          <w:szCs w:val="24"/>
        </w:rPr>
        <w:t>Loan Purchase TLR Objects in the</w:t>
      </w:r>
      <w:r>
        <w:rPr>
          <w:iCs/>
          <w:color w:val="000000"/>
          <w:szCs w:val="24"/>
        </w:rPr>
        <w:t xml:space="preserve"> </w:t>
      </w:r>
      <w:r w:rsidRPr="00D5279A">
        <w:rPr>
          <w:iCs/>
          <w:color w:val="000000"/>
          <w:szCs w:val="24"/>
        </w:rPr>
        <w:t>Awards Management Information</w:t>
      </w:r>
      <w:r>
        <w:rPr>
          <w:iCs/>
          <w:color w:val="000000"/>
          <w:szCs w:val="24"/>
        </w:rPr>
        <w:t xml:space="preserve"> </w:t>
      </w:r>
      <w:r w:rsidRPr="00D5279A">
        <w:rPr>
          <w:iCs/>
          <w:color w:val="000000"/>
          <w:szCs w:val="24"/>
        </w:rPr>
        <w:t>System to allow CDFIs to indicate a TLR</w:t>
      </w:r>
      <w:r>
        <w:rPr>
          <w:iCs/>
          <w:color w:val="000000"/>
          <w:szCs w:val="24"/>
        </w:rPr>
        <w:t xml:space="preserve"> </w:t>
      </w:r>
      <w:r w:rsidRPr="00D5279A">
        <w:rPr>
          <w:iCs/>
          <w:color w:val="000000"/>
          <w:szCs w:val="24"/>
        </w:rPr>
        <w:t>transaction is associated with CDFI ERP:</w:t>
      </w:r>
    </w:p>
    <w:p w:rsidR="00D5279A" w:rsidRPr="008E3BAE" w:rsidP="008E3BAE" w14:paraId="15020EAB" w14:textId="793E973A">
      <w:pPr>
        <w:pStyle w:val="ListParagraph"/>
        <w:numPr>
          <w:ilvl w:val="0"/>
          <w:numId w:val="2"/>
        </w:numPr>
        <w:autoSpaceDE w:val="0"/>
        <w:autoSpaceDN w:val="0"/>
        <w:adjustRightInd w:val="0"/>
        <w:rPr>
          <w:iCs/>
          <w:color w:val="000000"/>
          <w:szCs w:val="24"/>
        </w:rPr>
      </w:pPr>
      <w:r w:rsidRPr="008E3BAE">
        <w:rPr>
          <w:iCs/>
          <w:color w:val="000000"/>
          <w:szCs w:val="24"/>
        </w:rPr>
        <w:t>Financial Assistance (FA) Program</w:t>
      </w:r>
      <w:r>
        <w:rPr>
          <w:iCs/>
          <w:color w:val="000000"/>
          <w:szCs w:val="24"/>
        </w:rPr>
        <w:t xml:space="preserve"> </w:t>
      </w:r>
      <w:r w:rsidRPr="008E3BAE">
        <w:rPr>
          <w:iCs/>
          <w:color w:val="000000"/>
          <w:szCs w:val="24"/>
        </w:rPr>
        <w:t>Type</w:t>
      </w:r>
    </w:p>
    <w:p w:rsidR="00D5279A" w:rsidP="00D5279A" w14:paraId="0E3A5C03" w14:textId="77777777">
      <w:pPr>
        <w:autoSpaceDE w:val="0"/>
        <w:autoSpaceDN w:val="0"/>
        <w:adjustRightInd w:val="0"/>
        <w:rPr>
          <w:iCs/>
          <w:color w:val="000000"/>
          <w:szCs w:val="24"/>
        </w:rPr>
      </w:pPr>
    </w:p>
    <w:p w:rsidR="00D5279A" w:rsidP="00D5279A" w14:paraId="7D08C1B4" w14:textId="77777777">
      <w:pPr>
        <w:autoSpaceDE w:val="0"/>
        <w:autoSpaceDN w:val="0"/>
        <w:adjustRightInd w:val="0"/>
        <w:rPr>
          <w:iCs/>
          <w:color w:val="000000"/>
          <w:szCs w:val="24"/>
        </w:rPr>
      </w:pPr>
      <w:r w:rsidRPr="00D5279A">
        <w:rPr>
          <w:iCs/>
          <w:color w:val="000000"/>
          <w:szCs w:val="24"/>
        </w:rPr>
        <w:t>New data fields (limited to CDFI ERP</w:t>
      </w:r>
      <w:r>
        <w:rPr>
          <w:iCs/>
          <w:color w:val="000000"/>
          <w:szCs w:val="24"/>
        </w:rPr>
        <w:t xml:space="preserve"> </w:t>
      </w:r>
      <w:r w:rsidRPr="00D5279A">
        <w:rPr>
          <w:iCs/>
          <w:color w:val="000000"/>
          <w:szCs w:val="24"/>
        </w:rPr>
        <w:t>transactions only) have been added to</w:t>
      </w:r>
      <w:r>
        <w:rPr>
          <w:iCs/>
          <w:color w:val="000000"/>
          <w:szCs w:val="24"/>
        </w:rPr>
        <w:t xml:space="preserve"> </w:t>
      </w:r>
      <w:r w:rsidRPr="00D5279A">
        <w:rPr>
          <w:iCs/>
          <w:color w:val="000000"/>
          <w:szCs w:val="24"/>
        </w:rPr>
        <w:t>the following existing TLR forms to</w:t>
      </w:r>
      <w:r>
        <w:rPr>
          <w:iCs/>
          <w:color w:val="000000"/>
          <w:szCs w:val="24"/>
        </w:rPr>
        <w:t xml:space="preserve"> </w:t>
      </w:r>
      <w:r w:rsidRPr="00D5279A">
        <w:rPr>
          <w:iCs/>
          <w:color w:val="000000"/>
          <w:szCs w:val="24"/>
        </w:rPr>
        <w:t>capture data on CDFI ERP Eligible</w:t>
      </w:r>
      <w:r>
        <w:rPr>
          <w:iCs/>
          <w:color w:val="000000"/>
          <w:szCs w:val="24"/>
        </w:rPr>
        <w:t xml:space="preserve"> </w:t>
      </w:r>
      <w:r w:rsidRPr="00D5279A">
        <w:rPr>
          <w:iCs/>
          <w:color w:val="000000"/>
          <w:szCs w:val="24"/>
        </w:rPr>
        <w:t>Activities, progress relating to CDFI ERP</w:t>
      </w:r>
      <w:r>
        <w:rPr>
          <w:iCs/>
          <w:color w:val="000000"/>
          <w:szCs w:val="24"/>
        </w:rPr>
        <w:t xml:space="preserve"> </w:t>
      </w:r>
      <w:r w:rsidRPr="00D5279A">
        <w:rPr>
          <w:iCs/>
          <w:color w:val="000000"/>
          <w:szCs w:val="24"/>
        </w:rPr>
        <w:t>objectives, and compliance with unique</w:t>
      </w:r>
      <w:r>
        <w:rPr>
          <w:iCs/>
          <w:color w:val="000000"/>
          <w:szCs w:val="24"/>
        </w:rPr>
        <w:t xml:space="preserve"> </w:t>
      </w:r>
      <w:r w:rsidRPr="00D5279A">
        <w:rPr>
          <w:iCs/>
          <w:color w:val="000000"/>
          <w:szCs w:val="24"/>
        </w:rPr>
        <w:t>CDFI ERP requirements (i.e.,</w:t>
      </w:r>
      <w:r>
        <w:rPr>
          <w:iCs/>
          <w:color w:val="000000"/>
          <w:szCs w:val="24"/>
        </w:rPr>
        <w:t xml:space="preserve"> </w:t>
      </w:r>
      <w:r w:rsidRPr="00D5279A">
        <w:rPr>
          <w:iCs/>
          <w:color w:val="000000"/>
          <w:szCs w:val="24"/>
        </w:rPr>
        <w:t>transactions taking place in CDFI ERP</w:t>
      </w:r>
      <w:r>
        <w:rPr>
          <w:iCs/>
          <w:color w:val="000000"/>
          <w:szCs w:val="24"/>
        </w:rPr>
        <w:t xml:space="preserve"> </w:t>
      </w:r>
      <w:r w:rsidRPr="00D5279A">
        <w:rPr>
          <w:iCs/>
          <w:color w:val="000000"/>
          <w:szCs w:val="24"/>
        </w:rPr>
        <w:t>Eligible</w:t>
      </w:r>
      <w:r>
        <w:rPr>
          <w:iCs/>
          <w:color w:val="000000"/>
          <w:szCs w:val="24"/>
        </w:rPr>
        <w:t xml:space="preserve"> </w:t>
      </w:r>
      <w:r w:rsidRPr="00D5279A">
        <w:rPr>
          <w:iCs/>
          <w:color w:val="000000"/>
          <w:szCs w:val="24"/>
        </w:rPr>
        <w:t>Geographies).</w:t>
      </w:r>
    </w:p>
    <w:p w:rsidR="00D5279A" w:rsidRPr="007543E2" w:rsidP="007543E2" w14:paraId="6C12FF46" w14:textId="77777777">
      <w:pPr>
        <w:pStyle w:val="ListParagraph"/>
        <w:numPr>
          <w:ilvl w:val="0"/>
          <w:numId w:val="2"/>
        </w:numPr>
        <w:autoSpaceDE w:val="0"/>
        <w:autoSpaceDN w:val="0"/>
        <w:adjustRightInd w:val="0"/>
        <w:rPr>
          <w:iCs/>
          <w:color w:val="000000"/>
          <w:szCs w:val="24"/>
        </w:rPr>
      </w:pPr>
      <w:r w:rsidRPr="007543E2">
        <w:rPr>
          <w:iCs/>
          <w:color w:val="000000"/>
          <w:szCs w:val="24"/>
        </w:rPr>
        <w:t>TLR Address</w:t>
      </w:r>
    </w:p>
    <w:p w:rsidR="00D5279A" w:rsidRPr="007543E2" w:rsidP="007543E2" w14:paraId="451728E2" w14:textId="77777777">
      <w:pPr>
        <w:pStyle w:val="ListParagraph"/>
        <w:numPr>
          <w:ilvl w:val="0"/>
          <w:numId w:val="2"/>
        </w:numPr>
        <w:autoSpaceDE w:val="0"/>
        <w:autoSpaceDN w:val="0"/>
        <w:adjustRightInd w:val="0"/>
        <w:rPr>
          <w:iCs/>
          <w:color w:val="000000"/>
          <w:szCs w:val="24"/>
        </w:rPr>
      </w:pPr>
      <w:r w:rsidRPr="007543E2">
        <w:rPr>
          <w:iCs/>
          <w:color w:val="000000"/>
          <w:szCs w:val="24"/>
        </w:rPr>
        <w:t>Loan Purchases</w:t>
      </w:r>
    </w:p>
    <w:p w:rsidR="00D5279A" w:rsidRPr="007543E2" w:rsidP="007543E2" w14:paraId="4194B713" w14:textId="77777777">
      <w:pPr>
        <w:pStyle w:val="ListParagraph"/>
        <w:numPr>
          <w:ilvl w:val="0"/>
          <w:numId w:val="2"/>
        </w:numPr>
        <w:autoSpaceDE w:val="0"/>
        <w:autoSpaceDN w:val="0"/>
        <w:adjustRightInd w:val="0"/>
        <w:rPr>
          <w:iCs/>
          <w:color w:val="000000"/>
          <w:szCs w:val="24"/>
        </w:rPr>
      </w:pPr>
      <w:r w:rsidRPr="007543E2">
        <w:rPr>
          <w:iCs/>
          <w:color w:val="000000"/>
          <w:szCs w:val="24"/>
        </w:rPr>
        <w:t>TLR</w:t>
      </w:r>
    </w:p>
    <w:p w:rsidR="00D5279A" w:rsidP="00D5279A" w14:paraId="718FE177" w14:textId="77777777">
      <w:pPr>
        <w:autoSpaceDE w:val="0"/>
        <w:autoSpaceDN w:val="0"/>
        <w:adjustRightInd w:val="0"/>
        <w:rPr>
          <w:iCs/>
          <w:color w:val="000000"/>
          <w:szCs w:val="24"/>
        </w:rPr>
      </w:pPr>
    </w:p>
    <w:p w:rsidR="008E3BAE" w:rsidP="00BA56A3" w14:paraId="2A43D514" w14:textId="10ABE719">
      <w:pPr>
        <w:autoSpaceDE w:val="0"/>
        <w:autoSpaceDN w:val="0"/>
        <w:adjustRightInd w:val="0"/>
        <w:rPr>
          <w:iCs/>
          <w:color w:val="000000"/>
          <w:szCs w:val="24"/>
        </w:rPr>
      </w:pPr>
      <w:r w:rsidRPr="00D5279A">
        <w:rPr>
          <w:iCs/>
          <w:color w:val="000000"/>
          <w:szCs w:val="24"/>
        </w:rPr>
        <w:t>In the current version of the TLR,</w:t>
      </w:r>
      <w:r w:rsidR="008532C4">
        <w:rPr>
          <w:iCs/>
          <w:color w:val="000000"/>
          <w:szCs w:val="24"/>
        </w:rPr>
        <w:t xml:space="preserve"> </w:t>
      </w:r>
      <w:r w:rsidR="00444052">
        <w:rPr>
          <w:iCs/>
          <w:color w:val="000000"/>
          <w:szCs w:val="24"/>
        </w:rPr>
        <w:t>CDFI</w:t>
      </w:r>
      <w:r w:rsidR="005A0022">
        <w:rPr>
          <w:iCs/>
          <w:color w:val="000000"/>
          <w:szCs w:val="24"/>
        </w:rPr>
        <w:t>/NACA</w:t>
      </w:r>
      <w:r w:rsidR="00444052">
        <w:rPr>
          <w:iCs/>
          <w:color w:val="000000"/>
          <w:szCs w:val="24"/>
        </w:rPr>
        <w:t xml:space="preserve"> A</w:t>
      </w:r>
      <w:r w:rsidRPr="00D5279A">
        <w:rPr>
          <w:iCs/>
          <w:color w:val="000000"/>
          <w:szCs w:val="24"/>
        </w:rPr>
        <w:t xml:space="preserve">ward </w:t>
      </w:r>
      <w:r w:rsidR="00EA2105">
        <w:rPr>
          <w:iCs/>
          <w:color w:val="000000"/>
          <w:szCs w:val="24"/>
        </w:rPr>
        <w:t>R</w:t>
      </w:r>
      <w:r w:rsidRPr="00D5279A">
        <w:rPr>
          <w:iCs/>
          <w:color w:val="000000"/>
          <w:szCs w:val="24"/>
        </w:rPr>
        <w:t>ecipients are not allowed to</w:t>
      </w:r>
      <w:r w:rsidR="00F26F4D">
        <w:rPr>
          <w:iCs/>
          <w:color w:val="000000"/>
          <w:szCs w:val="24"/>
        </w:rPr>
        <w:t xml:space="preserve"> </w:t>
      </w:r>
      <w:r w:rsidRPr="00D5279A">
        <w:rPr>
          <w:iCs/>
          <w:color w:val="000000"/>
          <w:szCs w:val="24"/>
        </w:rPr>
        <w:t>report on grants because they are not</w:t>
      </w:r>
      <w:r w:rsidR="00F26F4D">
        <w:rPr>
          <w:iCs/>
          <w:color w:val="000000"/>
          <w:szCs w:val="24"/>
        </w:rPr>
        <w:t xml:space="preserve"> </w:t>
      </w:r>
      <w:r w:rsidRPr="00D5279A">
        <w:rPr>
          <w:iCs/>
          <w:color w:val="000000"/>
          <w:szCs w:val="24"/>
        </w:rPr>
        <w:t>considered an eligible financial product</w:t>
      </w:r>
      <w:r w:rsidR="00F26F4D">
        <w:rPr>
          <w:iCs/>
          <w:color w:val="000000"/>
          <w:szCs w:val="24"/>
        </w:rPr>
        <w:t xml:space="preserve"> </w:t>
      </w:r>
      <w:r w:rsidRPr="00D5279A">
        <w:rPr>
          <w:iCs/>
          <w:color w:val="000000"/>
          <w:szCs w:val="24"/>
        </w:rPr>
        <w:t>reportable on the TLR. Since grants are</w:t>
      </w:r>
      <w:r w:rsidR="0055363D">
        <w:rPr>
          <w:iCs/>
          <w:color w:val="000000"/>
          <w:szCs w:val="24"/>
        </w:rPr>
        <w:t xml:space="preserve"> </w:t>
      </w:r>
      <w:r w:rsidRPr="00D5279A">
        <w:rPr>
          <w:iCs/>
          <w:color w:val="000000"/>
          <w:szCs w:val="24"/>
        </w:rPr>
        <w:t>an allowed eligible activity under CDFI</w:t>
      </w:r>
      <w:r w:rsidR="00F26F4D">
        <w:rPr>
          <w:iCs/>
          <w:color w:val="000000"/>
          <w:szCs w:val="24"/>
        </w:rPr>
        <w:t xml:space="preserve"> </w:t>
      </w:r>
      <w:r w:rsidRPr="00D5279A">
        <w:rPr>
          <w:iCs/>
          <w:color w:val="000000"/>
          <w:szCs w:val="24"/>
        </w:rPr>
        <w:t xml:space="preserve">ERP, the </w:t>
      </w:r>
      <w:r w:rsidR="00EA2105">
        <w:rPr>
          <w:iCs/>
          <w:color w:val="000000"/>
          <w:szCs w:val="24"/>
        </w:rPr>
        <w:t xml:space="preserve">CDFI </w:t>
      </w:r>
      <w:r w:rsidRPr="00D5279A">
        <w:rPr>
          <w:iCs/>
          <w:color w:val="000000"/>
          <w:szCs w:val="24"/>
        </w:rPr>
        <w:t>Fund has created a new form</w:t>
      </w:r>
      <w:r w:rsidRPr="00D5279A">
        <w:rPr>
          <w:iCs/>
          <w:color w:val="000000"/>
          <w:szCs w:val="24"/>
        </w:rPr>
        <w:t xml:space="preserve"> </w:t>
      </w:r>
      <w:r w:rsidRPr="00BA56A3" w:rsidR="00BA56A3">
        <w:rPr>
          <w:iCs/>
          <w:color w:val="000000"/>
          <w:szCs w:val="24"/>
        </w:rPr>
        <w:t>to capture grant activity from CDFI ERP</w:t>
      </w:r>
      <w:r w:rsidR="00F26F4D">
        <w:rPr>
          <w:iCs/>
          <w:color w:val="000000"/>
          <w:szCs w:val="24"/>
        </w:rPr>
        <w:t xml:space="preserve"> </w:t>
      </w:r>
      <w:r w:rsidR="00EA2105">
        <w:rPr>
          <w:iCs/>
          <w:color w:val="000000"/>
          <w:szCs w:val="24"/>
        </w:rPr>
        <w:t>R</w:t>
      </w:r>
      <w:r w:rsidRPr="00BA56A3" w:rsidR="00BA56A3">
        <w:rPr>
          <w:iCs/>
          <w:color w:val="000000"/>
          <w:szCs w:val="24"/>
        </w:rPr>
        <w:t>ecipients only</w:t>
      </w:r>
      <w:r w:rsidR="003E4B82">
        <w:rPr>
          <w:iCs/>
          <w:color w:val="000000"/>
          <w:szCs w:val="24"/>
        </w:rPr>
        <w:t xml:space="preserve">. </w:t>
      </w:r>
    </w:p>
    <w:p w:rsidR="008E3BAE" w:rsidP="00BA56A3" w14:paraId="57D9C319" w14:textId="77777777">
      <w:pPr>
        <w:autoSpaceDE w:val="0"/>
        <w:autoSpaceDN w:val="0"/>
        <w:adjustRightInd w:val="0"/>
        <w:rPr>
          <w:iCs/>
          <w:color w:val="000000"/>
          <w:szCs w:val="24"/>
        </w:rPr>
      </w:pPr>
    </w:p>
    <w:p w:rsidR="00BA56A3" w:rsidP="00BA56A3" w14:paraId="66A57C6E" w14:textId="533F33CA">
      <w:pPr>
        <w:autoSpaceDE w:val="0"/>
        <w:autoSpaceDN w:val="0"/>
        <w:adjustRightInd w:val="0"/>
        <w:rPr>
          <w:iCs/>
          <w:color w:val="000000"/>
          <w:szCs w:val="24"/>
        </w:rPr>
      </w:pPr>
      <w:r w:rsidRPr="00BA56A3">
        <w:rPr>
          <w:iCs/>
          <w:color w:val="000000"/>
          <w:szCs w:val="24"/>
        </w:rPr>
        <w:t>In the current version of the TLR’s</w:t>
      </w:r>
      <w:r w:rsidR="00F26F4D">
        <w:rPr>
          <w:iCs/>
          <w:color w:val="000000"/>
          <w:szCs w:val="24"/>
        </w:rPr>
        <w:t xml:space="preserve"> </w:t>
      </w:r>
      <w:r w:rsidRPr="00BA56A3">
        <w:rPr>
          <w:iCs/>
          <w:color w:val="000000"/>
          <w:szCs w:val="24"/>
        </w:rPr>
        <w:t xml:space="preserve">Consumer Loan Report (CLR), the </w:t>
      </w:r>
      <w:r w:rsidR="00EA2105">
        <w:rPr>
          <w:iCs/>
          <w:color w:val="000000"/>
          <w:szCs w:val="24"/>
        </w:rPr>
        <w:t xml:space="preserve">CDFI </w:t>
      </w:r>
      <w:r w:rsidRPr="00BA56A3">
        <w:rPr>
          <w:iCs/>
          <w:color w:val="000000"/>
          <w:szCs w:val="24"/>
        </w:rPr>
        <w:t>Fund</w:t>
      </w:r>
      <w:r w:rsidR="00F26F4D">
        <w:rPr>
          <w:iCs/>
          <w:color w:val="000000"/>
          <w:szCs w:val="24"/>
        </w:rPr>
        <w:t xml:space="preserve"> </w:t>
      </w:r>
      <w:r w:rsidRPr="00BA56A3">
        <w:rPr>
          <w:iCs/>
          <w:color w:val="000000"/>
          <w:szCs w:val="24"/>
        </w:rPr>
        <w:t xml:space="preserve">does not collect information </w:t>
      </w:r>
      <w:r w:rsidR="00C230B3">
        <w:rPr>
          <w:iCs/>
          <w:color w:val="000000"/>
          <w:szCs w:val="24"/>
        </w:rPr>
        <w:t>on borrower</w:t>
      </w:r>
      <w:r w:rsidR="00E540D7">
        <w:rPr>
          <w:iCs/>
          <w:color w:val="000000"/>
          <w:szCs w:val="24"/>
        </w:rPr>
        <w:t xml:space="preserve"> characteristics</w:t>
      </w:r>
      <w:r w:rsidR="00C230B3">
        <w:rPr>
          <w:iCs/>
          <w:color w:val="000000"/>
          <w:szCs w:val="24"/>
        </w:rPr>
        <w:t xml:space="preserve"> and loan impact that</w:t>
      </w:r>
      <w:r w:rsidRPr="00BA56A3">
        <w:rPr>
          <w:iCs/>
          <w:color w:val="000000"/>
          <w:szCs w:val="24"/>
        </w:rPr>
        <w:t xml:space="preserve"> the </w:t>
      </w:r>
      <w:r w:rsidR="00EA2105">
        <w:rPr>
          <w:iCs/>
          <w:color w:val="000000"/>
          <w:szCs w:val="24"/>
        </w:rPr>
        <w:t xml:space="preserve">CDFI </w:t>
      </w:r>
      <w:r w:rsidRPr="00BA56A3">
        <w:rPr>
          <w:iCs/>
          <w:color w:val="000000"/>
          <w:szCs w:val="24"/>
        </w:rPr>
        <w:t>Fund</w:t>
      </w:r>
      <w:r w:rsidR="00F26F4D">
        <w:rPr>
          <w:iCs/>
          <w:color w:val="000000"/>
          <w:szCs w:val="24"/>
        </w:rPr>
        <w:t xml:space="preserve"> </w:t>
      </w:r>
      <w:r w:rsidRPr="00BA56A3">
        <w:rPr>
          <w:iCs/>
          <w:color w:val="000000"/>
          <w:szCs w:val="24"/>
        </w:rPr>
        <w:t xml:space="preserve">needs to collect </w:t>
      </w:r>
      <w:r w:rsidRPr="00BA56A3">
        <w:rPr>
          <w:iCs/>
          <w:color w:val="000000"/>
          <w:szCs w:val="24"/>
        </w:rPr>
        <w:t>in order to</w:t>
      </w:r>
      <w:r w:rsidRPr="00BA56A3">
        <w:rPr>
          <w:iCs/>
          <w:color w:val="000000"/>
          <w:szCs w:val="24"/>
        </w:rPr>
        <w:t xml:space="preserve"> assess</w:t>
      </w:r>
      <w:r w:rsidR="00F26F4D">
        <w:rPr>
          <w:iCs/>
          <w:color w:val="000000"/>
          <w:szCs w:val="24"/>
        </w:rPr>
        <w:t xml:space="preserve"> </w:t>
      </w:r>
      <w:r w:rsidRPr="00BA56A3">
        <w:rPr>
          <w:iCs/>
          <w:color w:val="000000"/>
          <w:szCs w:val="24"/>
        </w:rPr>
        <w:t>compliance with the CDFI ERP Award</w:t>
      </w:r>
      <w:r w:rsidR="00F26F4D">
        <w:rPr>
          <w:iCs/>
          <w:color w:val="000000"/>
          <w:szCs w:val="24"/>
        </w:rPr>
        <w:t xml:space="preserve"> </w:t>
      </w:r>
      <w:r w:rsidRPr="00BA56A3">
        <w:rPr>
          <w:iCs/>
          <w:color w:val="000000"/>
          <w:szCs w:val="24"/>
        </w:rPr>
        <w:t>Agreement. In addition, the existing</w:t>
      </w:r>
      <w:r w:rsidR="00F26F4D">
        <w:rPr>
          <w:iCs/>
          <w:color w:val="000000"/>
          <w:szCs w:val="24"/>
        </w:rPr>
        <w:t xml:space="preserve"> </w:t>
      </w:r>
      <w:r w:rsidRPr="00BA56A3">
        <w:rPr>
          <w:iCs/>
          <w:color w:val="000000"/>
          <w:szCs w:val="24"/>
        </w:rPr>
        <w:t>CLR is set up for 2020 census tracts</w:t>
      </w:r>
      <w:r w:rsidR="00F26F4D">
        <w:rPr>
          <w:iCs/>
          <w:color w:val="000000"/>
          <w:szCs w:val="24"/>
        </w:rPr>
        <w:t xml:space="preserve"> </w:t>
      </w:r>
      <w:r w:rsidRPr="00BA56A3">
        <w:rPr>
          <w:iCs/>
          <w:color w:val="000000"/>
          <w:szCs w:val="24"/>
        </w:rPr>
        <w:t>whereas CDFI ERP eligible geographies</w:t>
      </w:r>
      <w:r w:rsidR="00F26F4D">
        <w:rPr>
          <w:iCs/>
          <w:color w:val="000000"/>
          <w:szCs w:val="24"/>
        </w:rPr>
        <w:t xml:space="preserve"> </w:t>
      </w:r>
      <w:r w:rsidRPr="00BA56A3">
        <w:rPr>
          <w:iCs/>
          <w:color w:val="000000"/>
          <w:szCs w:val="24"/>
        </w:rPr>
        <w:t>were based on 2010 census tracts. CDFI</w:t>
      </w:r>
      <w:r w:rsidR="00F26F4D">
        <w:rPr>
          <w:iCs/>
          <w:color w:val="000000"/>
          <w:szCs w:val="24"/>
        </w:rPr>
        <w:t xml:space="preserve"> </w:t>
      </w:r>
      <w:r w:rsidRPr="00BA56A3">
        <w:rPr>
          <w:iCs/>
          <w:color w:val="000000"/>
          <w:szCs w:val="24"/>
        </w:rPr>
        <w:t xml:space="preserve">ERP </w:t>
      </w:r>
      <w:r w:rsidR="00EA2105">
        <w:rPr>
          <w:iCs/>
          <w:color w:val="000000"/>
          <w:szCs w:val="24"/>
        </w:rPr>
        <w:t>R</w:t>
      </w:r>
      <w:r w:rsidRPr="00BA56A3">
        <w:rPr>
          <w:iCs/>
          <w:color w:val="000000"/>
          <w:szCs w:val="24"/>
        </w:rPr>
        <w:t>ecipients who are regulated</w:t>
      </w:r>
      <w:r w:rsidR="00F26F4D">
        <w:rPr>
          <w:iCs/>
          <w:color w:val="000000"/>
          <w:szCs w:val="24"/>
        </w:rPr>
        <w:t xml:space="preserve"> </w:t>
      </w:r>
      <w:r w:rsidRPr="00BA56A3">
        <w:rPr>
          <w:iCs/>
          <w:color w:val="000000"/>
          <w:szCs w:val="24"/>
        </w:rPr>
        <w:t>entities with consumer loans that</w:t>
      </w:r>
      <w:r w:rsidR="00F26F4D">
        <w:rPr>
          <w:iCs/>
          <w:color w:val="000000"/>
          <w:szCs w:val="24"/>
        </w:rPr>
        <w:t xml:space="preserve"> </w:t>
      </w:r>
      <w:r w:rsidRPr="00BA56A3">
        <w:rPr>
          <w:iCs/>
          <w:color w:val="000000"/>
          <w:szCs w:val="24"/>
        </w:rPr>
        <w:t>count towards CDFI ERP will</w:t>
      </w:r>
      <w:r w:rsidR="00F26F4D">
        <w:rPr>
          <w:iCs/>
          <w:color w:val="000000"/>
          <w:szCs w:val="24"/>
        </w:rPr>
        <w:t xml:space="preserve"> </w:t>
      </w:r>
      <w:r w:rsidRPr="00BA56A3">
        <w:rPr>
          <w:iCs/>
          <w:color w:val="000000"/>
          <w:szCs w:val="24"/>
        </w:rPr>
        <w:t xml:space="preserve">complete </w:t>
      </w:r>
      <w:r w:rsidR="00E009EE">
        <w:rPr>
          <w:iCs/>
          <w:color w:val="000000"/>
          <w:szCs w:val="24"/>
        </w:rPr>
        <w:t xml:space="preserve">a </w:t>
      </w:r>
      <w:r w:rsidRPr="00BA56A3">
        <w:rPr>
          <w:iCs/>
          <w:color w:val="000000"/>
          <w:szCs w:val="24"/>
        </w:rPr>
        <w:t>new CDFI ERP-Specific</w:t>
      </w:r>
      <w:r w:rsidR="00F26F4D">
        <w:rPr>
          <w:iCs/>
          <w:color w:val="000000"/>
          <w:szCs w:val="24"/>
        </w:rPr>
        <w:t xml:space="preserve"> </w:t>
      </w:r>
      <w:r w:rsidRPr="00BA56A3">
        <w:rPr>
          <w:iCs/>
          <w:color w:val="000000"/>
          <w:szCs w:val="24"/>
        </w:rPr>
        <w:t>Consumer Loan Report (ERP CLR)</w:t>
      </w:r>
      <w:r w:rsidR="00E009EE">
        <w:rPr>
          <w:iCs/>
          <w:color w:val="000000"/>
          <w:szCs w:val="24"/>
        </w:rPr>
        <w:t>,</w:t>
      </w:r>
      <w:r w:rsidRPr="00BA56A3">
        <w:rPr>
          <w:iCs/>
          <w:color w:val="000000"/>
          <w:szCs w:val="24"/>
        </w:rPr>
        <w:t xml:space="preserve"> in</w:t>
      </w:r>
      <w:r w:rsidR="00F26F4D">
        <w:rPr>
          <w:iCs/>
          <w:color w:val="000000"/>
          <w:szCs w:val="24"/>
        </w:rPr>
        <w:t xml:space="preserve"> </w:t>
      </w:r>
      <w:r w:rsidRPr="00BA56A3">
        <w:rPr>
          <w:iCs/>
          <w:color w:val="000000"/>
          <w:szCs w:val="24"/>
        </w:rPr>
        <w:t>addition to the existing CLR. If a CDFI</w:t>
      </w:r>
      <w:r w:rsidR="003C7AD7">
        <w:rPr>
          <w:iCs/>
          <w:color w:val="000000"/>
          <w:szCs w:val="24"/>
        </w:rPr>
        <w:t xml:space="preserve"> </w:t>
      </w:r>
      <w:r w:rsidRPr="00BA56A3">
        <w:rPr>
          <w:iCs/>
          <w:color w:val="000000"/>
          <w:szCs w:val="24"/>
        </w:rPr>
        <w:t>ERP Recipient who is a regulated entity</w:t>
      </w:r>
      <w:r w:rsidR="003C7AD7">
        <w:rPr>
          <w:iCs/>
          <w:color w:val="000000"/>
          <w:szCs w:val="24"/>
        </w:rPr>
        <w:t xml:space="preserve"> </w:t>
      </w:r>
      <w:r w:rsidRPr="00BA56A3">
        <w:rPr>
          <w:iCs/>
          <w:color w:val="000000"/>
          <w:szCs w:val="24"/>
        </w:rPr>
        <w:t>does not want to count any consumer</w:t>
      </w:r>
      <w:r w:rsidR="003C7AD7">
        <w:rPr>
          <w:iCs/>
          <w:color w:val="000000"/>
          <w:szCs w:val="24"/>
        </w:rPr>
        <w:t xml:space="preserve"> </w:t>
      </w:r>
      <w:r w:rsidRPr="00BA56A3">
        <w:rPr>
          <w:iCs/>
          <w:color w:val="000000"/>
          <w:szCs w:val="24"/>
        </w:rPr>
        <w:t xml:space="preserve">loans towards the CDFI ERP, then </w:t>
      </w:r>
      <w:r w:rsidR="00E009EE">
        <w:rPr>
          <w:iCs/>
          <w:color w:val="000000"/>
          <w:szCs w:val="24"/>
        </w:rPr>
        <w:t>it</w:t>
      </w:r>
      <w:r w:rsidR="003C7AD7">
        <w:rPr>
          <w:iCs/>
          <w:color w:val="000000"/>
          <w:szCs w:val="24"/>
        </w:rPr>
        <w:t xml:space="preserve"> </w:t>
      </w:r>
      <w:r w:rsidRPr="00BA56A3">
        <w:rPr>
          <w:iCs/>
          <w:color w:val="000000"/>
          <w:szCs w:val="24"/>
        </w:rPr>
        <w:t>will only complete the existing CLR.</w:t>
      </w:r>
      <w:r w:rsidR="003C7AD7">
        <w:rPr>
          <w:iCs/>
          <w:color w:val="000000"/>
          <w:szCs w:val="24"/>
        </w:rPr>
        <w:t xml:space="preserve"> </w:t>
      </w:r>
      <w:r w:rsidR="00BA453C">
        <w:rPr>
          <w:iCs/>
          <w:color w:val="000000"/>
          <w:szCs w:val="24"/>
        </w:rPr>
        <w:t>T</w:t>
      </w:r>
      <w:r w:rsidRPr="00BA56A3">
        <w:rPr>
          <w:iCs/>
          <w:color w:val="000000"/>
          <w:szCs w:val="24"/>
        </w:rPr>
        <w:t>he</w:t>
      </w:r>
      <w:r>
        <w:rPr>
          <w:iCs/>
          <w:color w:val="000000"/>
          <w:szCs w:val="24"/>
        </w:rPr>
        <w:t xml:space="preserve"> </w:t>
      </w:r>
      <w:r w:rsidRPr="00BA56A3">
        <w:rPr>
          <w:iCs/>
          <w:color w:val="000000"/>
          <w:szCs w:val="24"/>
        </w:rPr>
        <w:t>properties of these existing data points</w:t>
      </w:r>
      <w:r w:rsidR="003C7AD7">
        <w:rPr>
          <w:iCs/>
          <w:color w:val="000000"/>
          <w:szCs w:val="24"/>
        </w:rPr>
        <w:t xml:space="preserve"> </w:t>
      </w:r>
      <w:r w:rsidRPr="00BA56A3">
        <w:rPr>
          <w:iCs/>
          <w:color w:val="000000"/>
          <w:szCs w:val="24"/>
        </w:rPr>
        <w:t>are not being altered to fit any CDFI ERP</w:t>
      </w:r>
      <w:r w:rsidR="003C7AD7">
        <w:rPr>
          <w:iCs/>
          <w:color w:val="000000"/>
          <w:szCs w:val="24"/>
        </w:rPr>
        <w:t xml:space="preserve"> </w:t>
      </w:r>
      <w:r w:rsidRPr="00BA56A3">
        <w:rPr>
          <w:iCs/>
          <w:color w:val="000000"/>
          <w:szCs w:val="24"/>
        </w:rPr>
        <w:t>reporting requirement.</w:t>
      </w:r>
    </w:p>
    <w:p w:rsidR="00D53936" w:rsidRPr="00846F61" w:rsidP="00D53936" w14:paraId="49071B11" w14:textId="77777777">
      <w:pPr>
        <w:autoSpaceDE w:val="0"/>
        <w:autoSpaceDN w:val="0"/>
        <w:adjustRightInd w:val="0"/>
        <w:rPr>
          <w:iCs/>
          <w:color w:val="000000"/>
          <w:szCs w:val="24"/>
        </w:rPr>
      </w:pPr>
    </w:p>
    <w:p w:rsidR="00846F61" w:rsidRPr="008E3BAE" w:rsidP="00D53936" w14:paraId="11A49292" w14:textId="0D5F6F5E">
      <w:r>
        <w:t>Currently</w:t>
      </w:r>
      <w:r w:rsidRPr="008E3BAE">
        <w:t>, there are no program adjustments to the N</w:t>
      </w:r>
      <w:r w:rsidR="002B6F62">
        <w:t xml:space="preserve">ew </w:t>
      </w:r>
      <w:r w:rsidRPr="008E3BAE">
        <w:t>M</w:t>
      </w:r>
      <w:r w:rsidR="002B6F62">
        <w:t xml:space="preserve">arkets </w:t>
      </w:r>
      <w:r w:rsidRPr="008E3BAE">
        <w:t>T</w:t>
      </w:r>
      <w:r w:rsidR="002B6F62">
        <w:t xml:space="preserve">ax </w:t>
      </w:r>
      <w:r w:rsidRPr="008E3BAE">
        <w:t>C</w:t>
      </w:r>
      <w:r w:rsidR="002B6F62">
        <w:t>redit (NMTC)</w:t>
      </w:r>
      <w:r w:rsidRPr="008E3BAE">
        <w:t xml:space="preserve"> TLR and ILR data collection forms</w:t>
      </w:r>
      <w:r w:rsidR="00E009EE">
        <w:t>,</w:t>
      </w:r>
      <w:r w:rsidRPr="008E3BAE">
        <w:t xml:space="preserve"> which are also approved under this OMB Control Number.</w:t>
      </w:r>
    </w:p>
    <w:p w:rsidR="00846F61" w:rsidRPr="00846F61" w:rsidP="00D53936" w14:paraId="0AA85E5F" w14:textId="77777777">
      <w:pPr>
        <w:rPr>
          <w:u w:val="single"/>
        </w:rPr>
      </w:pPr>
    </w:p>
    <w:p w:rsidR="00D53936" w:rsidRPr="00846F61" w:rsidP="00D53936" w14:paraId="35670119" w14:textId="481D74CC">
      <w:pPr>
        <w:rPr>
          <w:u w:val="single"/>
        </w:rPr>
      </w:pPr>
      <w:r w:rsidRPr="00846F61">
        <w:rPr>
          <w:u w:val="single"/>
        </w:rPr>
        <w:t>16</w:t>
      </w:r>
      <w:r w:rsidR="003E4B82">
        <w:rPr>
          <w:u w:val="single"/>
        </w:rPr>
        <w:t xml:space="preserve">. </w:t>
      </w:r>
      <w:r w:rsidRPr="00846F61">
        <w:rPr>
          <w:u w:val="single"/>
        </w:rPr>
        <w:t>Plans for information tabulation and publication</w:t>
      </w:r>
    </w:p>
    <w:p w:rsidR="00D53936" w:rsidRPr="00846F61" w:rsidP="00D53936" w14:paraId="4BA1DA32" w14:textId="26B22A4F">
      <w:r w:rsidRPr="00846F61">
        <w:t xml:space="preserve">The CDFI Fund publishes annually summary data in its </w:t>
      </w:r>
      <w:r w:rsidRPr="00846F61" w:rsidR="00F40F67">
        <w:t>Annual Report</w:t>
      </w:r>
      <w:r w:rsidRPr="00846F61">
        <w:t>. In addition, the CDFI Fund publishes annually summar</w:t>
      </w:r>
      <w:r w:rsidRPr="00846F61" w:rsidR="00846F61">
        <w:t>ies</w:t>
      </w:r>
      <w:r w:rsidRPr="00846F61">
        <w:t xml:space="preserve"> </w:t>
      </w:r>
      <w:r w:rsidRPr="00846F61" w:rsidR="00846F61">
        <w:t xml:space="preserve">of the </w:t>
      </w:r>
      <w:r w:rsidRPr="00846F61">
        <w:t xml:space="preserve">TLR data, with a release in the following calendar year. In keeping with </w:t>
      </w:r>
      <w:r w:rsidRPr="00846F61" w:rsidR="001C5478">
        <w:t>f</w:t>
      </w:r>
      <w:r w:rsidRPr="00846F61">
        <w:t>ederal regulations and laws, confidential and proprietary information collected through the annual report will not be published.</w:t>
      </w:r>
    </w:p>
    <w:p w:rsidR="00D53936" w:rsidRPr="00846F61" w:rsidP="00D53936" w14:paraId="1B3CA042" w14:textId="77777777"/>
    <w:p w:rsidR="00D53936" w:rsidRPr="00846F61" w:rsidP="00D53936" w14:paraId="7FDCD39F" w14:textId="1D87327A">
      <w:r w:rsidRPr="00846F61">
        <w:rPr>
          <w:u w:val="single"/>
        </w:rPr>
        <w:t>17</w:t>
      </w:r>
      <w:r w:rsidR="003E4B82">
        <w:rPr>
          <w:u w:val="single"/>
        </w:rPr>
        <w:t xml:space="preserve">. </w:t>
      </w:r>
      <w:r w:rsidRPr="00846F61">
        <w:rPr>
          <w:u w:val="single"/>
        </w:rPr>
        <w:t>Reasons for not displaying expiration date of OMB approval</w:t>
      </w:r>
    </w:p>
    <w:p w:rsidR="00D53936" w:rsidRPr="00846F61" w:rsidP="00D53936" w14:paraId="55AF7E2F" w14:textId="2DC94D6A">
      <w:r w:rsidRPr="00846F61">
        <w:t>The CDFI Fund believes displaying an OMB expiration date on this collection will create the incorrect perception that this information request is to run for a shorter term than the Recipient Assistance Agreement</w:t>
      </w:r>
      <w:r w:rsidR="00FF3D90">
        <w:t xml:space="preserve"> </w:t>
      </w:r>
      <w:r w:rsidR="00FF3D90">
        <w:t>or Allocatee Allocation Agreement</w:t>
      </w:r>
      <w:r w:rsidRPr="00846F61">
        <w:t>.</w:t>
      </w:r>
    </w:p>
    <w:p w:rsidR="00D53936" w:rsidRPr="00846F61" w:rsidP="00D53936" w14:paraId="4888C1FE" w14:textId="77777777">
      <w:pPr>
        <w:rPr>
          <w:u w:val="single"/>
        </w:rPr>
      </w:pPr>
    </w:p>
    <w:p w:rsidR="00D53936" w:rsidRPr="00846F61" w:rsidP="00D53936" w14:paraId="4186FCD9" w14:textId="4F6F30C9">
      <w:pPr>
        <w:rPr>
          <w:u w:val="single"/>
        </w:rPr>
      </w:pPr>
      <w:r w:rsidRPr="00846F61">
        <w:rPr>
          <w:u w:val="single"/>
        </w:rPr>
        <w:t>18</w:t>
      </w:r>
      <w:r w:rsidR="003E4B82">
        <w:rPr>
          <w:u w:val="single"/>
        </w:rPr>
        <w:t xml:space="preserve">. </w:t>
      </w:r>
      <w:r w:rsidRPr="00846F61">
        <w:rPr>
          <w:u w:val="single"/>
        </w:rPr>
        <w:t>Explanation of exceptions to certification statement</w:t>
      </w:r>
    </w:p>
    <w:p w:rsidR="00D53936" w:rsidRPr="00846F61" w:rsidP="00D53936" w14:paraId="729EE6EC" w14:textId="77777777">
      <w:r w:rsidRPr="00846F61">
        <w:t>There are no exceptions to the certification statement.</w:t>
      </w:r>
    </w:p>
    <w:p w:rsidR="00D53936" w:rsidRPr="00846F61" w:rsidP="00D53936" w14:paraId="550DE09F" w14:textId="77777777"/>
    <w:p w:rsidR="00D53936" w:rsidRPr="00846F61" w:rsidP="00D53936" w14:paraId="106F1B64" w14:textId="77777777">
      <w:pPr>
        <w:rPr>
          <w:b/>
          <w:bCs/>
        </w:rPr>
      </w:pPr>
      <w:r w:rsidRPr="00846F61">
        <w:rPr>
          <w:b/>
          <w:bCs/>
        </w:rPr>
        <w:t>B. Collections of Information Employing Statistical Methods</w:t>
      </w:r>
    </w:p>
    <w:p w:rsidR="00AB01A0" w:rsidRPr="00846F61" w:rsidP="008E3BAE" w14:paraId="451FF1BD" w14:textId="7C1D530D">
      <w:r w:rsidRPr="00846F61">
        <w:t>Not applicable as no statistical methods are being used.</w:t>
      </w:r>
    </w:p>
    <w:sectPr w:rsidSect="00E50EF4">
      <w:headerReference w:type="default" r:id="rId8"/>
      <w:footerReference w:type="default" r:id="rId9"/>
      <w:pgSz w:w="12240" w:h="15840"/>
      <w:pgMar w:top="1296" w:right="1440" w:bottom="1152"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0F67" w14:paraId="041D00C2"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0F67" w14:paraId="67B2B4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3936" w:rsidP="00D53936" w14:paraId="4B1095B0" w14:textId="77777777">
      <w:r>
        <w:separator/>
      </w:r>
    </w:p>
  </w:footnote>
  <w:footnote w:type="continuationSeparator" w:id="1">
    <w:p w:rsidR="00D53936" w:rsidP="00D53936" w14:paraId="085F6071" w14:textId="77777777">
      <w:r>
        <w:continuationSeparator/>
      </w:r>
    </w:p>
  </w:footnote>
  <w:footnote w:id="2">
    <w:p w:rsidR="00FF3D90" w:rsidP="00FF3D90" w14:paraId="1A108D67" w14:textId="77777777">
      <w:pPr>
        <w:pStyle w:val="FootnoteText"/>
      </w:pPr>
      <w:r>
        <w:rPr>
          <w:rStyle w:val="FootnoteReference"/>
        </w:rPr>
        <w:footnoteRef/>
      </w:r>
      <w:r>
        <w:t xml:space="preserve"> </w:t>
      </w:r>
      <w:r>
        <w:rPr>
          <w:iCs/>
        </w:rPr>
        <w:t>The hourly rate is based on the national estimate for the median hourly wage for Financial Managers according to the Bureau of Labor Statistics (</w:t>
      </w:r>
      <w:hyperlink r:id="rId1" w:history="1">
        <w:r w:rsidRPr="004479F7">
          <w:rPr>
            <w:rStyle w:val="Hyperlink"/>
            <w:i/>
            <w:iCs/>
          </w:rPr>
          <w:t>https://www.bls.gov/oes/current/oes113031.htm</w:t>
        </w:r>
      </w:hyperlink>
      <w:r>
        <w:rPr>
          <w:iCs/>
        </w:rPr>
        <w:t>) for May 2023.</w:t>
      </w:r>
    </w:p>
  </w:footnote>
  <w:footnote w:id="3">
    <w:p w:rsidR="00FF3D90" w:rsidP="00FF3D90" w14:paraId="080D6DBB" w14:textId="77777777">
      <w:pPr>
        <w:pStyle w:val="FootnoteText"/>
      </w:pPr>
      <w:r>
        <w:rPr>
          <w:rStyle w:val="FootnoteReference"/>
        </w:rPr>
        <w:footnoteRef/>
      </w:r>
      <w:r>
        <w:t xml:space="preserve"> </w:t>
      </w:r>
      <w:r>
        <w:rPr>
          <w:iCs/>
        </w:rPr>
        <w:t>The hourly rate is based on the national estimate for the median hourly wage for Financial Managers according to the Bureau of Labor Statistics (</w:t>
      </w:r>
      <w:hyperlink r:id="rId1" w:history="1">
        <w:r w:rsidRPr="004479F7">
          <w:rPr>
            <w:rStyle w:val="Hyperlink"/>
            <w:i/>
            <w:iCs/>
          </w:rPr>
          <w:t>https://www.bls.gov/oes/current/oes113031.htm</w:t>
        </w:r>
      </w:hyperlink>
      <w:r>
        <w:rPr>
          <w:iCs/>
        </w:rPr>
        <w:t>) for May 2023.</w:t>
      </w:r>
    </w:p>
  </w:footnote>
  <w:footnote w:id="4">
    <w:p w:rsidR="00FF3D90" w:rsidP="00FF3D90" w14:paraId="06375316" w14:textId="77777777">
      <w:pPr>
        <w:pStyle w:val="FootnoteText"/>
      </w:pPr>
      <w:r>
        <w:rPr>
          <w:rStyle w:val="FootnoteReference"/>
        </w:rPr>
        <w:footnoteRef/>
      </w:r>
      <w:r>
        <w:t xml:space="preserve"> </w:t>
      </w:r>
      <w:r>
        <w:rPr>
          <w:iCs/>
        </w:rPr>
        <w:t>The hourly rate is based on the national estimate for the median hourly wage for Financial Managers according to the Bureau of Labor Statistics (</w:t>
      </w:r>
      <w:hyperlink r:id="rId1" w:history="1">
        <w:r w:rsidRPr="004479F7">
          <w:rPr>
            <w:rStyle w:val="Hyperlink"/>
            <w:i/>
            <w:iCs/>
          </w:rPr>
          <w:t>https://www.bls.gov/oes/current/oes113031.htm</w:t>
        </w:r>
      </w:hyperlink>
      <w:r>
        <w:rPr>
          <w:iCs/>
        </w:rPr>
        <w:t>) for May 2023.</w:t>
      </w:r>
    </w:p>
  </w:footnote>
  <w:footnote w:id="5">
    <w:p w:rsidR="00D53936" w:rsidP="00D53936" w14:paraId="0454BB5D" w14:textId="7A0CA192">
      <w:pPr>
        <w:pStyle w:val="FootnoteText"/>
      </w:pPr>
      <w:r>
        <w:rPr>
          <w:rStyle w:val="FootnoteReference"/>
        </w:rPr>
        <w:footnoteRef/>
      </w:r>
      <w:r>
        <w:t xml:space="preserve"> The staff support for these data collection instruments are eligible for remote work so salary tables are not restricted to the Washington, DC Metro Area -- </w:t>
      </w:r>
      <w:hyperlink r:id="rId2" w:history="1">
        <w:r w:rsidR="00427D7A">
          <w:rPr>
            <w:rStyle w:val="Hyperlink"/>
          </w:rPr>
          <w:t>https://www.opm.gov/policy-data-oversight/pay-leave/salaries-wages/salary-tables/pdf/2024/RUS.pdf</w:t>
        </w:r>
      </w:hyperlink>
      <w:r>
        <w:t xml:space="preserve"> and </w:t>
      </w:r>
      <w:hyperlink r:id="rId3" w:history="1">
        <w:r w:rsidR="003320E7">
          <w:rPr>
            <w:rStyle w:val="Hyperlink"/>
          </w:rPr>
          <w:t>https://www.opm.gov/policy-data-oversight/pay-leave/salaries-wages/salary-tables/pdf/2024/NY.pdf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0F67" w14:paraId="41A498DB" w14:textId="77777777">
    <w:pPr>
      <w:pStyle w:val="Header"/>
      <w:jc w:val="center"/>
    </w:pPr>
  </w:p>
  <w:p w:rsidR="00F40F67" w14:paraId="6288DAA1"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EE51D3"/>
    <w:multiLevelType w:val="hybridMultilevel"/>
    <w:tmpl w:val="900A3EC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517D65B4"/>
    <w:multiLevelType w:val="hybridMultilevel"/>
    <w:tmpl w:val="E402D90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584652318">
    <w:abstractNumId w:val="0"/>
  </w:num>
  <w:num w:numId="2" w16cid:durableId="572348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36"/>
    <w:rsid w:val="000B58B1"/>
    <w:rsid w:val="00102508"/>
    <w:rsid w:val="00107020"/>
    <w:rsid w:val="00110D92"/>
    <w:rsid w:val="00146589"/>
    <w:rsid w:val="00177147"/>
    <w:rsid w:val="001C5478"/>
    <w:rsid w:val="002020A8"/>
    <w:rsid w:val="00233004"/>
    <w:rsid w:val="00241AB0"/>
    <w:rsid w:val="0026186D"/>
    <w:rsid w:val="00272570"/>
    <w:rsid w:val="00287071"/>
    <w:rsid w:val="0028767A"/>
    <w:rsid w:val="00293240"/>
    <w:rsid w:val="002A2CEE"/>
    <w:rsid w:val="002B6F62"/>
    <w:rsid w:val="003320E7"/>
    <w:rsid w:val="0033510C"/>
    <w:rsid w:val="003707EE"/>
    <w:rsid w:val="00397755"/>
    <w:rsid w:val="003C56C8"/>
    <w:rsid w:val="003C7AD7"/>
    <w:rsid w:val="003E4B82"/>
    <w:rsid w:val="003F69CD"/>
    <w:rsid w:val="00402CD1"/>
    <w:rsid w:val="00427D7A"/>
    <w:rsid w:val="00431BFC"/>
    <w:rsid w:val="00444052"/>
    <w:rsid w:val="004479F7"/>
    <w:rsid w:val="004C08A6"/>
    <w:rsid w:val="004F3C03"/>
    <w:rsid w:val="005249BF"/>
    <w:rsid w:val="0055363D"/>
    <w:rsid w:val="005A0022"/>
    <w:rsid w:val="005A58C5"/>
    <w:rsid w:val="005C5A17"/>
    <w:rsid w:val="00650E4F"/>
    <w:rsid w:val="006563F8"/>
    <w:rsid w:val="00663FB2"/>
    <w:rsid w:val="006706E4"/>
    <w:rsid w:val="00677839"/>
    <w:rsid w:val="007176DA"/>
    <w:rsid w:val="00717A97"/>
    <w:rsid w:val="00733024"/>
    <w:rsid w:val="007543E2"/>
    <w:rsid w:val="00840018"/>
    <w:rsid w:val="00846F61"/>
    <w:rsid w:val="008532C4"/>
    <w:rsid w:val="008C73CF"/>
    <w:rsid w:val="008D4C43"/>
    <w:rsid w:val="008E3BAE"/>
    <w:rsid w:val="008F6980"/>
    <w:rsid w:val="0094177A"/>
    <w:rsid w:val="009740A0"/>
    <w:rsid w:val="00A10F9E"/>
    <w:rsid w:val="00A33754"/>
    <w:rsid w:val="00A42EE9"/>
    <w:rsid w:val="00A80DE6"/>
    <w:rsid w:val="00A83541"/>
    <w:rsid w:val="00AB01A0"/>
    <w:rsid w:val="00AF3DAF"/>
    <w:rsid w:val="00AF66E1"/>
    <w:rsid w:val="00AF72EB"/>
    <w:rsid w:val="00BA453C"/>
    <w:rsid w:val="00BA56A3"/>
    <w:rsid w:val="00BC4509"/>
    <w:rsid w:val="00C20314"/>
    <w:rsid w:val="00C230B3"/>
    <w:rsid w:val="00C65A17"/>
    <w:rsid w:val="00D008FC"/>
    <w:rsid w:val="00D24AC9"/>
    <w:rsid w:val="00D42C3E"/>
    <w:rsid w:val="00D5279A"/>
    <w:rsid w:val="00D53936"/>
    <w:rsid w:val="00DF393B"/>
    <w:rsid w:val="00E009EE"/>
    <w:rsid w:val="00E4338E"/>
    <w:rsid w:val="00E540D7"/>
    <w:rsid w:val="00EA2105"/>
    <w:rsid w:val="00EA5443"/>
    <w:rsid w:val="00EA795A"/>
    <w:rsid w:val="00F26F4D"/>
    <w:rsid w:val="00F40F67"/>
    <w:rsid w:val="00F76745"/>
    <w:rsid w:val="00FA4E3B"/>
    <w:rsid w:val="00FD5010"/>
    <w:rsid w:val="00FF3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226F39"/>
  <w15:chartTrackingRefBased/>
  <w15:docId w15:val="{D75701A5-FC4A-4E7E-A367-24C0D9AE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93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5393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3936"/>
    <w:rPr>
      <w:rFonts w:ascii="Times New Roman" w:eastAsia="Times New Roman" w:hAnsi="Times New Roman" w:cs="Times New Roman"/>
      <w:b/>
      <w:bCs/>
      <w:sz w:val="24"/>
      <w:szCs w:val="20"/>
    </w:rPr>
  </w:style>
  <w:style w:type="paragraph" w:styleId="Header">
    <w:name w:val="header"/>
    <w:basedOn w:val="Normal"/>
    <w:link w:val="HeaderChar"/>
    <w:uiPriority w:val="99"/>
    <w:rsid w:val="00D53936"/>
    <w:pPr>
      <w:tabs>
        <w:tab w:val="center" w:pos="4320"/>
        <w:tab w:val="right" w:pos="8640"/>
      </w:tabs>
    </w:pPr>
  </w:style>
  <w:style w:type="character" w:customStyle="1" w:styleId="HeaderChar">
    <w:name w:val="Header Char"/>
    <w:basedOn w:val="DefaultParagraphFont"/>
    <w:link w:val="Header"/>
    <w:uiPriority w:val="99"/>
    <w:rsid w:val="00D53936"/>
    <w:rPr>
      <w:rFonts w:ascii="Times New Roman" w:eastAsia="Times New Roman" w:hAnsi="Times New Roman" w:cs="Times New Roman"/>
      <w:sz w:val="24"/>
      <w:szCs w:val="20"/>
    </w:rPr>
  </w:style>
  <w:style w:type="paragraph" w:styleId="Footer">
    <w:name w:val="footer"/>
    <w:basedOn w:val="Normal"/>
    <w:link w:val="FooterChar"/>
    <w:uiPriority w:val="99"/>
    <w:rsid w:val="00D53936"/>
    <w:pPr>
      <w:tabs>
        <w:tab w:val="center" w:pos="4320"/>
        <w:tab w:val="right" w:pos="8640"/>
      </w:tabs>
    </w:pPr>
  </w:style>
  <w:style w:type="character" w:customStyle="1" w:styleId="FooterChar">
    <w:name w:val="Footer Char"/>
    <w:basedOn w:val="DefaultParagraphFont"/>
    <w:link w:val="Footer"/>
    <w:uiPriority w:val="99"/>
    <w:rsid w:val="00D53936"/>
    <w:rPr>
      <w:rFonts w:ascii="Times New Roman" w:eastAsia="Times New Roman" w:hAnsi="Times New Roman" w:cs="Times New Roman"/>
      <w:sz w:val="24"/>
      <w:szCs w:val="20"/>
    </w:rPr>
  </w:style>
  <w:style w:type="character" w:styleId="PageNumber">
    <w:name w:val="page number"/>
    <w:basedOn w:val="DefaultParagraphFont"/>
    <w:rsid w:val="00D53936"/>
  </w:style>
  <w:style w:type="paragraph" w:styleId="BodyText2">
    <w:name w:val="Body Text 2"/>
    <w:basedOn w:val="Normal"/>
    <w:link w:val="BodyText2Char"/>
    <w:uiPriority w:val="99"/>
    <w:rsid w:val="00D53936"/>
    <w:pPr>
      <w:jc w:val="both"/>
    </w:pPr>
  </w:style>
  <w:style w:type="character" w:customStyle="1" w:styleId="BodyText2Char">
    <w:name w:val="Body Text 2 Char"/>
    <w:basedOn w:val="DefaultParagraphFont"/>
    <w:link w:val="BodyText2"/>
    <w:uiPriority w:val="99"/>
    <w:rsid w:val="00D53936"/>
    <w:rPr>
      <w:rFonts w:ascii="Times New Roman" w:eastAsia="Times New Roman" w:hAnsi="Times New Roman" w:cs="Times New Roman"/>
      <w:sz w:val="24"/>
      <w:szCs w:val="20"/>
    </w:rPr>
  </w:style>
  <w:style w:type="character" w:styleId="Hyperlink">
    <w:name w:val="Hyperlink"/>
    <w:rsid w:val="00D53936"/>
    <w:rPr>
      <w:color w:val="0000FF"/>
      <w:u w:val="single"/>
    </w:rPr>
  </w:style>
  <w:style w:type="paragraph" w:styleId="FootnoteText">
    <w:name w:val="footnote text"/>
    <w:basedOn w:val="Normal"/>
    <w:link w:val="FootnoteTextChar"/>
    <w:uiPriority w:val="99"/>
    <w:unhideWhenUsed/>
    <w:rsid w:val="00D53936"/>
    <w:rPr>
      <w:sz w:val="20"/>
    </w:rPr>
  </w:style>
  <w:style w:type="character" w:customStyle="1" w:styleId="FootnoteTextChar">
    <w:name w:val="Footnote Text Char"/>
    <w:basedOn w:val="DefaultParagraphFont"/>
    <w:link w:val="FootnoteText"/>
    <w:uiPriority w:val="99"/>
    <w:rsid w:val="00D53936"/>
    <w:rPr>
      <w:rFonts w:ascii="Times New Roman" w:eastAsia="Times New Roman" w:hAnsi="Times New Roman" w:cs="Times New Roman"/>
      <w:sz w:val="20"/>
      <w:szCs w:val="20"/>
    </w:rPr>
  </w:style>
  <w:style w:type="character" w:styleId="FootnoteReference">
    <w:name w:val="footnote reference"/>
    <w:uiPriority w:val="99"/>
    <w:unhideWhenUsed/>
    <w:rsid w:val="00D53936"/>
    <w:rPr>
      <w:vertAlign w:val="superscript"/>
    </w:rPr>
  </w:style>
  <w:style w:type="paragraph" w:styleId="Revision">
    <w:name w:val="Revision"/>
    <w:hidden/>
    <w:uiPriority w:val="99"/>
    <w:semiHidden/>
    <w:rsid w:val="00402CD1"/>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02CD1"/>
    <w:rPr>
      <w:sz w:val="16"/>
      <w:szCs w:val="16"/>
    </w:rPr>
  </w:style>
  <w:style w:type="paragraph" w:styleId="CommentText">
    <w:name w:val="annotation text"/>
    <w:basedOn w:val="Normal"/>
    <w:link w:val="CommentTextChar"/>
    <w:uiPriority w:val="99"/>
    <w:unhideWhenUsed/>
    <w:rsid w:val="00402CD1"/>
    <w:rPr>
      <w:sz w:val="20"/>
    </w:rPr>
  </w:style>
  <w:style w:type="character" w:customStyle="1" w:styleId="CommentTextChar">
    <w:name w:val="Comment Text Char"/>
    <w:basedOn w:val="DefaultParagraphFont"/>
    <w:link w:val="CommentText"/>
    <w:uiPriority w:val="99"/>
    <w:rsid w:val="00402C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2CD1"/>
    <w:rPr>
      <w:b/>
      <w:bCs/>
    </w:rPr>
  </w:style>
  <w:style w:type="character" w:customStyle="1" w:styleId="CommentSubjectChar">
    <w:name w:val="Comment Subject Char"/>
    <w:basedOn w:val="CommentTextChar"/>
    <w:link w:val="CommentSubject"/>
    <w:uiPriority w:val="99"/>
    <w:semiHidden/>
    <w:rsid w:val="00402CD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24AC9"/>
    <w:rPr>
      <w:color w:val="954F72" w:themeColor="followedHyperlink"/>
      <w:u w:val="single"/>
    </w:rPr>
  </w:style>
  <w:style w:type="paragraph" w:styleId="ListParagraph">
    <w:name w:val="List Paragraph"/>
    <w:basedOn w:val="Normal"/>
    <w:uiPriority w:val="34"/>
    <w:qFormat/>
    <w:rsid w:val="00D52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3031.htm" TargetMode="External" /><Relationship Id="rId2" Type="http://schemas.openxmlformats.org/officeDocument/2006/relationships/hyperlink" Target="https://www.opm.gov/policy-data-oversight/pay-leave/salaries-wages/salary-tables/pdf/2024/RUS.pdf" TargetMode="External" /><Relationship Id="rId3" Type="http://schemas.openxmlformats.org/officeDocument/2006/relationships/hyperlink" Target="https://www.opm.gov/policy-data-oversight/pay-leave/salaries-wages/salary-tables/pdf/2024/N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F0711-D331-4C6C-926C-C418DCBC871B}">
  <ds:schemaRef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87E905C-88C2-4F03-A90E-52C677062CF0}">
  <ds:schemaRefs>
    <ds:schemaRef ds:uri="http://schemas.microsoft.com/sharepoint/v3/contenttype/forms"/>
  </ds:schemaRefs>
</ds:datastoreItem>
</file>

<file path=customXml/itemProps3.xml><?xml version="1.0" encoding="utf-8"?>
<ds:datastoreItem xmlns:ds="http://schemas.openxmlformats.org/officeDocument/2006/customXml" ds:itemID="{BF770E1C-622C-4E4D-AE53-29CD748A8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Jay</dc:creator>
  <cp:lastModifiedBy>Spencer Clark</cp:lastModifiedBy>
  <cp:revision>2</cp:revision>
  <dcterms:created xsi:type="dcterms:W3CDTF">2025-01-29T16:42:00Z</dcterms:created>
  <dcterms:modified xsi:type="dcterms:W3CDTF">2025-01-29T16:42:00Z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a8825c6c-d334-4a14-b414-eca5a7660b0f</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2024-12-04T23:20:24Z</vt:lpwstr>
  </property>
  <property fmtid="{D5CDD505-2E9C-101B-9397-08002B2CF9AE}" pid="8" name="MSIP_Label_c9a1b251-8b9e-4059-8b96-32f7259f1931_SiteId">
    <vt:lpwstr>ab5eeca9-2540-4909-a9ee-17cb3edf5cec</vt:lpwstr>
  </property>
</Properties>
</file>