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02DC" w:rsidRPr="00B72005" w14:paraId="262D4965" w14:textId="77777777">
      <w:pPr>
        <w:pStyle w:val="Title"/>
        <w:spacing w:before="0"/>
        <w:rPr>
          <w:rFonts w:ascii="Arial" w:hAnsi="Arial" w:cs="Arial"/>
          <w:szCs w:val="24"/>
        </w:rPr>
      </w:pPr>
      <w:r w:rsidRPr="00B72005">
        <w:rPr>
          <w:rFonts w:ascii="Arial" w:hAnsi="Arial" w:cs="Arial"/>
          <w:szCs w:val="24"/>
        </w:rPr>
        <w:t>Supporting Statement</w:t>
      </w:r>
    </w:p>
    <w:p w:rsidR="00C602DC" w:rsidRPr="00B72005" w14:paraId="32657FCF" w14:textId="77777777">
      <w:pPr>
        <w:pStyle w:val="Title"/>
        <w:spacing w:before="0"/>
        <w:rPr>
          <w:rFonts w:ascii="Arial" w:hAnsi="Arial" w:cs="Arial"/>
          <w:szCs w:val="24"/>
        </w:rPr>
      </w:pPr>
      <w:r w:rsidRPr="00B72005">
        <w:rPr>
          <w:rFonts w:ascii="Arial" w:hAnsi="Arial" w:cs="Arial"/>
          <w:szCs w:val="24"/>
        </w:rPr>
        <w:t>for</w:t>
      </w:r>
    </w:p>
    <w:p w:rsidR="00C602DC" w:rsidRPr="00B72005" w14:paraId="7AE4F30D" w14:textId="77777777">
      <w:pPr>
        <w:pStyle w:val="Title"/>
        <w:spacing w:before="0"/>
        <w:rPr>
          <w:rFonts w:ascii="Arial" w:hAnsi="Arial" w:cs="Arial"/>
          <w:szCs w:val="24"/>
        </w:rPr>
      </w:pPr>
      <w:r w:rsidRPr="00B72005">
        <w:rPr>
          <w:rFonts w:ascii="Arial" w:hAnsi="Arial" w:cs="Arial"/>
          <w:szCs w:val="24"/>
        </w:rPr>
        <w:t>Voyage Planning for Tank Barge Transits</w:t>
      </w:r>
      <w:r w:rsidR="00B72005">
        <w:rPr>
          <w:rFonts w:ascii="Arial" w:hAnsi="Arial" w:cs="Arial"/>
          <w:szCs w:val="24"/>
        </w:rPr>
        <w:t xml:space="preserve"> </w:t>
      </w:r>
      <w:r w:rsidRPr="00B72005">
        <w:rPr>
          <w:rFonts w:ascii="Arial" w:hAnsi="Arial" w:cs="Arial"/>
          <w:szCs w:val="24"/>
        </w:rPr>
        <w:t>in the Northeast United States</w:t>
      </w:r>
    </w:p>
    <w:p w:rsidR="00B72005" w:rsidRPr="00DD58E8" w14:paraId="3C4D252C" w14:textId="77777777">
      <w:pPr>
        <w:pStyle w:val="Title"/>
        <w:spacing w:before="0"/>
        <w:rPr>
          <w:rFonts w:ascii="Arial" w:hAnsi="Arial" w:cs="Arial"/>
          <w:b w:val="0"/>
          <w:sz w:val="16"/>
          <w:szCs w:val="16"/>
        </w:rPr>
      </w:pPr>
    </w:p>
    <w:p w:rsidR="00B72005" w:rsidRPr="00DD58E8" w:rsidP="00B72005" w14:paraId="7697CEBD" w14:textId="77777777">
      <w:pPr>
        <w:widowControl w:val="0"/>
        <w:jc w:val="center"/>
        <w:rPr>
          <w:rFonts w:ascii="Arial" w:hAnsi="Arial" w:cs="Arial"/>
        </w:rPr>
      </w:pPr>
      <w:r w:rsidRPr="00DD58E8">
        <w:rPr>
          <w:rFonts w:ascii="Arial" w:hAnsi="Arial" w:cs="Arial"/>
        </w:rPr>
        <w:t xml:space="preserve">OMB No.: </w:t>
      </w:r>
      <w:r w:rsidRPr="00DD58E8" w:rsidR="00AF05E9">
        <w:rPr>
          <w:rFonts w:ascii="Arial" w:hAnsi="Arial" w:cs="Arial"/>
        </w:rPr>
        <w:t xml:space="preserve"> </w:t>
      </w:r>
      <w:r w:rsidRPr="00DD58E8">
        <w:rPr>
          <w:rFonts w:ascii="Arial" w:hAnsi="Arial" w:cs="Arial"/>
        </w:rPr>
        <w:t>1625-0088</w:t>
      </w:r>
      <w:r w:rsidR="00AF05E9">
        <w:rPr>
          <w:rFonts w:ascii="Arial" w:hAnsi="Arial" w:cs="Arial"/>
        </w:rPr>
        <w:t xml:space="preserve">  </w:t>
      </w:r>
    </w:p>
    <w:p w:rsidR="00B72005" w:rsidRPr="00DD58E8" w:rsidP="00B72005" w14:paraId="38E32CFC" w14:textId="77777777">
      <w:pPr>
        <w:widowControl w:val="0"/>
        <w:jc w:val="center"/>
        <w:rPr>
          <w:rFonts w:ascii="Arial" w:hAnsi="Arial" w:cs="Arial"/>
        </w:rPr>
      </w:pPr>
      <w:r w:rsidRPr="00DD58E8">
        <w:rPr>
          <w:rFonts w:ascii="Arial" w:hAnsi="Arial" w:cs="Arial"/>
        </w:rPr>
        <w:t xml:space="preserve">COLLECTION INSTRUMENTS:  Instruction </w:t>
      </w:r>
      <w:r w:rsidR="00AF05E9">
        <w:rPr>
          <w:rFonts w:ascii="Arial" w:hAnsi="Arial" w:cs="Arial"/>
        </w:rPr>
        <w:t xml:space="preserve"> </w:t>
      </w:r>
    </w:p>
    <w:p w:rsidR="00923AB4" w:rsidRPr="00DD58E8" w:rsidP="00B72005" w14:paraId="7E4190FE" w14:textId="77777777">
      <w:pPr>
        <w:widowControl w:val="0"/>
        <w:jc w:val="center"/>
        <w:rPr>
          <w:rFonts w:ascii="Arial" w:hAnsi="Arial" w:cs="Arial"/>
          <w:sz w:val="16"/>
          <w:szCs w:val="16"/>
        </w:rPr>
      </w:pPr>
    </w:p>
    <w:p w:rsidR="00C602DC" w:rsidRPr="00B72005" w14:paraId="34644B1F" w14:textId="77777777">
      <w:pPr>
        <w:widowControl w:val="0"/>
        <w:tabs>
          <w:tab w:val="left" w:pos="72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bCs/>
        </w:rPr>
      </w:pPr>
      <w:r w:rsidRPr="00B72005">
        <w:rPr>
          <w:rFonts w:ascii="Arial" w:hAnsi="Arial" w:cs="Arial"/>
          <w:b/>
          <w:bCs/>
        </w:rPr>
        <w:t>A.  Justification.</w:t>
      </w:r>
    </w:p>
    <w:p w:rsidR="00C602DC" w:rsidRPr="00B72005" w14:paraId="06A2BF01" w14:textId="77777777">
      <w:pPr>
        <w:widowControl w:val="0"/>
        <w:tabs>
          <w:tab w:val="left" w:pos="72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C602DC" w:rsidRPr="00B72005" w14:paraId="2C863B91" w14:textId="77777777">
      <w:pPr>
        <w:widowControl w:val="0"/>
        <w:tabs>
          <w:tab w:val="left" w:pos="576"/>
          <w:tab w:val="left" w:pos="720"/>
        </w:tabs>
        <w:ind w:left="540" w:hanging="540"/>
        <w:rPr>
          <w:rFonts w:ascii="Arial" w:hAnsi="Arial" w:cs="Arial"/>
        </w:rPr>
      </w:pPr>
      <w:r w:rsidRPr="00B72005">
        <w:rPr>
          <w:rFonts w:ascii="Arial" w:hAnsi="Arial" w:cs="Arial"/>
        </w:rPr>
        <w:t>1</w:t>
      </w:r>
      <w:r w:rsidR="00B72005">
        <w:rPr>
          <w:rFonts w:ascii="Arial" w:hAnsi="Arial" w:cs="Arial"/>
        </w:rPr>
        <w:t>)</w:t>
      </w:r>
      <w:r w:rsidRPr="00B72005">
        <w:rPr>
          <w:rFonts w:ascii="Arial" w:hAnsi="Arial" w:cs="Arial"/>
        </w:rPr>
        <w:t xml:space="preserve">  </w:t>
      </w:r>
      <w:r w:rsidRPr="00B72005">
        <w:rPr>
          <w:rFonts w:ascii="Arial" w:hAnsi="Arial" w:cs="Arial"/>
          <w:bCs/>
          <w:u w:val="single"/>
        </w:rPr>
        <w:t>Circumstances that make the collection of information necessary</w:t>
      </w:r>
      <w:r w:rsidRPr="00B72005">
        <w:rPr>
          <w:rFonts w:ascii="Arial" w:hAnsi="Arial" w:cs="Arial"/>
          <w:bCs/>
        </w:rPr>
        <w:t>.</w:t>
      </w:r>
      <w:r w:rsidR="00B72005">
        <w:rPr>
          <w:rFonts w:ascii="Arial" w:hAnsi="Arial" w:cs="Arial"/>
          <w:bCs/>
        </w:rPr>
        <w:t xml:space="preserve">  </w:t>
      </w:r>
    </w:p>
    <w:p w:rsidR="00C602DC" w:rsidRPr="00B72005" w14:paraId="34A7F7FA" w14:textId="77777777">
      <w:pPr>
        <w:widowControl w:val="0"/>
        <w:tabs>
          <w:tab w:val="left" w:pos="576"/>
          <w:tab w:val="left" w:pos="720"/>
        </w:tabs>
        <w:rPr>
          <w:rFonts w:ascii="Arial" w:hAnsi="Arial" w:cs="Arial"/>
        </w:rPr>
      </w:pPr>
    </w:p>
    <w:p w:rsidR="00C602DC" w:rsidRPr="00B72005" w14:paraId="2AE1048B" w14:textId="77777777">
      <w:pPr>
        <w:pStyle w:val="BodyText"/>
        <w:tabs>
          <w:tab w:val="left" w:pos="720"/>
        </w:tabs>
        <w:rPr>
          <w:rFonts w:ascii="Arial" w:hAnsi="Arial" w:cs="Arial"/>
          <w:sz w:val="20"/>
        </w:rPr>
      </w:pPr>
      <w:r w:rsidRPr="00B72005">
        <w:rPr>
          <w:rFonts w:ascii="Arial" w:hAnsi="Arial" w:cs="Arial"/>
          <w:sz w:val="20"/>
        </w:rPr>
        <w:t xml:space="preserve">A permanent </w:t>
      </w:r>
      <w:r w:rsidRPr="00B72005" w:rsidR="00B25C6E">
        <w:rPr>
          <w:rFonts w:ascii="Arial" w:hAnsi="Arial" w:cs="Arial"/>
          <w:sz w:val="20"/>
        </w:rPr>
        <w:t>r</w:t>
      </w:r>
      <w:r w:rsidRPr="00B72005">
        <w:rPr>
          <w:rFonts w:ascii="Arial" w:hAnsi="Arial" w:cs="Arial"/>
          <w:sz w:val="20"/>
        </w:rPr>
        <w:t xml:space="preserve">egulated </w:t>
      </w:r>
      <w:r w:rsidRPr="00B72005" w:rsidR="00B25C6E">
        <w:rPr>
          <w:rFonts w:ascii="Arial" w:hAnsi="Arial" w:cs="Arial"/>
          <w:sz w:val="20"/>
        </w:rPr>
        <w:t>n</w:t>
      </w:r>
      <w:r w:rsidRPr="00B72005">
        <w:rPr>
          <w:rFonts w:ascii="Arial" w:hAnsi="Arial" w:cs="Arial"/>
          <w:sz w:val="20"/>
        </w:rPr>
        <w:t xml:space="preserve">avigation </w:t>
      </w:r>
      <w:r w:rsidRPr="00B72005" w:rsidR="00B25C6E">
        <w:rPr>
          <w:rFonts w:ascii="Arial" w:hAnsi="Arial" w:cs="Arial"/>
          <w:sz w:val="20"/>
        </w:rPr>
        <w:t>a</w:t>
      </w:r>
      <w:r w:rsidRPr="00B72005">
        <w:rPr>
          <w:rFonts w:ascii="Arial" w:hAnsi="Arial" w:cs="Arial"/>
          <w:sz w:val="20"/>
        </w:rPr>
        <w:t>rea (RNA) is established within the geographic boundaries of the First Coast Guard District (</w:t>
      </w:r>
      <w:r w:rsidRPr="00B72005" w:rsidR="00B25C6E">
        <w:rPr>
          <w:rFonts w:ascii="Arial" w:hAnsi="Arial" w:cs="Arial"/>
          <w:sz w:val="20"/>
        </w:rPr>
        <w:t>n</w:t>
      </w:r>
      <w:r w:rsidRPr="00B72005">
        <w:rPr>
          <w:rFonts w:ascii="Arial" w:hAnsi="Arial" w:cs="Arial"/>
          <w:sz w:val="20"/>
        </w:rPr>
        <w:t>ortheast region</w:t>
      </w:r>
      <w:r w:rsidR="00B72005">
        <w:rPr>
          <w:rFonts w:ascii="Arial" w:hAnsi="Arial" w:cs="Arial"/>
          <w:sz w:val="20"/>
        </w:rPr>
        <w:t xml:space="preserve"> of the U.S.</w:t>
      </w:r>
      <w:r w:rsidRPr="00B72005">
        <w:rPr>
          <w:rFonts w:ascii="Arial" w:hAnsi="Arial" w:cs="Arial"/>
          <w:sz w:val="20"/>
        </w:rPr>
        <w:t>) to increase the operational safety of towing vessels and tank barges.  The information collection requirements described in this supporting statement are necessary to comply with 33 CFR 165.100</w:t>
      </w:r>
      <w:r w:rsidR="00D21DCD">
        <w:rPr>
          <w:rFonts w:ascii="Arial" w:hAnsi="Arial" w:cs="Arial"/>
          <w:sz w:val="20"/>
        </w:rPr>
        <w:t>(d)(3</w:t>
      </w:r>
      <w:r w:rsidR="00207F97">
        <w:rPr>
          <w:rFonts w:ascii="Arial" w:hAnsi="Arial" w:cs="Arial"/>
          <w:sz w:val="20"/>
        </w:rPr>
        <w:t>)</w:t>
      </w:r>
      <w:r w:rsidRPr="00B72005" w:rsidR="00207F97">
        <w:rPr>
          <w:rFonts w:ascii="Arial" w:hAnsi="Arial" w:cs="Arial"/>
          <w:sz w:val="20"/>
        </w:rPr>
        <w:t>.</w:t>
      </w:r>
      <w:r w:rsidR="00207F97">
        <w:rPr>
          <w:rFonts w:ascii="Arial" w:hAnsi="Arial" w:cs="Arial"/>
          <w:sz w:val="20"/>
        </w:rPr>
        <w:t xml:space="preserve"> </w:t>
      </w:r>
      <w:r w:rsidRPr="00B72005" w:rsidR="00207F97">
        <w:rPr>
          <w:rFonts w:ascii="Arial" w:hAnsi="Arial" w:cs="Arial"/>
          <w:sz w:val="20"/>
        </w:rPr>
        <w:t xml:space="preserve"> </w:t>
      </w:r>
      <w:r w:rsidRPr="00B72005">
        <w:rPr>
          <w:rFonts w:ascii="Arial" w:hAnsi="Arial" w:cs="Arial"/>
          <w:sz w:val="20"/>
        </w:rPr>
        <w:t xml:space="preserve">The U.S. Coast Guard requires any owner or operator of a towing vessel, which is engaged in towing a tank barge, to prepare a written voyage plan prior to departure.  </w:t>
      </w:r>
    </w:p>
    <w:p w:rsidR="00C602DC" w:rsidRPr="00B72005" w14:paraId="1578105B" w14:textId="77777777">
      <w:pPr>
        <w:widowControl w:val="0"/>
        <w:tabs>
          <w:tab w:val="left" w:pos="576"/>
          <w:tab w:val="left" w:pos="720"/>
        </w:tabs>
        <w:rPr>
          <w:rFonts w:ascii="Arial" w:hAnsi="Arial" w:cs="Arial"/>
        </w:rPr>
      </w:pPr>
    </w:p>
    <w:p w:rsidR="00C602DC" w:rsidRPr="00B72005" w14:paraId="3A182DF4" w14:textId="77777777">
      <w:pPr>
        <w:pStyle w:val="BodyText"/>
        <w:tabs>
          <w:tab w:val="left" w:pos="720"/>
        </w:tabs>
        <w:rPr>
          <w:rFonts w:ascii="Arial" w:hAnsi="Arial" w:cs="Arial"/>
          <w:sz w:val="20"/>
        </w:rPr>
      </w:pPr>
      <w:r w:rsidRPr="00B72005">
        <w:rPr>
          <w:rFonts w:ascii="Arial" w:hAnsi="Arial" w:cs="Arial"/>
          <w:sz w:val="20"/>
        </w:rPr>
        <w:t xml:space="preserve">These recordkeeping requirements are largely consistent with good commercial practices and the dictates of good seamanship for safe navigation.  Furthermore, the voyage plan provides a mechanism for assisting </w:t>
      </w:r>
      <w:r w:rsidR="0070246B">
        <w:rPr>
          <w:rFonts w:ascii="Arial" w:hAnsi="Arial" w:cs="Arial"/>
          <w:sz w:val="20"/>
        </w:rPr>
        <w:t>M</w:t>
      </w:r>
      <w:r w:rsidRPr="00B72005">
        <w:rPr>
          <w:rFonts w:ascii="Arial" w:hAnsi="Arial" w:cs="Arial"/>
          <w:sz w:val="20"/>
        </w:rPr>
        <w:t>asters of towing vessels in identifying those specific risks, potential equipment failures, or human errors that may lead to an incident.  Without an information collection, there would be reduced means for the owner or operator of a towing vessel to be held accountable for adequate navigational practices.</w:t>
      </w:r>
      <w:r w:rsidR="00AF05E9">
        <w:rPr>
          <w:rFonts w:ascii="Arial" w:hAnsi="Arial" w:cs="Arial"/>
          <w:sz w:val="20"/>
        </w:rPr>
        <w:t xml:space="preserve">  </w:t>
      </w:r>
    </w:p>
    <w:p w:rsidR="00C602DC" w:rsidRPr="00B72005" w14:paraId="4CA7BAA3" w14:textId="77777777">
      <w:pPr>
        <w:widowControl w:val="0"/>
        <w:tabs>
          <w:tab w:val="left" w:pos="576"/>
          <w:tab w:val="left" w:pos="720"/>
        </w:tabs>
        <w:rPr>
          <w:rFonts w:ascii="Arial" w:hAnsi="Arial" w:cs="Arial"/>
        </w:rPr>
      </w:pPr>
    </w:p>
    <w:p w:rsidR="00C602DC" w:rsidRPr="00B72005" w:rsidP="004534B4" w14:paraId="59AFE69D" w14:textId="77777777">
      <w:pPr>
        <w:rPr>
          <w:rFonts w:ascii="Arial" w:hAnsi="Arial" w:cs="Arial"/>
        </w:rPr>
      </w:pPr>
      <w:r>
        <w:rPr>
          <w:rFonts w:ascii="Arial" w:hAnsi="Arial" w:cs="Arial"/>
        </w:rPr>
        <w:t xml:space="preserve">The statutory authority is </w:t>
      </w:r>
      <w:r w:rsidRPr="004534B4" w:rsidR="00207F97">
        <w:rPr>
          <w:rFonts w:ascii="Arial" w:hAnsi="Arial" w:cs="Arial"/>
        </w:rPr>
        <w:t>46</w:t>
      </w:r>
      <w:r w:rsidRPr="00207F97">
        <w:rPr>
          <w:rFonts w:ascii="Arial" w:hAnsi="Arial" w:cs="Arial"/>
        </w:rPr>
        <w:t xml:space="preserve"> U.S. Code </w:t>
      </w:r>
      <w:r w:rsidRPr="004534B4" w:rsidR="00207F97">
        <w:rPr>
          <w:rFonts w:ascii="Arial" w:hAnsi="Arial" w:cs="Arial"/>
        </w:rPr>
        <w:t>70034</w:t>
      </w:r>
      <w:r>
        <w:rPr>
          <w:rFonts w:ascii="Arial" w:hAnsi="Arial" w:cs="Arial"/>
        </w:rPr>
        <w:t xml:space="preserve">.  </w:t>
      </w:r>
    </w:p>
    <w:p w:rsidR="00C602DC" w:rsidRPr="00B72005" w14:paraId="4C2F0859" w14:textId="77777777">
      <w:pPr>
        <w:widowControl w:val="0"/>
        <w:tabs>
          <w:tab w:val="left" w:pos="576"/>
          <w:tab w:val="left" w:pos="720"/>
        </w:tabs>
        <w:rPr>
          <w:rFonts w:ascii="Arial" w:hAnsi="Arial" w:cs="Arial"/>
        </w:rPr>
      </w:pPr>
    </w:p>
    <w:p w:rsidR="00B72005" w:rsidRPr="005A08C4" w:rsidP="00B72005" w14:paraId="43602D13" w14:textId="77777777">
      <w:pPr>
        <w:widowControl w:val="0"/>
        <w:ind w:left="360" w:hanging="360"/>
        <w:rPr>
          <w:rFonts w:ascii="Arial" w:hAnsi="Arial" w:cs="Arial"/>
        </w:rPr>
      </w:pPr>
      <w:r w:rsidRPr="005A08C4">
        <w:rPr>
          <w:rFonts w:ascii="Arial" w:hAnsi="Arial" w:cs="Arial"/>
        </w:rPr>
        <w:t>2</w:t>
      </w:r>
      <w:r>
        <w:rPr>
          <w:rFonts w:ascii="Arial" w:hAnsi="Arial" w:cs="Arial"/>
        </w:rPr>
        <w:t>)</w:t>
      </w:r>
      <w:r w:rsidRPr="005A08C4">
        <w:rPr>
          <w:rFonts w:ascii="Arial" w:hAnsi="Arial" w:cs="Arial"/>
        </w:rPr>
        <w:t xml:space="preserve">  </w:t>
      </w:r>
      <w:r w:rsidRPr="005A08C4">
        <w:rPr>
          <w:rFonts w:ascii="Arial" w:hAnsi="Arial" w:cs="Arial"/>
          <w:u w:val="single"/>
        </w:rPr>
        <w:t>Purpose of the information collection</w:t>
      </w:r>
      <w:r w:rsidRPr="005A08C4">
        <w:rPr>
          <w:rFonts w:ascii="Arial" w:hAnsi="Arial" w:cs="Arial"/>
        </w:rPr>
        <w:t xml:space="preserve">.  </w:t>
      </w:r>
    </w:p>
    <w:p w:rsidR="00B72005" w:rsidRPr="005A08C4" w:rsidP="00B72005" w14:paraId="5BAE1D93" w14:textId="77777777">
      <w:pPr>
        <w:widowControl w:val="0"/>
        <w:tabs>
          <w:tab w:val="num" w:pos="720"/>
        </w:tabs>
        <w:ind w:left="720" w:hanging="720"/>
        <w:rPr>
          <w:rFonts w:ascii="Arial" w:hAnsi="Arial" w:cs="Arial"/>
          <w:u w:val="single"/>
        </w:rPr>
      </w:pPr>
    </w:p>
    <w:p w:rsidR="00C602DC" w:rsidRPr="00B72005" w14:paraId="41B16AEA" w14:textId="77777777">
      <w:pPr>
        <w:widowControl w:val="0"/>
        <w:tabs>
          <w:tab w:val="left" w:pos="576"/>
          <w:tab w:val="left" w:pos="720"/>
        </w:tabs>
        <w:rPr>
          <w:rFonts w:ascii="Arial" w:hAnsi="Arial" w:cs="Arial"/>
        </w:rPr>
      </w:pPr>
      <w:r w:rsidRPr="00B72005">
        <w:rPr>
          <w:rFonts w:ascii="Arial" w:hAnsi="Arial" w:cs="Arial"/>
        </w:rPr>
        <w:t xml:space="preserve">Accidents sometimes occur because towing vessels lack appropriate voyage planning.  The information collection aids safe passage by ensuring that the crew will properly plan for the anticipated voyage.  The </w:t>
      </w:r>
      <w:r w:rsidR="0070246B">
        <w:rPr>
          <w:rFonts w:ascii="Arial" w:hAnsi="Arial" w:cs="Arial"/>
        </w:rPr>
        <w:t>M</w:t>
      </w:r>
      <w:r w:rsidRPr="00B72005">
        <w:rPr>
          <w:rFonts w:ascii="Arial" w:hAnsi="Arial" w:cs="Arial"/>
        </w:rPr>
        <w:t xml:space="preserve">aster of the towing vessel that is engaged in towing a tank barge will develop the content of the voyage plan prior to the voyage.  The </w:t>
      </w:r>
      <w:r w:rsidR="00453FCC">
        <w:rPr>
          <w:rFonts w:ascii="Arial" w:hAnsi="Arial" w:cs="Arial"/>
        </w:rPr>
        <w:t>M</w:t>
      </w:r>
      <w:r w:rsidRPr="00B72005" w:rsidR="00453FCC">
        <w:rPr>
          <w:rFonts w:ascii="Arial" w:hAnsi="Arial" w:cs="Arial"/>
        </w:rPr>
        <w:t xml:space="preserve">aster </w:t>
      </w:r>
      <w:r w:rsidRPr="00B72005">
        <w:rPr>
          <w:rFonts w:ascii="Arial" w:hAnsi="Arial" w:cs="Arial"/>
        </w:rPr>
        <w:t xml:space="preserve">is also responsible for ensuring that the voyage plan is followed, or, if deviations from the plan are made during the voyage, that the plan is modified to a safe and appropriate alternative.  The voyage plan must be in written or electronic form, be retained onboard the vessel, and be readily available to the Coast Guard upon request.  Voyage plans also serve as a means for Coast Guard inspectors/investigators to determine if a vessel </w:t>
      </w:r>
      <w:r w:rsidRPr="00B72005">
        <w:rPr>
          <w:rFonts w:ascii="Arial" w:hAnsi="Arial" w:cs="Arial"/>
        </w:rPr>
        <w:t>is in compliance</w:t>
      </w:r>
      <w:r w:rsidRPr="00B72005">
        <w:rPr>
          <w:rFonts w:ascii="Arial" w:hAnsi="Arial" w:cs="Arial"/>
        </w:rPr>
        <w:t xml:space="preserve"> or, in the case of a casualty, whether failure to meet this regulation contributed to the casualty.  </w:t>
      </w:r>
    </w:p>
    <w:p w:rsidR="00C602DC" w:rsidRPr="00B72005" w14:paraId="4E5F7D08" w14:textId="77777777">
      <w:pPr>
        <w:widowControl w:val="0"/>
        <w:tabs>
          <w:tab w:val="left" w:pos="576"/>
          <w:tab w:val="left" w:pos="720"/>
        </w:tabs>
        <w:rPr>
          <w:rFonts w:ascii="Arial" w:hAnsi="Arial" w:cs="Arial"/>
        </w:rPr>
      </w:pPr>
    </w:p>
    <w:p w:rsidR="00C602DC" w:rsidRPr="00B72005" w14:paraId="404C7692" w14:textId="77777777">
      <w:pPr>
        <w:widowControl w:val="0"/>
        <w:tabs>
          <w:tab w:val="left" w:pos="576"/>
          <w:tab w:val="left" w:pos="720"/>
        </w:tabs>
        <w:rPr>
          <w:rFonts w:ascii="Arial" w:hAnsi="Arial" w:cs="Arial"/>
        </w:rPr>
      </w:pPr>
      <w:r w:rsidRPr="00B72005">
        <w:rPr>
          <w:rFonts w:ascii="Arial" w:hAnsi="Arial" w:cs="Arial"/>
        </w:rPr>
        <w:t>3</w:t>
      </w:r>
      <w:r w:rsidR="00F077CB">
        <w:rPr>
          <w:rFonts w:ascii="Arial" w:hAnsi="Arial" w:cs="Arial"/>
        </w:rPr>
        <w:t>)</w:t>
      </w:r>
      <w:r w:rsidRPr="00B72005">
        <w:rPr>
          <w:rFonts w:ascii="Arial" w:hAnsi="Arial" w:cs="Arial"/>
        </w:rPr>
        <w:t xml:space="preserve">  </w:t>
      </w:r>
      <w:r w:rsidRPr="00F077CB">
        <w:rPr>
          <w:rFonts w:ascii="Arial" w:hAnsi="Arial" w:cs="Arial"/>
          <w:bCs/>
          <w:u w:val="single"/>
        </w:rPr>
        <w:t>Consideration of the use of improved information technology</w:t>
      </w:r>
      <w:r w:rsidRPr="00B72005">
        <w:rPr>
          <w:rFonts w:ascii="Arial" w:hAnsi="Arial" w:cs="Arial"/>
          <w:bCs/>
        </w:rPr>
        <w:t>.</w:t>
      </w:r>
      <w:r w:rsidR="00610815">
        <w:rPr>
          <w:rFonts w:ascii="Arial" w:hAnsi="Arial" w:cs="Arial"/>
          <w:bCs/>
        </w:rPr>
        <w:t xml:space="preserve">  </w:t>
      </w:r>
    </w:p>
    <w:p w:rsidR="00C602DC" w:rsidRPr="00B72005" w14:paraId="506D90A3" w14:textId="77777777">
      <w:pPr>
        <w:widowControl w:val="0"/>
        <w:tabs>
          <w:tab w:val="left" w:pos="576"/>
          <w:tab w:val="left" w:pos="720"/>
        </w:tabs>
        <w:rPr>
          <w:rFonts w:ascii="Arial" w:hAnsi="Arial" w:cs="Arial"/>
        </w:rPr>
      </w:pPr>
    </w:p>
    <w:p w:rsidR="00C602DC" w:rsidRPr="00B72005" w14:paraId="16528FA4" w14:textId="77777777">
      <w:pPr>
        <w:widowControl w:val="0"/>
        <w:tabs>
          <w:tab w:val="left" w:pos="576"/>
          <w:tab w:val="left" w:pos="720"/>
        </w:tabs>
        <w:rPr>
          <w:rFonts w:ascii="Arial" w:hAnsi="Arial" w:cs="Arial"/>
        </w:rPr>
      </w:pPr>
      <w:r w:rsidRPr="00B72005">
        <w:rPr>
          <w:rFonts w:ascii="Arial" w:hAnsi="Arial" w:cs="Arial"/>
        </w:rPr>
        <w:t xml:space="preserve">This requirement does not restrict the voyage plan to </w:t>
      </w:r>
      <w:r w:rsidRPr="00B72005" w:rsidR="00432891">
        <w:rPr>
          <w:rFonts w:ascii="Arial" w:hAnsi="Arial" w:cs="Arial"/>
        </w:rPr>
        <w:t>paper</w:t>
      </w:r>
      <w:r w:rsidRPr="00B72005">
        <w:rPr>
          <w:rFonts w:ascii="Arial" w:hAnsi="Arial" w:cs="Arial"/>
        </w:rPr>
        <w:t xml:space="preserve"> form</w:t>
      </w:r>
      <w:r w:rsidRPr="00B72005" w:rsidR="00432891">
        <w:rPr>
          <w:rFonts w:ascii="Arial" w:hAnsi="Arial" w:cs="Arial"/>
        </w:rPr>
        <w:t>at</w:t>
      </w:r>
      <w:r w:rsidRPr="00B72005">
        <w:rPr>
          <w:rFonts w:ascii="Arial" w:hAnsi="Arial" w:cs="Arial"/>
        </w:rPr>
        <w:t xml:space="preserve">.  Electronic files are allowed and would reduce the physical volume of records on the vessel.  We estimate that </w:t>
      </w:r>
      <w:r w:rsidRPr="003D0B86" w:rsidR="00AF05E9">
        <w:rPr>
          <w:rFonts w:ascii="Arial" w:hAnsi="Arial" w:cs="Arial"/>
        </w:rPr>
        <w:t>7</w:t>
      </w:r>
      <w:r w:rsidRPr="003D0B86" w:rsidR="00985B72">
        <w:rPr>
          <w:rFonts w:ascii="Arial" w:hAnsi="Arial" w:cs="Arial"/>
        </w:rPr>
        <w:t>5</w:t>
      </w:r>
      <w:r w:rsidRPr="00B72005">
        <w:rPr>
          <w:rFonts w:ascii="Arial" w:hAnsi="Arial" w:cs="Arial"/>
        </w:rPr>
        <w:t>% of respondents maintain their voyage plans electronically.</w:t>
      </w:r>
      <w:r w:rsidR="00AF05E9">
        <w:rPr>
          <w:rFonts w:ascii="Arial" w:hAnsi="Arial" w:cs="Arial"/>
        </w:rPr>
        <w:t xml:space="preserve">  </w:t>
      </w:r>
    </w:p>
    <w:p w:rsidR="00C602DC" w14:paraId="785D328F" w14:textId="77777777">
      <w:pPr>
        <w:widowControl w:val="0"/>
        <w:tabs>
          <w:tab w:val="left" w:pos="576"/>
          <w:tab w:val="left" w:pos="720"/>
        </w:tabs>
        <w:rPr>
          <w:rFonts w:ascii="Arial" w:hAnsi="Arial" w:cs="Arial"/>
        </w:rPr>
      </w:pPr>
    </w:p>
    <w:p w:rsidR="003E3783" w:rsidRPr="003E3783" w:rsidP="003E3783" w14:paraId="7488D191" w14:textId="77777777">
      <w:pPr>
        <w:widowControl w:val="0"/>
        <w:tabs>
          <w:tab w:val="left" w:pos="576"/>
          <w:tab w:val="left" w:pos="720"/>
        </w:tabs>
        <w:rPr>
          <w:rFonts w:ascii="Arial" w:hAnsi="Arial" w:cs="Arial"/>
        </w:rPr>
      </w:pPr>
      <w:r w:rsidRPr="003E3783">
        <w:rPr>
          <w:rFonts w:ascii="Arial" w:hAnsi="Arial" w:cs="Arial"/>
        </w:rPr>
        <w:t>Regarding Usability Testing, this ICR— </w:t>
      </w:r>
    </w:p>
    <w:p w:rsidR="003E3783" w:rsidP="00D548AB" w14:paraId="17E578F1" w14:textId="77777777">
      <w:pPr>
        <w:widowControl w:val="0"/>
        <w:numPr>
          <w:ilvl w:val="0"/>
          <w:numId w:val="30"/>
        </w:numPr>
        <w:tabs>
          <w:tab w:val="clear" w:pos="720"/>
        </w:tabs>
        <w:rPr>
          <w:rFonts w:ascii="Arial" w:hAnsi="Arial" w:cs="Arial"/>
        </w:rPr>
      </w:pPr>
      <w:r w:rsidRPr="003E3783">
        <w:rPr>
          <w:rFonts w:ascii="Arial" w:hAnsi="Arial" w:cs="Arial"/>
        </w:rPr>
        <w:t>Public-facing instructions were tested by the staff of the CG Office of Standards Evaluation and</w:t>
      </w:r>
    </w:p>
    <w:p w:rsidR="003E3783" w:rsidRPr="003E3783" w:rsidP="00D548AB" w14:paraId="3FDC8C61" w14:textId="2CE47211">
      <w:pPr>
        <w:widowControl w:val="0"/>
        <w:ind w:left="720"/>
        <w:rPr>
          <w:rFonts w:ascii="Arial" w:hAnsi="Arial" w:cs="Arial"/>
        </w:rPr>
      </w:pPr>
      <w:r w:rsidRPr="003E3783">
        <w:rPr>
          <w:rFonts w:ascii="Arial" w:hAnsi="Arial" w:cs="Arial"/>
        </w:rPr>
        <w:t xml:space="preserve">Development (CG-REG) to ensure the use of plain language.  </w:t>
      </w:r>
      <w:r w:rsidRPr="000372AF" w:rsidR="000372AF">
        <w:rPr>
          <w:rFonts w:ascii="Arial" w:hAnsi="Arial" w:cs="Arial"/>
        </w:rPr>
        <w:t>Usability testing participants reported that they had no difficulty understanding the instructions.  As a result, the USCG did not make any changes to the collection.</w:t>
      </w:r>
    </w:p>
    <w:p w:rsidR="003E3783" w:rsidRPr="003E3783" w:rsidP="00D548AB" w14:paraId="0B0243E0" w14:textId="77777777">
      <w:pPr>
        <w:widowControl w:val="0"/>
        <w:numPr>
          <w:ilvl w:val="0"/>
          <w:numId w:val="31"/>
        </w:numPr>
        <w:tabs>
          <w:tab w:val="clear" w:pos="720"/>
        </w:tabs>
        <w:rPr>
          <w:rFonts w:ascii="Arial" w:hAnsi="Arial" w:cs="Arial"/>
        </w:rPr>
      </w:pPr>
      <w:r w:rsidRPr="003E3783">
        <w:rPr>
          <w:rFonts w:ascii="Arial" w:hAnsi="Arial" w:cs="Arial"/>
        </w:rPr>
        <w:t>Is not related to a public benefit program as detailed in OMB M-22-10 (titled “Improving Access to Public Benefits Programs Through the Paperwork Reduction Act” dated April 13, 2022). </w:t>
      </w:r>
    </w:p>
    <w:p w:rsidR="003E3783" w14:paraId="28B05095" w14:textId="2402638D">
      <w:pPr>
        <w:widowControl w:val="0"/>
        <w:numPr>
          <w:ilvl w:val="0"/>
          <w:numId w:val="33"/>
        </w:numPr>
        <w:tabs>
          <w:tab w:val="clear" w:pos="720"/>
        </w:tabs>
        <w:rPr>
          <w:rFonts w:ascii="Arial" w:hAnsi="Arial" w:cs="Arial"/>
        </w:rPr>
      </w:pPr>
      <w:r w:rsidRPr="003E3783">
        <w:rPr>
          <w:rFonts w:ascii="Arial" w:hAnsi="Arial" w:cs="Arial"/>
        </w:rPr>
        <w:t>Does have a reporting</w:t>
      </w:r>
      <w:r>
        <w:rPr>
          <w:rFonts w:ascii="Arial" w:hAnsi="Arial" w:cs="Arial"/>
        </w:rPr>
        <w:t xml:space="preserve"> </w:t>
      </w:r>
      <w:r w:rsidRPr="003E3783">
        <w:rPr>
          <w:rFonts w:ascii="Arial" w:hAnsi="Arial" w:cs="Arial"/>
        </w:rPr>
        <w:t>requirement. </w:t>
      </w:r>
    </w:p>
    <w:p w:rsidR="00C353E9" w:rsidRPr="003E3783" w:rsidP="00D548AB" w14:paraId="5F708DE1" w14:textId="4F1CD5AD">
      <w:pPr>
        <w:widowControl w:val="0"/>
        <w:numPr>
          <w:ilvl w:val="0"/>
          <w:numId w:val="33"/>
        </w:numPr>
        <w:tabs>
          <w:tab w:val="clear" w:pos="720"/>
        </w:tabs>
        <w:rPr>
          <w:rFonts w:ascii="Arial" w:hAnsi="Arial" w:cs="Arial"/>
        </w:rPr>
      </w:pPr>
      <w:r w:rsidRPr="00C353E9">
        <w:rPr>
          <w:rFonts w:ascii="Arial" w:hAnsi="Arial" w:cs="Arial"/>
        </w:rPr>
        <w:t>Does not require the use of a form</w:t>
      </w:r>
      <w:r w:rsidR="002433EF">
        <w:rPr>
          <w:rFonts w:ascii="Arial" w:hAnsi="Arial" w:cs="Arial"/>
        </w:rPr>
        <w:t>.</w:t>
      </w:r>
    </w:p>
    <w:p w:rsidR="003E3783" w:rsidRPr="003E3783" w:rsidP="00D548AB" w14:paraId="102BCB5D" w14:textId="77777777">
      <w:pPr>
        <w:widowControl w:val="0"/>
        <w:numPr>
          <w:ilvl w:val="0"/>
          <w:numId w:val="37"/>
        </w:numPr>
        <w:tabs>
          <w:tab w:val="clear" w:pos="720"/>
        </w:tabs>
        <w:rPr>
          <w:rFonts w:ascii="Arial" w:hAnsi="Arial" w:cs="Arial"/>
        </w:rPr>
      </w:pPr>
      <w:r w:rsidRPr="003E3783">
        <w:rPr>
          <w:rFonts w:ascii="Arial" w:hAnsi="Arial" w:cs="Arial"/>
        </w:rPr>
        <w:t xml:space="preserve">Is required by international treaty, statute, and/or regulation as noted in section 1 of the </w:t>
      </w:r>
      <w:r w:rsidRPr="003E3783">
        <w:rPr>
          <w:rFonts w:ascii="Arial" w:hAnsi="Arial" w:cs="Arial"/>
        </w:rPr>
        <w:t>Supporting Statement. </w:t>
      </w:r>
    </w:p>
    <w:p w:rsidR="003E3783" w:rsidRPr="00B72005" w14:paraId="5B655496" w14:textId="77777777">
      <w:pPr>
        <w:widowControl w:val="0"/>
        <w:tabs>
          <w:tab w:val="left" w:pos="576"/>
          <w:tab w:val="left" w:pos="720"/>
        </w:tabs>
        <w:rPr>
          <w:rFonts w:ascii="Arial" w:hAnsi="Arial" w:cs="Arial"/>
        </w:rPr>
      </w:pPr>
    </w:p>
    <w:p w:rsidR="00C602DC" w:rsidRPr="00B72005" w14:paraId="2A6989B1" w14:textId="77777777">
      <w:pPr>
        <w:widowControl w:val="0"/>
        <w:tabs>
          <w:tab w:val="left" w:pos="540"/>
          <w:tab w:val="left" w:pos="720"/>
        </w:tabs>
        <w:ind w:left="540" w:hanging="540"/>
        <w:rPr>
          <w:rFonts w:ascii="Arial" w:hAnsi="Arial" w:cs="Arial"/>
        </w:rPr>
      </w:pPr>
      <w:r w:rsidRPr="00B72005">
        <w:rPr>
          <w:rFonts w:ascii="Arial" w:hAnsi="Arial" w:cs="Arial"/>
        </w:rPr>
        <w:t>4</w:t>
      </w:r>
      <w:r w:rsidR="00985B72">
        <w:rPr>
          <w:rFonts w:ascii="Arial" w:hAnsi="Arial" w:cs="Arial"/>
        </w:rPr>
        <w:t>)</w:t>
      </w:r>
      <w:r w:rsidRPr="00B72005">
        <w:rPr>
          <w:rFonts w:ascii="Arial" w:hAnsi="Arial" w:cs="Arial"/>
        </w:rPr>
        <w:t xml:space="preserve">  </w:t>
      </w:r>
      <w:r w:rsidRPr="00985B72">
        <w:rPr>
          <w:rFonts w:ascii="Arial" w:hAnsi="Arial" w:cs="Arial"/>
          <w:bCs/>
          <w:u w:val="single"/>
        </w:rPr>
        <w:t>Efforts to identify duplication</w:t>
      </w:r>
      <w:r w:rsidRPr="00B72005">
        <w:rPr>
          <w:rFonts w:ascii="Arial" w:hAnsi="Arial" w:cs="Arial"/>
          <w:bCs/>
        </w:rPr>
        <w:t>.</w:t>
      </w:r>
      <w:r w:rsidRPr="00B72005">
        <w:rPr>
          <w:rFonts w:ascii="Arial" w:hAnsi="Arial" w:cs="Arial"/>
        </w:rPr>
        <w:t xml:space="preserve">  </w:t>
      </w:r>
    </w:p>
    <w:p w:rsidR="00C602DC" w:rsidRPr="00B72005" w14:paraId="2DD41AF3" w14:textId="77777777">
      <w:pPr>
        <w:widowControl w:val="0"/>
        <w:tabs>
          <w:tab w:val="left" w:pos="576"/>
          <w:tab w:val="left" w:pos="720"/>
        </w:tabs>
        <w:rPr>
          <w:rFonts w:ascii="Arial" w:hAnsi="Arial" w:cs="Arial"/>
        </w:rPr>
      </w:pPr>
    </w:p>
    <w:p w:rsidR="00C602DC" w:rsidRPr="00B72005" w14:paraId="3D1AB957" w14:textId="77777777">
      <w:pPr>
        <w:widowControl w:val="0"/>
        <w:tabs>
          <w:tab w:val="left" w:pos="576"/>
          <w:tab w:val="left" w:pos="720"/>
        </w:tabs>
        <w:rPr>
          <w:rFonts w:ascii="Arial" w:hAnsi="Arial" w:cs="Arial"/>
        </w:rPr>
      </w:pPr>
      <w:r w:rsidRPr="00B72005">
        <w:rPr>
          <w:rFonts w:ascii="Arial" w:hAnsi="Arial" w:cs="Arial"/>
        </w:rPr>
        <w:t xml:space="preserve">There are no </w:t>
      </w:r>
      <w:r w:rsidRPr="00B72005" w:rsidR="002B04CC">
        <w:rPr>
          <w:rFonts w:ascii="Arial" w:hAnsi="Arial" w:cs="Arial"/>
        </w:rPr>
        <w:t xml:space="preserve">State </w:t>
      </w:r>
      <w:r w:rsidRPr="00B72005">
        <w:rPr>
          <w:rFonts w:ascii="Arial" w:hAnsi="Arial" w:cs="Arial"/>
        </w:rPr>
        <w:t xml:space="preserve">or local regulations relating to this issue.  No similar information collection is conducted by other Federal agencies.  </w:t>
      </w:r>
    </w:p>
    <w:p w:rsidR="00C602DC" w:rsidRPr="00B72005" w14:paraId="45450902" w14:textId="77777777">
      <w:pPr>
        <w:widowControl w:val="0"/>
        <w:tabs>
          <w:tab w:val="left" w:pos="576"/>
          <w:tab w:val="left" w:pos="720"/>
        </w:tabs>
        <w:ind w:left="540" w:hanging="540"/>
        <w:rPr>
          <w:rFonts w:ascii="Arial" w:hAnsi="Arial" w:cs="Arial"/>
        </w:rPr>
      </w:pPr>
    </w:p>
    <w:p w:rsidR="00C602DC" w:rsidRPr="00B72005" w14:paraId="047779BB" w14:textId="77777777">
      <w:pPr>
        <w:widowControl w:val="0"/>
        <w:tabs>
          <w:tab w:val="left" w:pos="576"/>
          <w:tab w:val="left" w:pos="720"/>
        </w:tabs>
        <w:rPr>
          <w:rFonts w:ascii="Arial" w:hAnsi="Arial" w:cs="Arial"/>
          <w:bCs/>
        </w:rPr>
      </w:pPr>
      <w:r w:rsidRPr="00B72005">
        <w:rPr>
          <w:rFonts w:ascii="Arial" w:hAnsi="Arial" w:cs="Arial"/>
        </w:rPr>
        <w:t>5</w:t>
      </w:r>
      <w:r w:rsidR="00985B72">
        <w:rPr>
          <w:rFonts w:ascii="Arial" w:hAnsi="Arial" w:cs="Arial"/>
        </w:rPr>
        <w:t>)</w:t>
      </w:r>
      <w:r w:rsidRPr="00B72005">
        <w:rPr>
          <w:rFonts w:ascii="Arial" w:hAnsi="Arial" w:cs="Arial"/>
        </w:rPr>
        <w:t xml:space="preserve">  </w:t>
      </w:r>
      <w:r w:rsidRPr="00985B72">
        <w:rPr>
          <w:rFonts w:ascii="Arial" w:hAnsi="Arial" w:cs="Arial"/>
          <w:bCs/>
          <w:u w:val="single"/>
        </w:rPr>
        <w:t>Methods to minimize the burden to small businesses if involved</w:t>
      </w:r>
      <w:r w:rsidRPr="00B72005">
        <w:rPr>
          <w:rFonts w:ascii="Arial" w:hAnsi="Arial" w:cs="Arial"/>
          <w:bCs/>
        </w:rPr>
        <w:t>.</w:t>
      </w:r>
      <w:r w:rsidR="00985B72">
        <w:rPr>
          <w:rFonts w:ascii="Arial" w:hAnsi="Arial" w:cs="Arial"/>
          <w:bCs/>
        </w:rPr>
        <w:t xml:space="preserve">  </w:t>
      </w:r>
    </w:p>
    <w:p w:rsidR="00C602DC" w:rsidRPr="00B72005" w14:paraId="7685B2E7" w14:textId="77777777">
      <w:pPr>
        <w:widowControl w:val="0"/>
        <w:tabs>
          <w:tab w:val="left" w:pos="576"/>
          <w:tab w:val="left" w:pos="720"/>
        </w:tabs>
        <w:rPr>
          <w:rFonts w:ascii="Arial" w:hAnsi="Arial" w:cs="Arial"/>
        </w:rPr>
      </w:pPr>
    </w:p>
    <w:p w:rsidR="00C602DC" w:rsidRPr="00B72005" w14:paraId="022D3C10" w14:textId="77777777">
      <w:pPr>
        <w:pStyle w:val="BodyText"/>
        <w:tabs>
          <w:tab w:val="left" w:pos="720"/>
        </w:tabs>
        <w:rPr>
          <w:rFonts w:ascii="Arial" w:hAnsi="Arial" w:cs="Arial"/>
          <w:sz w:val="20"/>
        </w:rPr>
      </w:pPr>
      <w:r w:rsidRPr="00B72005">
        <w:rPr>
          <w:rFonts w:ascii="Arial" w:hAnsi="Arial" w:cs="Arial"/>
          <w:sz w:val="20"/>
        </w:rPr>
        <w:t>This information collection does not have an impact on small businesses or other small entities.</w:t>
      </w:r>
      <w:r w:rsidRPr="00B72005">
        <w:rPr>
          <w:rFonts w:ascii="Arial" w:hAnsi="Arial" w:cs="Arial"/>
          <w:sz w:val="20"/>
        </w:rPr>
        <w:t xml:space="preserve">  </w:t>
      </w:r>
    </w:p>
    <w:p w:rsidR="00C602DC" w:rsidRPr="00B72005" w14:paraId="1C65D3E8" w14:textId="77777777">
      <w:pPr>
        <w:widowControl w:val="0"/>
        <w:tabs>
          <w:tab w:val="left" w:pos="576"/>
          <w:tab w:val="left" w:pos="720"/>
        </w:tabs>
        <w:rPr>
          <w:rFonts w:ascii="Arial" w:hAnsi="Arial" w:cs="Arial"/>
        </w:rPr>
      </w:pPr>
    </w:p>
    <w:p w:rsidR="00C602DC" w:rsidRPr="00B72005" w14:paraId="097F3790" w14:textId="77777777">
      <w:pPr>
        <w:widowControl w:val="0"/>
        <w:tabs>
          <w:tab w:val="left" w:pos="576"/>
          <w:tab w:val="left" w:pos="720"/>
        </w:tabs>
        <w:rPr>
          <w:rFonts w:ascii="Arial" w:hAnsi="Arial" w:cs="Arial"/>
        </w:rPr>
      </w:pPr>
      <w:r w:rsidRPr="00B72005">
        <w:rPr>
          <w:rFonts w:ascii="Arial" w:hAnsi="Arial" w:cs="Arial"/>
        </w:rPr>
        <w:t>6</w:t>
      </w:r>
      <w:r w:rsidR="00985B72">
        <w:rPr>
          <w:rFonts w:ascii="Arial" w:hAnsi="Arial" w:cs="Arial"/>
        </w:rPr>
        <w:t>)</w:t>
      </w:r>
      <w:r w:rsidRPr="00B72005">
        <w:rPr>
          <w:rFonts w:ascii="Arial" w:hAnsi="Arial" w:cs="Arial"/>
        </w:rPr>
        <w:t xml:space="preserve">  </w:t>
      </w:r>
      <w:r w:rsidRPr="00985B72">
        <w:rPr>
          <w:rFonts w:ascii="Arial" w:hAnsi="Arial" w:cs="Arial"/>
          <w:bCs/>
          <w:u w:val="single"/>
        </w:rPr>
        <w:t>Consequences to the Federal program if collection were conducted less frequently</w:t>
      </w:r>
      <w:r w:rsidRPr="00B72005">
        <w:rPr>
          <w:rFonts w:ascii="Arial" w:hAnsi="Arial" w:cs="Arial"/>
          <w:bCs/>
        </w:rPr>
        <w:t>.</w:t>
      </w:r>
      <w:r w:rsidR="00985B72">
        <w:rPr>
          <w:rFonts w:ascii="Arial" w:hAnsi="Arial" w:cs="Arial"/>
          <w:bCs/>
        </w:rPr>
        <w:t xml:space="preserve">  </w:t>
      </w:r>
    </w:p>
    <w:p w:rsidR="00C602DC" w:rsidRPr="00B72005" w14:paraId="70835658" w14:textId="77777777">
      <w:pPr>
        <w:widowControl w:val="0"/>
        <w:tabs>
          <w:tab w:val="left" w:pos="576"/>
          <w:tab w:val="left" w:pos="720"/>
        </w:tabs>
        <w:rPr>
          <w:rFonts w:ascii="Arial" w:hAnsi="Arial" w:cs="Arial"/>
        </w:rPr>
      </w:pPr>
    </w:p>
    <w:p w:rsidR="00C602DC" w:rsidRPr="00B72005" w14:paraId="79944F4C" w14:textId="77777777">
      <w:pPr>
        <w:pStyle w:val="BodyText"/>
        <w:tabs>
          <w:tab w:val="left" w:pos="720"/>
        </w:tabs>
        <w:rPr>
          <w:rFonts w:ascii="Arial" w:hAnsi="Arial" w:cs="Arial"/>
          <w:sz w:val="20"/>
        </w:rPr>
      </w:pPr>
      <w:r w:rsidRPr="00B72005">
        <w:rPr>
          <w:rFonts w:ascii="Arial" w:hAnsi="Arial" w:cs="Arial"/>
          <w:sz w:val="20"/>
        </w:rPr>
        <w:t xml:space="preserve">If the collection was conducted less frequently, compliance with the voyage plan requirement may not be verifiable.  Although the Coast Guard believes that most prudent operators already employ many of these safety principles, the regulations ensure compliance by those vessels not conforming to the safety practices of </w:t>
      </w:r>
      <w:r w:rsidRPr="00B72005">
        <w:rPr>
          <w:rFonts w:ascii="Arial" w:hAnsi="Arial" w:cs="Arial"/>
          <w:sz w:val="20"/>
        </w:rPr>
        <w:t>the majority of</w:t>
      </w:r>
      <w:r w:rsidRPr="00B72005">
        <w:rPr>
          <w:rFonts w:ascii="Arial" w:hAnsi="Arial" w:cs="Arial"/>
          <w:sz w:val="20"/>
        </w:rPr>
        <w:t xml:space="preserve"> the industry.</w:t>
      </w:r>
      <w:r w:rsidR="00AF05E9">
        <w:rPr>
          <w:rFonts w:ascii="Arial" w:hAnsi="Arial" w:cs="Arial"/>
          <w:sz w:val="20"/>
        </w:rPr>
        <w:t xml:space="preserve">  </w:t>
      </w:r>
    </w:p>
    <w:p w:rsidR="00C602DC" w:rsidRPr="00B72005" w14:paraId="49B31503" w14:textId="77777777">
      <w:pPr>
        <w:widowControl w:val="0"/>
        <w:tabs>
          <w:tab w:val="left" w:pos="576"/>
          <w:tab w:val="left" w:pos="720"/>
        </w:tabs>
        <w:ind w:left="360" w:hanging="360"/>
        <w:rPr>
          <w:rFonts w:ascii="Arial" w:hAnsi="Arial" w:cs="Arial"/>
        </w:rPr>
      </w:pPr>
    </w:p>
    <w:p w:rsidR="00985B72" w:rsidRPr="00985B72" w:rsidP="00985B72" w14:paraId="7639FE69" w14:textId="77777777">
      <w:pPr>
        <w:widowControl w:val="0"/>
        <w:tabs>
          <w:tab w:val="left" w:pos="576"/>
          <w:tab w:val="left" w:pos="720"/>
        </w:tabs>
        <w:ind w:left="360" w:hanging="360"/>
        <w:rPr>
          <w:rFonts w:ascii="Arial" w:hAnsi="Arial" w:cs="Arial"/>
          <w:bCs/>
        </w:rPr>
      </w:pPr>
      <w:r w:rsidRPr="00985B72">
        <w:rPr>
          <w:rFonts w:ascii="Arial" w:hAnsi="Arial" w:cs="Arial"/>
          <w:bCs/>
        </w:rPr>
        <w:t xml:space="preserve">7)  </w:t>
      </w:r>
      <w:r w:rsidRPr="00985B72">
        <w:rPr>
          <w:rFonts w:ascii="Arial" w:hAnsi="Arial" w:cs="Arial"/>
          <w:bCs/>
          <w:u w:val="single"/>
        </w:rPr>
        <w:t>Special collection circumstances</w:t>
      </w:r>
      <w:r w:rsidRPr="00985B72">
        <w:rPr>
          <w:rFonts w:ascii="Arial" w:hAnsi="Arial" w:cs="Arial"/>
          <w:bCs/>
        </w:rPr>
        <w:t xml:space="preserve">.  </w:t>
      </w:r>
    </w:p>
    <w:p w:rsidR="00985B72" w:rsidRPr="00985B72" w:rsidP="00985B72" w14:paraId="29E1F8AF" w14:textId="77777777">
      <w:pPr>
        <w:widowControl w:val="0"/>
        <w:tabs>
          <w:tab w:val="left" w:pos="576"/>
          <w:tab w:val="left" w:pos="720"/>
        </w:tabs>
        <w:ind w:left="360" w:hanging="360"/>
        <w:rPr>
          <w:rFonts w:ascii="Arial" w:hAnsi="Arial" w:cs="Arial"/>
          <w:bCs/>
        </w:rPr>
      </w:pPr>
    </w:p>
    <w:p w:rsidR="00985B72" w:rsidRPr="00985B72" w:rsidP="00985B72" w14:paraId="5D0E12D6" w14:textId="77777777">
      <w:pPr>
        <w:widowControl w:val="0"/>
        <w:tabs>
          <w:tab w:val="left" w:pos="576"/>
          <w:tab w:val="left" w:pos="720"/>
        </w:tabs>
        <w:ind w:left="360" w:hanging="360"/>
        <w:rPr>
          <w:rFonts w:ascii="Arial" w:hAnsi="Arial" w:cs="Arial"/>
          <w:bCs/>
        </w:rPr>
      </w:pPr>
      <w:r w:rsidRPr="00985B72">
        <w:rPr>
          <w:rFonts w:ascii="Arial" w:hAnsi="Arial" w:cs="Arial"/>
          <w:bCs/>
        </w:rPr>
        <w:t>This information collection is conducted in manner consistent with the guidelines in 5 CFR 1320.5(d)(2).</w:t>
      </w:r>
      <w:r w:rsidR="00AF05E9">
        <w:rPr>
          <w:rFonts w:ascii="Arial" w:hAnsi="Arial" w:cs="Arial"/>
          <w:bCs/>
        </w:rPr>
        <w:t xml:space="preserve">  </w:t>
      </w:r>
    </w:p>
    <w:p w:rsidR="00985B72" w:rsidRPr="00985B72" w:rsidP="00985B72" w14:paraId="7FF57D98" w14:textId="77777777">
      <w:pPr>
        <w:widowControl w:val="0"/>
        <w:tabs>
          <w:tab w:val="left" w:pos="576"/>
          <w:tab w:val="left" w:pos="720"/>
        </w:tabs>
        <w:ind w:left="360" w:hanging="360"/>
        <w:rPr>
          <w:rFonts w:ascii="Arial" w:hAnsi="Arial" w:cs="Arial"/>
          <w:bCs/>
        </w:rPr>
      </w:pPr>
    </w:p>
    <w:p w:rsidR="00985B72" w:rsidRPr="00985B72" w:rsidP="00985B72" w14:paraId="07E038F7" w14:textId="77777777">
      <w:pPr>
        <w:widowControl w:val="0"/>
        <w:tabs>
          <w:tab w:val="left" w:pos="576"/>
          <w:tab w:val="left" w:pos="720"/>
        </w:tabs>
        <w:ind w:left="360" w:hanging="360"/>
        <w:rPr>
          <w:rFonts w:ascii="Arial" w:hAnsi="Arial" w:cs="Arial"/>
          <w:bCs/>
        </w:rPr>
      </w:pPr>
      <w:r w:rsidRPr="00985B72">
        <w:rPr>
          <w:rFonts w:ascii="Arial" w:hAnsi="Arial" w:cs="Arial"/>
          <w:bCs/>
        </w:rPr>
        <w:t xml:space="preserve">8)  </w:t>
      </w:r>
      <w:r w:rsidRPr="00985B72">
        <w:rPr>
          <w:rFonts w:ascii="Arial" w:hAnsi="Arial" w:cs="Arial"/>
          <w:bCs/>
          <w:u w:val="single"/>
        </w:rPr>
        <w:t>Consultation</w:t>
      </w:r>
      <w:r w:rsidRPr="00985B72">
        <w:rPr>
          <w:rFonts w:ascii="Arial" w:hAnsi="Arial" w:cs="Arial"/>
          <w:bCs/>
        </w:rPr>
        <w:t>.</w:t>
      </w:r>
      <w:r w:rsidR="006D7B0E">
        <w:rPr>
          <w:rFonts w:ascii="Arial" w:hAnsi="Arial" w:cs="Arial"/>
          <w:bCs/>
        </w:rPr>
        <w:t xml:space="preserve">  </w:t>
      </w:r>
    </w:p>
    <w:p w:rsidR="00985B72" w:rsidRPr="00985B72" w:rsidP="00985B72" w14:paraId="3FF6223D" w14:textId="77777777">
      <w:pPr>
        <w:widowControl w:val="0"/>
        <w:tabs>
          <w:tab w:val="left" w:pos="576"/>
          <w:tab w:val="left" w:pos="720"/>
        </w:tabs>
        <w:ind w:left="360" w:hanging="360"/>
        <w:rPr>
          <w:rFonts w:ascii="Arial" w:hAnsi="Arial" w:cs="Arial"/>
          <w:bCs/>
        </w:rPr>
      </w:pPr>
    </w:p>
    <w:p w:rsidR="002564AB" w:rsidRPr="001B5B55" w:rsidP="002564AB" w14:paraId="608C5513" w14:textId="01E314FC">
      <w:pPr>
        <w:widowControl w:val="0"/>
        <w:rPr>
          <w:rFonts w:ascii="Arial" w:hAnsi="Arial" w:cs="Arial"/>
        </w:rPr>
      </w:pPr>
      <w:r w:rsidRPr="000372AF">
        <w:rPr>
          <w:rFonts w:ascii="Arial" w:hAnsi="Arial" w:cs="Arial"/>
        </w:rPr>
        <w:t>A 60-day Notice was published in the Federal Register to obtain public comment on this collection (See [USCG-2024-0</w:t>
      </w:r>
      <w:r>
        <w:rPr>
          <w:rFonts w:ascii="Arial" w:hAnsi="Arial" w:cs="Arial"/>
        </w:rPr>
        <w:t>438</w:t>
      </w:r>
      <w:r w:rsidRPr="000372AF">
        <w:rPr>
          <w:rFonts w:ascii="Arial" w:hAnsi="Arial" w:cs="Arial"/>
        </w:rPr>
        <w:t xml:space="preserve">]; October </w:t>
      </w:r>
      <w:r>
        <w:rPr>
          <w:rFonts w:ascii="Arial" w:hAnsi="Arial" w:cs="Arial"/>
        </w:rPr>
        <w:t>3</w:t>
      </w:r>
      <w:r w:rsidRPr="000372AF">
        <w:rPr>
          <w:rFonts w:ascii="Arial" w:hAnsi="Arial" w:cs="Arial"/>
        </w:rPr>
        <w:t>1, 2024, 89 FR 8</w:t>
      </w:r>
      <w:r>
        <w:rPr>
          <w:rFonts w:ascii="Arial" w:hAnsi="Arial" w:cs="Arial"/>
        </w:rPr>
        <w:t>6833</w:t>
      </w:r>
      <w:r w:rsidRPr="000372AF">
        <w:rPr>
          <w:rFonts w:ascii="Arial" w:hAnsi="Arial" w:cs="Arial"/>
        </w:rPr>
        <w:t>) and 30-Day Notice (March 10, 2025, 90 FR 1161</w:t>
      </w:r>
      <w:r>
        <w:rPr>
          <w:rFonts w:ascii="Arial" w:hAnsi="Arial" w:cs="Arial"/>
        </w:rPr>
        <w:t>7</w:t>
      </w:r>
      <w:r w:rsidRPr="000372AF">
        <w:rPr>
          <w:rFonts w:ascii="Arial" w:hAnsi="Arial" w:cs="Arial"/>
        </w:rPr>
        <w:t>) were published in the Federal Register to obtain public comment on this collection.  The Coast Guard has not received any comments on this information collection</w:t>
      </w:r>
      <w:r w:rsidRPr="001B5B55">
        <w:rPr>
          <w:rFonts w:ascii="Arial" w:hAnsi="Arial" w:cs="Arial"/>
        </w:rPr>
        <w:t xml:space="preserve">.    </w:t>
      </w:r>
    </w:p>
    <w:p w:rsidR="00985B72" w:rsidRPr="00985B72" w:rsidP="00985B72" w14:paraId="02A8AEB8" w14:textId="77777777">
      <w:pPr>
        <w:widowControl w:val="0"/>
        <w:tabs>
          <w:tab w:val="left" w:pos="576"/>
          <w:tab w:val="left" w:pos="720"/>
        </w:tabs>
        <w:ind w:left="360" w:hanging="360"/>
        <w:rPr>
          <w:rFonts w:ascii="Arial" w:hAnsi="Arial" w:cs="Arial"/>
          <w:bCs/>
        </w:rPr>
      </w:pPr>
    </w:p>
    <w:p w:rsidR="00985B72" w:rsidP="00985B72" w14:paraId="1C438324" w14:textId="77777777">
      <w:pPr>
        <w:widowControl w:val="0"/>
        <w:tabs>
          <w:tab w:val="left" w:pos="576"/>
          <w:tab w:val="left" w:pos="720"/>
        </w:tabs>
        <w:ind w:left="360" w:hanging="360"/>
        <w:rPr>
          <w:rFonts w:ascii="Arial" w:hAnsi="Arial" w:cs="Arial"/>
          <w:bCs/>
        </w:rPr>
      </w:pPr>
      <w:r w:rsidRPr="00985B72">
        <w:rPr>
          <w:rFonts w:ascii="Arial" w:hAnsi="Arial" w:cs="Arial"/>
          <w:bCs/>
        </w:rPr>
        <w:t xml:space="preserve">9)  </w:t>
      </w:r>
      <w:r w:rsidRPr="00985B72">
        <w:rPr>
          <w:rFonts w:ascii="Arial" w:hAnsi="Arial" w:cs="Arial"/>
          <w:bCs/>
          <w:u w:val="single"/>
        </w:rPr>
        <w:t>Provide any payments or gifts to respondents</w:t>
      </w:r>
      <w:r w:rsidRPr="00985B72">
        <w:rPr>
          <w:rFonts w:ascii="Arial" w:hAnsi="Arial" w:cs="Arial"/>
          <w:bCs/>
        </w:rPr>
        <w:t xml:space="preserve">.  </w:t>
      </w:r>
    </w:p>
    <w:p w:rsidR="00985B72" w:rsidRPr="00985B72" w:rsidP="00985B72" w14:paraId="650ABBB1" w14:textId="77777777">
      <w:pPr>
        <w:widowControl w:val="0"/>
        <w:tabs>
          <w:tab w:val="left" w:pos="576"/>
          <w:tab w:val="left" w:pos="720"/>
        </w:tabs>
        <w:ind w:left="360" w:hanging="360"/>
        <w:rPr>
          <w:rFonts w:ascii="Arial" w:hAnsi="Arial" w:cs="Arial"/>
          <w:bCs/>
        </w:rPr>
      </w:pPr>
    </w:p>
    <w:p w:rsidR="00C602DC" w:rsidRPr="00B72005" w14:paraId="67CF6E4F" w14:textId="77777777">
      <w:pPr>
        <w:widowControl w:val="0"/>
        <w:tabs>
          <w:tab w:val="left" w:pos="576"/>
          <w:tab w:val="left" w:pos="720"/>
        </w:tabs>
        <w:rPr>
          <w:rFonts w:ascii="Arial" w:hAnsi="Arial" w:cs="Arial"/>
        </w:rPr>
      </w:pPr>
      <w:r w:rsidRPr="00B72005">
        <w:rPr>
          <w:rFonts w:ascii="Arial" w:hAnsi="Arial" w:cs="Arial"/>
        </w:rPr>
        <w:t xml:space="preserve">There </w:t>
      </w:r>
      <w:r w:rsidRPr="00B72005" w:rsidR="001B38AB">
        <w:rPr>
          <w:rFonts w:ascii="Arial" w:hAnsi="Arial" w:cs="Arial"/>
        </w:rPr>
        <w:t>is no offer of monetary or material value for this information collection</w:t>
      </w:r>
      <w:r w:rsidRPr="00B72005">
        <w:rPr>
          <w:rFonts w:ascii="Arial" w:hAnsi="Arial" w:cs="Arial"/>
        </w:rPr>
        <w:t>.</w:t>
      </w:r>
      <w:r w:rsidR="00AF05E9">
        <w:rPr>
          <w:rFonts w:ascii="Arial" w:hAnsi="Arial" w:cs="Arial"/>
        </w:rPr>
        <w:t xml:space="preserve">  </w:t>
      </w:r>
    </w:p>
    <w:p w:rsidR="00C602DC" w:rsidRPr="00B72005" w14:paraId="1BC7B3F4" w14:textId="77777777">
      <w:pPr>
        <w:widowControl w:val="0"/>
        <w:tabs>
          <w:tab w:val="left" w:pos="576"/>
          <w:tab w:val="left" w:pos="720"/>
        </w:tabs>
        <w:rPr>
          <w:rFonts w:ascii="Arial" w:hAnsi="Arial" w:cs="Arial"/>
        </w:rPr>
      </w:pPr>
    </w:p>
    <w:p w:rsidR="00C602DC" w:rsidRPr="00B72005" w14:paraId="574F56A7" w14:textId="77777777">
      <w:pPr>
        <w:widowControl w:val="0"/>
        <w:tabs>
          <w:tab w:val="left" w:pos="576"/>
        </w:tabs>
        <w:rPr>
          <w:rFonts w:ascii="Arial" w:hAnsi="Arial" w:cs="Arial"/>
        </w:rPr>
      </w:pPr>
      <w:r w:rsidRPr="00B72005">
        <w:rPr>
          <w:rFonts w:ascii="Arial" w:hAnsi="Arial" w:cs="Arial"/>
        </w:rPr>
        <w:t>10</w:t>
      </w:r>
      <w:r w:rsidR="00985B72">
        <w:rPr>
          <w:rFonts w:ascii="Arial" w:hAnsi="Arial" w:cs="Arial"/>
        </w:rPr>
        <w:t>)</w:t>
      </w:r>
      <w:r w:rsidRPr="00B72005">
        <w:rPr>
          <w:rFonts w:ascii="Arial" w:hAnsi="Arial" w:cs="Arial"/>
        </w:rPr>
        <w:t xml:space="preserve">  </w:t>
      </w:r>
      <w:r w:rsidRPr="00985B72">
        <w:rPr>
          <w:rFonts w:ascii="Arial" w:hAnsi="Arial" w:cs="Arial"/>
          <w:u w:val="single"/>
        </w:rPr>
        <w:t>Describe any assurance of confidentiality provided to respondents</w:t>
      </w:r>
      <w:r w:rsidRPr="00B72005">
        <w:rPr>
          <w:rFonts w:ascii="Arial" w:hAnsi="Arial" w:cs="Arial"/>
          <w:bCs/>
        </w:rPr>
        <w:t>.</w:t>
      </w:r>
      <w:r w:rsidR="00985B72">
        <w:rPr>
          <w:rFonts w:ascii="Arial" w:hAnsi="Arial" w:cs="Arial"/>
          <w:bCs/>
        </w:rPr>
        <w:t xml:space="preserve">  </w:t>
      </w:r>
    </w:p>
    <w:p w:rsidR="00C602DC" w:rsidRPr="00B72005" w14:paraId="19BC3BA8" w14:textId="77777777">
      <w:pPr>
        <w:widowControl w:val="0"/>
        <w:tabs>
          <w:tab w:val="left" w:pos="576"/>
          <w:tab w:val="left" w:pos="720"/>
        </w:tabs>
        <w:rPr>
          <w:rFonts w:ascii="Arial" w:hAnsi="Arial" w:cs="Arial"/>
        </w:rPr>
      </w:pPr>
    </w:p>
    <w:p w:rsidR="00AF05E9" w:rsidRPr="00DD58E8" w:rsidP="00AF05E9" w14:paraId="65496097" w14:textId="4CBB63DF">
      <w:pPr>
        <w:pStyle w:val="BodyText"/>
        <w:rPr>
          <w:rFonts w:ascii="Arial" w:hAnsi="Arial" w:cs="Arial"/>
          <w:sz w:val="20"/>
        </w:rPr>
      </w:pPr>
      <w:r w:rsidRPr="00DD58E8">
        <w:rPr>
          <w:rFonts w:ascii="Arial" w:hAnsi="Arial" w:cs="Arial"/>
          <w:sz w:val="20"/>
        </w:rPr>
        <w:t>There are no assurances of confidentiality provided to the respondents for this information collection</w:t>
      </w:r>
      <w:r w:rsidRPr="00DD58E8" w:rsidR="00C602DC">
        <w:rPr>
          <w:rFonts w:ascii="Arial" w:hAnsi="Arial" w:cs="Arial"/>
          <w:sz w:val="20"/>
        </w:rPr>
        <w:t>.</w:t>
      </w:r>
      <w:r w:rsidRPr="00DD58E8">
        <w:rPr>
          <w:rFonts w:ascii="Arial" w:hAnsi="Arial" w:cs="Arial"/>
          <w:sz w:val="20"/>
        </w:rPr>
        <w:t xml:space="preserve">  This information collection request is covered by the Marine Information for Safety and Law Enforcement (MISLE) Privacy Impact Assessment (PIA).  </w:t>
      </w:r>
      <w:r w:rsidR="000372AF">
        <w:rPr>
          <w:rFonts w:ascii="Arial" w:hAnsi="Arial" w:cs="Arial"/>
          <w:sz w:val="20"/>
        </w:rPr>
        <w:t>The link</w:t>
      </w:r>
      <w:r w:rsidRPr="00DD58E8">
        <w:rPr>
          <w:rFonts w:ascii="Arial" w:hAnsi="Arial" w:cs="Arial"/>
          <w:sz w:val="20"/>
        </w:rPr>
        <w:t xml:space="preserve"> to the MISLE PIA </w:t>
      </w:r>
      <w:r w:rsidR="000372AF">
        <w:rPr>
          <w:rFonts w:ascii="Arial" w:hAnsi="Arial" w:cs="Arial"/>
          <w:sz w:val="20"/>
        </w:rPr>
        <w:t xml:space="preserve">is </w:t>
      </w:r>
      <w:r w:rsidRPr="00DD58E8">
        <w:rPr>
          <w:rFonts w:ascii="Arial" w:hAnsi="Arial" w:cs="Arial"/>
          <w:sz w:val="20"/>
        </w:rPr>
        <w:t>provided below:</w:t>
      </w:r>
    </w:p>
    <w:p w:rsidR="00AF05E9" w:rsidRPr="00DD58E8" w:rsidP="004534B4" w14:paraId="4B0B6269" w14:textId="77777777">
      <w:pPr>
        <w:pStyle w:val="BodyText"/>
        <w:numPr>
          <w:ilvl w:val="0"/>
          <w:numId w:val="29"/>
        </w:numPr>
        <w:tabs>
          <w:tab w:val="clear" w:pos="576"/>
        </w:tabs>
        <w:rPr>
          <w:rFonts w:ascii="Arial" w:hAnsi="Arial" w:cs="Arial"/>
          <w:sz w:val="20"/>
        </w:rPr>
      </w:pPr>
      <w:hyperlink r:id="rId10" w:history="1">
        <w:r w:rsidRPr="00DD58E8">
          <w:rPr>
            <w:rStyle w:val="Hyperlink"/>
            <w:rFonts w:ascii="Arial" w:hAnsi="Arial" w:cs="Arial"/>
            <w:sz w:val="20"/>
          </w:rPr>
          <w:t>https://www.dhs.gov/sites/default/files/publications/privacy_pia_uscg_misle.pdf</w:t>
        </w:r>
      </w:hyperlink>
      <w:r w:rsidRPr="00DD58E8">
        <w:rPr>
          <w:rFonts w:ascii="Arial" w:hAnsi="Arial" w:cs="Arial"/>
          <w:sz w:val="20"/>
        </w:rPr>
        <w:t xml:space="preserve">  </w:t>
      </w:r>
    </w:p>
    <w:p w:rsidR="00AF05E9" w:rsidRPr="00DD58E8" w:rsidP="000372AF" w14:paraId="0ECB4305" w14:textId="069D2C8C">
      <w:pPr>
        <w:pStyle w:val="BodyText"/>
        <w:tabs>
          <w:tab w:val="left" w:pos="360"/>
          <w:tab w:val="clear" w:pos="576"/>
        </w:tabs>
        <w:ind w:left="720"/>
        <w:rPr>
          <w:rFonts w:ascii="Arial" w:hAnsi="Arial" w:cs="Arial"/>
          <w:sz w:val="20"/>
        </w:rPr>
      </w:pPr>
    </w:p>
    <w:p w:rsidR="00C602DC" w:rsidRPr="00B72005" w14:paraId="26D6C75F" w14:textId="77777777">
      <w:pPr>
        <w:widowControl w:val="0"/>
        <w:tabs>
          <w:tab w:val="left" w:pos="576"/>
          <w:tab w:val="left" w:pos="720"/>
        </w:tabs>
        <w:rPr>
          <w:rFonts w:ascii="Arial" w:hAnsi="Arial" w:cs="Arial"/>
        </w:rPr>
      </w:pPr>
    </w:p>
    <w:p w:rsidR="00C602DC" w:rsidRPr="00B72005" w14:paraId="18AB55F7" w14:textId="77777777">
      <w:pPr>
        <w:widowControl w:val="0"/>
        <w:tabs>
          <w:tab w:val="left" w:pos="576"/>
        </w:tabs>
        <w:ind w:left="720" w:hanging="720"/>
        <w:rPr>
          <w:rFonts w:ascii="Arial" w:hAnsi="Arial" w:cs="Arial"/>
        </w:rPr>
      </w:pPr>
      <w:r w:rsidRPr="00B72005">
        <w:rPr>
          <w:rFonts w:ascii="Arial" w:hAnsi="Arial" w:cs="Arial"/>
        </w:rPr>
        <w:t>11</w:t>
      </w:r>
      <w:r w:rsidR="00985B72">
        <w:rPr>
          <w:rFonts w:ascii="Arial" w:hAnsi="Arial" w:cs="Arial"/>
        </w:rPr>
        <w:t>)</w:t>
      </w:r>
      <w:r w:rsidRPr="00B72005">
        <w:rPr>
          <w:rFonts w:ascii="Arial" w:hAnsi="Arial" w:cs="Arial"/>
        </w:rPr>
        <w:t xml:space="preserve">  </w:t>
      </w:r>
      <w:r w:rsidRPr="00985B72">
        <w:rPr>
          <w:rFonts w:ascii="Arial" w:hAnsi="Arial" w:cs="Arial"/>
          <w:bCs/>
          <w:u w:val="single"/>
        </w:rPr>
        <w:t>Additional justification for any questions of a sensitive nature</w:t>
      </w:r>
      <w:r w:rsidRPr="00B72005">
        <w:rPr>
          <w:rFonts w:ascii="Arial" w:hAnsi="Arial" w:cs="Arial"/>
          <w:bCs/>
        </w:rPr>
        <w:t>.</w:t>
      </w:r>
      <w:r w:rsidR="00985B72">
        <w:rPr>
          <w:rFonts w:ascii="Arial" w:hAnsi="Arial" w:cs="Arial"/>
          <w:bCs/>
        </w:rPr>
        <w:t xml:space="preserve">  </w:t>
      </w:r>
    </w:p>
    <w:p w:rsidR="00C602DC" w:rsidRPr="00B72005" w14:paraId="000D9F07" w14:textId="77777777">
      <w:pPr>
        <w:widowControl w:val="0"/>
        <w:tabs>
          <w:tab w:val="left" w:pos="576"/>
          <w:tab w:val="left" w:pos="720"/>
        </w:tabs>
        <w:rPr>
          <w:rFonts w:ascii="Arial" w:hAnsi="Arial" w:cs="Arial"/>
        </w:rPr>
      </w:pPr>
    </w:p>
    <w:p w:rsidR="00C602DC" w:rsidRPr="00B72005" w14:paraId="259A8F29" w14:textId="77777777">
      <w:pPr>
        <w:widowControl w:val="0"/>
        <w:tabs>
          <w:tab w:val="left" w:pos="576"/>
          <w:tab w:val="left" w:pos="720"/>
        </w:tabs>
        <w:rPr>
          <w:rFonts w:ascii="Arial" w:hAnsi="Arial" w:cs="Arial"/>
        </w:rPr>
      </w:pPr>
      <w:r w:rsidRPr="00B72005">
        <w:rPr>
          <w:rFonts w:ascii="Arial" w:hAnsi="Arial" w:cs="Arial"/>
        </w:rPr>
        <w:t>There are no questions of sensitive language</w:t>
      </w:r>
      <w:r w:rsidRPr="00B72005">
        <w:rPr>
          <w:rFonts w:ascii="Arial" w:hAnsi="Arial" w:cs="Arial"/>
        </w:rPr>
        <w:t>.</w:t>
      </w:r>
      <w:r w:rsidR="00AF05E9">
        <w:rPr>
          <w:rFonts w:ascii="Arial" w:hAnsi="Arial" w:cs="Arial"/>
        </w:rPr>
        <w:t xml:space="preserve">  </w:t>
      </w:r>
    </w:p>
    <w:p w:rsidR="00C602DC" w:rsidRPr="00B72005" w14:paraId="3572D38A" w14:textId="77777777">
      <w:pPr>
        <w:widowControl w:val="0"/>
        <w:tabs>
          <w:tab w:val="left" w:pos="576"/>
          <w:tab w:val="left" w:pos="720"/>
        </w:tabs>
        <w:rPr>
          <w:rFonts w:ascii="Arial" w:hAnsi="Arial" w:cs="Arial"/>
        </w:rPr>
      </w:pPr>
    </w:p>
    <w:p w:rsidR="00C602DC" w:rsidRPr="00B72005" w14:paraId="112A2CBA" w14:textId="77777777">
      <w:pPr>
        <w:widowControl w:val="0"/>
        <w:tabs>
          <w:tab w:val="left" w:pos="540"/>
        </w:tabs>
        <w:ind w:left="450" w:hanging="450"/>
        <w:rPr>
          <w:rFonts w:ascii="Arial" w:hAnsi="Arial" w:cs="Arial"/>
          <w:bCs/>
        </w:rPr>
      </w:pPr>
      <w:r w:rsidRPr="00B72005">
        <w:rPr>
          <w:rFonts w:ascii="Arial" w:hAnsi="Arial" w:cs="Arial"/>
        </w:rPr>
        <w:t>12</w:t>
      </w:r>
      <w:r w:rsidR="00985B72">
        <w:rPr>
          <w:rFonts w:ascii="Arial" w:hAnsi="Arial" w:cs="Arial"/>
        </w:rPr>
        <w:t>)</w:t>
      </w:r>
      <w:r w:rsidRPr="00B72005">
        <w:rPr>
          <w:rFonts w:ascii="Arial" w:hAnsi="Arial" w:cs="Arial"/>
        </w:rPr>
        <w:t xml:space="preserve">  </w:t>
      </w:r>
      <w:r w:rsidRPr="00985B72">
        <w:rPr>
          <w:rFonts w:ascii="Arial" w:hAnsi="Arial" w:cs="Arial"/>
          <w:bCs/>
          <w:u w:val="single"/>
        </w:rPr>
        <w:t xml:space="preserve">Estimates of hour and cost burdens </w:t>
      </w:r>
      <w:r w:rsidRPr="00985B72" w:rsidR="00985B72">
        <w:rPr>
          <w:rFonts w:ascii="Arial" w:hAnsi="Arial" w:cs="Arial"/>
          <w:bCs/>
          <w:u w:val="single"/>
        </w:rPr>
        <w:t>to respondents</w:t>
      </w:r>
      <w:r w:rsidRPr="00B72005">
        <w:rPr>
          <w:rFonts w:ascii="Arial" w:hAnsi="Arial" w:cs="Arial"/>
          <w:bCs/>
        </w:rPr>
        <w:t>.</w:t>
      </w:r>
      <w:r w:rsidR="00985B72">
        <w:rPr>
          <w:rFonts w:ascii="Arial" w:hAnsi="Arial" w:cs="Arial"/>
          <w:bCs/>
        </w:rPr>
        <w:t xml:space="preserve">  </w:t>
      </w:r>
    </w:p>
    <w:p w:rsidR="00AD36FA" w:rsidRPr="00B72005" w14:paraId="1A029C03" w14:textId="77777777">
      <w:pPr>
        <w:widowControl w:val="0"/>
        <w:tabs>
          <w:tab w:val="left" w:pos="540"/>
        </w:tabs>
        <w:ind w:left="450" w:hanging="450"/>
        <w:rPr>
          <w:rFonts w:ascii="Arial" w:hAnsi="Arial" w:cs="Arial"/>
          <w:bCs/>
        </w:rPr>
      </w:pPr>
    </w:p>
    <w:p w:rsidR="00AD36FA" w:rsidRPr="003D0B86" w:rsidP="00AD36FA" w14:paraId="7127DAA8" w14:textId="6339542E">
      <w:pPr>
        <w:pStyle w:val="p10"/>
        <w:numPr>
          <w:ilvl w:val="0"/>
          <w:numId w:val="26"/>
        </w:numPr>
        <w:rPr>
          <w:rFonts w:ascii="Arial" w:hAnsi="Arial" w:cs="Arial"/>
          <w:sz w:val="20"/>
        </w:rPr>
      </w:pPr>
      <w:r w:rsidRPr="006A1B01">
        <w:rPr>
          <w:rFonts w:ascii="Arial" w:hAnsi="Arial" w:cs="Arial"/>
          <w:sz w:val="20"/>
        </w:rPr>
        <w:t xml:space="preserve">The estimated number of annual respondents is </w:t>
      </w:r>
      <w:r w:rsidR="00316C48">
        <w:rPr>
          <w:rFonts w:ascii="Arial" w:hAnsi="Arial" w:cs="Arial"/>
          <w:sz w:val="20"/>
        </w:rPr>
        <w:t>3,088</w:t>
      </w:r>
      <w:r w:rsidRPr="003D0B86">
        <w:rPr>
          <w:rFonts w:ascii="Arial" w:hAnsi="Arial" w:cs="Arial"/>
          <w:sz w:val="20"/>
        </w:rPr>
        <w:t xml:space="preserve">. </w:t>
      </w:r>
      <w:r w:rsidRPr="00DD58E8" w:rsidR="00AF05E9">
        <w:rPr>
          <w:rFonts w:ascii="Arial" w:hAnsi="Arial" w:cs="Arial"/>
          <w:sz w:val="20"/>
        </w:rPr>
        <w:t xml:space="preserve"> </w:t>
      </w:r>
    </w:p>
    <w:p w:rsidR="00AD36FA" w:rsidRPr="003D0B86" w:rsidP="00AD36FA" w14:paraId="20FC4862" w14:textId="4718A66E">
      <w:pPr>
        <w:pStyle w:val="p10"/>
        <w:numPr>
          <w:ilvl w:val="0"/>
          <w:numId w:val="26"/>
        </w:numPr>
        <w:rPr>
          <w:rFonts w:ascii="Arial" w:hAnsi="Arial" w:cs="Arial"/>
          <w:sz w:val="20"/>
        </w:rPr>
      </w:pPr>
      <w:r w:rsidRPr="003D0B86">
        <w:rPr>
          <w:rFonts w:ascii="Arial" w:hAnsi="Arial" w:cs="Arial"/>
          <w:sz w:val="20"/>
        </w:rPr>
        <w:t xml:space="preserve">The estimated number of annual responses is </w:t>
      </w:r>
      <w:r w:rsidR="00316C48">
        <w:rPr>
          <w:rFonts w:ascii="Arial" w:hAnsi="Arial" w:cs="Arial"/>
          <w:sz w:val="20"/>
        </w:rPr>
        <w:t>3,088</w:t>
      </w:r>
      <w:r w:rsidRPr="003D0B86">
        <w:rPr>
          <w:rFonts w:ascii="Arial" w:hAnsi="Arial" w:cs="Arial"/>
          <w:sz w:val="20"/>
        </w:rPr>
        <w:t>.</w:t>
      </w:r>
      <w:r w:rsidRPr="00DD58E8" w:rsidR="00AF05E9">
        <w:rPr>
          <w:rFonts w:ascii="Arial" w:hAnsi="Arial" w:cs="Arial"/>
          <w:sz w:val="20"/>
        </w:rPr>
        <w:t xml:space="preserve">  </w:t>
      </w:r>
    </w:p>
    <w:p w:rsidR="00AD36FA" w:rsidRPr="003D0B86" w:rsidP="00AD36FA" w14:paraId="09719A11" w14:textId="2C265A7E">
      <w:pPr>
        <w:pStyle w:val="p10"/>
        <w:numPr>
          <w:ilvl w:val="0"/>
          <w:numId w:val="26"/>
        </w:numPr>
        <w:rPr>
          <w:rFonts w:ascii="Arial" w:hAnsi="Arial" w:cs="Arial"/>
          <w:sz w:val="20"/>
        </w:rPr>
      </w:pPr>
      <w:r w:rsidRPr="003D0B86">
        <w:rPr>
          <w:rFonts w:ascii="Arial" w:hAnsi="Arial" w:cs="Arial"/>
          <w:sz w:val="20"/>
        </w:rPr>
        <w:t xml:space="preserve">The estimated hour burden is </w:t>
      </w:r>
      <w:r w:rsidR="00316C48">
        <w:rPr>
          <w:rFonts w:ascii="Arial" w:hAnsi="Arial" w:cs="Arial"/>
          <w:sz w:val="20"/>
        </w:rPr>
        <w:t>1,544</w:t>
      </w:r>
      <w:r w:rsidRPr="003D0B86" w:rsidR="00316C48">
        <w:rPr>
          <w:rFonts w:ascii="Arial" w:hAnsi="Arial" w:cs="Arial"/>
          <w:sz w:val="20"/>
        </w:rPr>
        <w:t xml:space="preserve"> </w:t>
      </w:r>
      <w:r w:rsidRPr="003D0B86">
        <w:rPr>
          <w:rFonts w:ascii="Arial" w:hAnsi="Arial" w:cs="Arial"/>
          <w:sz w:val="20"/>
        </w:rPr>
        <w:t>hours.</w:t>
      </w:r>
      <w:r w:rsidRPr="00DD58E8" w:rsidR="00AF05E9">
        <w:rPr>
          <w:rFonts w:ascii="Arial" w:hAnsi="Arial" w:cs="Arial"/>
          <w:sz w:val="20"/>
        </w:rPr>
        <w:t xml:space="preserve">  </w:t>
      </w:r>
    </w:p>
    <w:p w:rsidR="00AD36FA" w:rsidRPr="003D0B86" w:rsidP="00AD36FA" w14:paraId="66303612" w14:textId="566A6F43">
      <w:pPr>
        <w:pStyle w:val="p10"/>
        <w:numPr>
          <w:ilvl w:val="0"/>
          <w:numId w:val="26"/>
        </w:numPr>
        <w:rPr>
          <w:rFonts w:ascii="Arial" w:hAnsi="Arial" w:cs="Arial"/>
          <w:sz w:val="20"/>
        </w:rPr>
      </w:pPr>
      <w:r w:rsidRPr="003D0B86">
        <w:rPr>
          <w:rFonts w:ascii="Arial" w:hAnsi="Arial" w:cs="Arial"/>
          <w:sz w:val="20"/>
        </w:rPr>
        <w:t>The estimated cost burden is $</w:t>
      </w:r>
      <w:r w:rsidR="00316C48">
        <w:rPr>
          <w:rFonts w:ascii="Arial" w:hAnsi="Arial" w:cs="Arial"/>
          <w:sz w:val="20"/>
        </w:rPr>
        <w:t>109,624</w:t>
      </w:r>
      <w:r w:rsidRPr="003D0B86">
        <w:rPr>
          <w:rFonts w:ascii="Arial" w:hAnsi="Arial" w:cs="Arial"/>
          <w:sz w:val="20"/>
        </w:rPr>
        <w:t>.</w:t>
      </w:r>
      <w:r w:rsidRPr="00DD58E8" w:rsidR="00AF05E9">
        <w:rPr>
          <w:rFonts w:ascii="Arial" w:hAnsi="Arial" w:cs="Arial"/>
          <w:sz w:val="20"/>
        </w:rPr>
        <w:t xml:space="preserve">  </w:t>
      </w:r>
    </w:p>
    <w:p w:rsidR="00C602DC" w14:paraId="62973DB5" w14:textId="77777777">
      <w:pPr>
        <w:widowControl w:val="0"/>
        <w:tabs>
          <w:tab w:val="left" w:pos="576"/>
          <w:tab w:val="left" w:pos="720"/>
        </w:tabs>
        <w:rPr>
          <w:rFonts w:ascii="Arial" w:hAnsi="Arial" w:cs="Arial"/>
        </w:rPr>
      </w:pPr>
    </w:p>
    <w:p w:rsidR="00985B72" w:rsidP="00985B72" w14:paraId="5F273B8B" w14:textId="4C3B2EDD">
      <w:pPr>
        <w:rPr>
          <w:rFonts w:ascii="Arial" w:hAnsi="Arial" w:cs="Arial"/>
        </w:rPr>
      </w:pPr>
      <w:r w:rsidRPr="00632DCE">
        <w:rPr>
          <w:rFonts w:ascii="Arial" w:hAnsi="Arial" w:cs="Arial"/>
        </w:rPr>
        <w:t xml:space="preserve">The burden to respondents is in Appendix A.  </w:t>
      </w:r>
      <w:r w:rsidRPr="00843763">
        <w:rPr>
          <w:rFonts w:ascii="Arial" w:hAnsi="Arial" w:cs="Arial"/>
        </w:rPr>
        <w:t xml:space="preserve">We estimate that it will take </w:t>
      </w:r>
      <w:r w:rsidR="006D7B0E">
        <w:rPr>
          <w:rFonts w:ascii="Arial" w:hAnsi="Arial" w:cs="Arial"/>
        </w:rPr>
        <w:t xml:space="preserve">the </w:t>
      </w:r>
      <w:r w:rsidR="00D97F68">
        <w:rPr>
          <w:rFonts w:ascii="Arial" w:hAnsi="Arial" w:cs="Arial"/>
        </w:rPr>
        <w:t>M</w:t>
      </w:r>
      <w:r w:rsidR="006D7B0E">
        <w:rPr>
          <w:rFonts w:ascii="Arial" w:hAnsi="Arial" w:cs="Arial"/>
        </w:rPr>
        <w:t xml:space="preserve">aster of the towing vessel </w:t>
      </w:r>
      <w:r w:rsidRPr="00843763">
        <w:rPr>
          <w:rFonts w:ascii="Arial" w:hAnsi="Arial" w:cs="Arial"/>
        </w:rPr>
        <w:t xml:space="preserve">about </w:t>
      </w:r>
      <w:r w:rsidR="006D7B0E">
        <w:rPr>
          <w:rFonts w:ascii="Arial" w:hAnsi="Arial" w:cs="Arial"/>
        </w:rPr>
        <w:t>0.5</w:t>
      </w:r>
      <w:r w:rsidRPr="00843763">
        <w:rPr>
          <w:rFonts w:ascii="Arial" w:hAnsi="Arial" w:cs="Arial"/>
        </w:rPr>
        <w:t xml:space="preserve"> hour to prepare a</w:t>
      </w:r>
      <w:r w:rsidR="006D7B0E">
        <w:rPr>
          <w:rFonts w:ascii="Arial" w:hAnsi="Arial" w:cs="Arial"/>
        </w:rPr>
        <w:t xml:space="preserve"> voyage plan</w:t>
      </w:r>
      <w:r w:rsidRPr="00843763">
        <w:rPr>
          <w:rFonts w:ascii="Arial" w:hAnsi="Arial" w:cs="Arial"/>
        </w:rPr>
        <w:t xml:space="preserve">.  </w:t>
      </w:r>
      <w:r w:rsidRPr="00531BD7" w:rsidR="007344D6">
        <w:rPr>
          <w:rFonts w:ascii="Arial" w:hAnsi="Arial" w:cs="Arial"/>
        </w:rPr>
        <w:t xml:space="preserve">For the wage rate, we used the Bureau of Labor Statistics </w:t>
      </w:r>
      <w:r w:rsidRPr="00531BD7" w:rsidR="007344D6">
        <w:rPr>
          <w:rFonts w:ascii="Arial" w:hAnsi="Arial" w:cs="Arial"/>
        </w:rPr>
        <w:t xml:space="preserve">(BLS) wage rate for </w:t>
      </w:r>
      <w:r w:rsidR="007344D6">
        <w:rPr>
          <w:rFonts w:ascii="Arial" w:hAnsi="Arial" w:cs="Arial"/>
        </w:rPr>
        <w:t>Captains, Mates, and Pilots of Water Vessels</w:t>
      </w:r>
      <w:r w:rsidRPr="00531BD7" w:rsidR="007344D6">
        <w:rPr>
          <w:rFonts w:ascii="Arial" w:hAnsi="Arial" w:cs="Arial"/>
        </w:rPr>
        <w:t xml:space="preserve"> (</w:t>
      </w:r>
      <w:r w:rsidR="007344D6">
        <w:rPr>
          <w:rFonts w:ascii="Arial" w:hAnsi="Arial" w:cs="Arial"/>
        </w:rPr>
        <w:t>53-5021</w:t>
      </w:r>
      <w:r w:rsidRPr="00531BD7" w:rsidR="007344D6">
        <w:rPr>
          <w:rFonts w:ascii="Arial" w:hAnsi="Arial" w:cs="Arial"/>
        </w:rPr>
        <w:t xml:space="preserve">) [May </w:t>
      </w:r>
      <w:r w:rsidRPr="00531BD7" w:rsidR="00316C48">
        <w:rPr>
          <w:rFonts w:ascii="Arial" w:hAnsi="Arial" w:cs="Arial"/>
        </w:rPr>
        <w:t>20</w:t>
      </w:r>
      <w:r w:rsidR="00316C48">
        <w:rPr>
          <w:rFonts w:ascii="Arial" w:hAnsi="Arial" w:cs="Arial"/>
        </w:rPr>
        <w:t>23</w:t>
      </w:r>
      <w:r w:rsidRPr="00531BD7" w:rsidR="007344D6">
        <w:rPr>
          <w:rFonts w:ascii="Arial" w:hAnsi="Arial" w:cs="Arial"/>
        </w:rPr>
        <w:t>, mean hourly wage, loaded 50%, and rounded].</w:t>
      </w:r>
      <w:r>
        <w:rPr>
          <w:rStyle w:val="FootnoteReference"/>
          <w:rFonts w:ascii="Arial" w:hAnsi="Arial" w:cs="Arial"/>
        </w:rPr>
        <w:footnoteReference w:id="2"/>
      </w:r>
      <w:r w:rsidRPr="00531BD7" w:rsidR="007344D6">
        <w:rPr>
          <w:rFonts w:ascii="Arial" w:hAnsi="Arial" w:cs="Arial"/>
        </w:rPr>
        <w:t xml:space="preserve"> </w:t>
      </w:r>
      <w:r w:rsidRPr="00843763">
        <w:rPr>
          <w:rFonts w:ascii="Arial" w:hAnsi="Arial" w:cs="Arial"/>
        </w:rPr>
        <w:t xml:space="preserve"> </w:t>
      </w:r>
    </w:p>
    <w:p w:rsidR="006D7B0E" w:rsidP="00985B72" w14:paraId="3283FC3E" w14:textId="77777777">
      <w:pPr>
        <w:rPr>
          <w:rFonts w:ascii="Arial" w:hAnsi="Arial" w:cs="Arial"/>
        </w:rPr>
      </w:pPr>
    </w:p>
    <w:p w:rsidR="006D7B0E" w:rsidP="00985B72" w14:paraId="0C709A69" w14:textId="77777777">
      <w:pPr>
        <w:rPr>
          <w:rFonts w:ascii="Arial" w:hAnsi="Arial" w:cs="Arial"/>
        </w:rPr>
      </w:pPr>
      <w:r>
        <w:rPr>
          <w:rFonts w:ascii="Arial" w:hAnsi="Arial" w:cs="Arial"/>
        </w:rPr>
        <w:t>We estimate the number of voyage plans (i.e., voyages) based on U.S. Army Corp of Engineers data.</w:t>
      </w:r>
      <w:r>
        <w:rPr>
          <w:rStyle w:val="FootnoteReference"/>
          <w:rFonts w:ascii="Arial" w:hAnsi="Arial" w:cs="Arial"/>
        </w:rPr>
        <w:footnoteReference w:id="3"/>
      </w:r>
      <w:r>
        <w:rPr>
          <w:rFonts w:ascii="Arial" w:hAnsi="Arial" w:cs="Arial"/>
        </w:rPr>
        <w:t xml:space="preserve">  </w:t>
      </w:r>
      <w:r w:rsidR="000F3B5E">
        <w:rPr>
          <w:rFonts w:ascii="Arial" w:hAnsi="Arial" w:cs="Arial"/>
        </w:rPr>
        <w:t>We assume that a certain percentage of voyage</w:t>
      </w:r>
      <w:r w:rsidR="00CB15A0">
        <w:rPr>
          <w:rFonts w:ascii="Arial" w:hAnsi="Arial" w:cs="Arial"/>
        </w:rPr>
        <w:t xml:space="preserve">s are </w:t>
      </w:r>
      <w:r w:rsidR="00CB15A0">
        <w:rPr>
          <w:rFonts w:ascii="Arial" w:hAnsi="Arial" w:cs="Arial"/>
        </w:rPr>
        <w:t>petroleum-laden</w:t>
      </w:r>
      <w:r w:rsidR="00CB15A0">
        <w:rPr>
          <w:rFonts w:ascii="Arial" w:hAnsi="Arial" w:cs="Arial"/>
        </w:rPr>
        <w:t xml:space="preserve">.  Additionally, we assume that a certain percentage of voyage </w:t>
      </w:r>
      <w:r w:rsidR="000F3B5E">
        <w:rPr>
          <w:rFonts w:ascii="Arial" w:hAnsi="Arial" w:cs="Arial"/>
        </w:rPr>
        <w:t xml:space="preserve">plans would be developed without this regulation (I.e., voluntarily compliance).  To estimate the number of voyage plans for this collection, we multiply the estimated annual number of voyages times the </w:t>
      </w:r>
      <w:r w:rsidR="00CB15A0">
        <w:rPr>
          <w:rFonts w:ascii="Arial" w:hAnsi="Arial" w:cs="Arial"/>
        </w:rPr>
        <w:t xml:space="preserve">percentage of voyages that are petroleum-laden times the </w:t>
      </w:r>
      <w:r w:rsidR="000F3B5E">
        <w:rPr>
          <w:rFonts w:ascii="Arial" w:hAnsi="Arial" w:cs="Arial"/>
        </w:rPr>
        <w:t xml:space="preserve">required compliance percentage to obtain the number of required voyage plans.  </w:t>
      </w:r>
    </w:p>
    <w:p w:rsidR="00985B72" w:rsidRPr="00B72005" w14:paraId="7C4F7CED" w14:textId="77777777">
      <w:pPr>
        <w:widowControl w:val="0"/>
        <w:tabs>
          <w:tab w:val="left" w:pos="576"/>
          <w:tab w:val="left" w:pos="720"/>
        </w:tabs>
        <w:rPr>
          <w:rFonts w:ascii="Arial" w:hAnsi="Arial" w:cs="Arial"/>
        </w:rPr>
      </w:pPr>
    </w:p>
    <w:p w:rsidR="00C602DC" w:rsidRPr="00B72005" w14:paraId="10788A02" w14:textId="77777777">
      <w:pPr>
        <w:widowControl w:val="0"/>
        <w:tabs>
          <w:tab w:val="left" w:pos="576"/>
          <w:tab w:val="left" w:pos="720"/>
        </w:tabs>
        <w:rPr>
          <w:rFonts w:ascii="Arial" w:hAnsi="Arial" w:cs="Arial"/>
        </w:rPr>
      </w:pPr>
      <w:r w:rsidRPr="00B72005">
        <w:rPr>
          <w:rFonts w:ascii="Arial" w:hAnsi="Arial" w:cs="Arial"/>
        </w:rPr>
        <w:t>13</w:t>
      </w:r>
      <w:r w:rsidR="00985B72">
        <w:rPr>
          <w:rFonts w:ascii="Arial" w:hAnsi="Arial" w:cs="Arial"/>
        </w:rPr>
        <w:t>)</w:t>
      </w:r>
      <w:r w:rsidRPr="00B72005">
        <w:rPr>
          <w:rFonts w:ascii="Arial" w:hAnsi="Arial" w:cs="Arial"/>
        </w:rPr>
        <w:t xml:space="preserve">  </w:t>
      </w:r>
      <w:r w:rsidRPr="00985B72">
        <w:rPr>
          <w:rFonts w:ascii="Arial" w:hAnsi="Arial" w:cs="Arial"/>
          <w:bCs/>
          <w:u w:val="single"/>
        </w:rPr>
        <w:t>Estimates of annualized capital and start-up costs</w:t>
      </w:r>
      <w:r w:rsidRPr="00B72005">
        <w:rPr>
          <w:rFonts w:ascii="Arial" w:hAnsi="Arial" w:cs="Arial"/>
        </w:rPr>
        <w:t>.</w:t>
      </w:r>
      <w:r w:rsidR="00985B72">
        <w:rPr>
          <w:rFonts w:ascii="Arial" w:hAnsi="Arial" w:cs="Arial"/>
        </w:rPr>
        <w:t xml:space="preserve">  </w:t>
      </w:r>
    </w:p>
    <w:p w:rsidR="00C602DC" w:rsidRPr="00B72005" w14:paraId="7B533694" w14:textId="77777777">
      <w:pPr>
        <w:widowControl w:val="0"/>
        <w:tabs>
          <w:tab w:val="left" w:pos="576"/>
          <w:tab w:val="left" w:pos="720"/>
        </w:tabs>
        <w:rPr>
          <w:rFonts w:ascii="Arial" w:hAnsi="Arial" w:cs="Arial"/>
        </w:rPr>
      </w:pPr>
    </w:p>
    <w:p w:rsidR="00C602DC" w:rsidRPr="00B72005" w14:paraId="4261D363" w14:textId="77777777">
      <w:pPr>
        <w:pStyle w:val="BodyText"/>
        <w:tabs>
          <w:tab w:val="left" w:pos="720"/>
        </w:tabs>
        <w:rPr>
          <w:rFonts w:ascii="Arial" w:hAnsi="Arial" w:cs="Arial"/>
          <w:sz w:val="20"/>
        </w:rPr>
      </w:pPr>
      <w:r w:rsidRPr="00B72005">
        <w:rPr>
          <w:rFonts w:ascii="Arial" w:hAnsi="Arial" w:cs="Arial"/>
          <w:sz w:val="20"/>
        </w:rPr>
        <w:t>There are no capital, start-up or maintenance costs associated with this information collection</w:t>
      </w:r>
      <w:r w:rsidRPr="00B72005" w:rsidR="00AB1AC1">
        <w:rPr>
          <w:rFonts w:ascii="Arial" w:hAnsi="Arial" w:cs="Arial"/>
          <w:sz w:val="20"/>
        </w:rPr>
        <w:t>.</w:t>
      </w:r>
      <w:r w:rsidR="00985B72">
        <w:rPr>
          <w:rFonts w:ascii="Arial" w:hAnsi="Arial" w:cs="Arial"/>
          <w:sz w:val="20"/>
        </w:rPr>
        <w:t xml:space="preserve">  </w:t>
      </w:r>
    </w:p>
    <w:p w:rsidR="00C602DC" w:rsidRPr="00B72005" w14:paraId="3DF74E1D" w14:textId="77777777">
      <w:pPr>
        <w:widowControl w:val="0"/>
        <w:tabs>
          <w:tab w:val="left" w:pos="576"/>
          <w:tab w:val="left" w:pos="720"/>
        </w:tabs>
        <w:rPr>
          <w:rFonts w:ascii="Arial" w:hAnsi="Arial" w:cs="Arial"/>
        </w:rPr>
      </w:pPr>
    </w:p>
    <w:p w:rsidR="00C602DC" w:rsidRPr="00B72005" w14:paraId="537C7D82" w14:textId="77777777">
      <w:pPr>
        <w:pStyle w:val="BodyText"/>
        <w:tabs>
          <w:tab w:val="left" w:pos="720"/>
        </w:tabs>
        <w:rPr>
          <w:rFonts w:ascii="Arial" w:hAnsi="Arial" w:cs="Arial"/>
          <w:sz w:val="20"/>
        </w:rPr>
      </w:pPr>
      <w:r w:rsidRPr="00B72005">
        <w:rPr>
          <w:rFonts w:ascii="Arial" w:hAnsi="Arial" w:cs="Arial"/>
          <w:sz w:val="20"/>
        </w:rPr>
        <w:t>14</w:t>
      </w:r>
      <w:r w:rsidR="00985B72">
        <w:rPr>
          <w:rFonts w:ascii="Arial" w:hAnsi="Arial" w:cs="Arial"/>
          <w:sz w:val="20"/>
        </w:rPr>
        <w:t>)</w:t>
      </w:r>
      <w:r w:rsidRPr="00B72005">
        <w:rPr>
          <w:rFonts w:ascii="Arial" w:hAnsi="Arial" w:cs="Arial"/>
          <w:sz w:val="20"/>
        </w:rPr>
        <w:t xml:space="preserve">  </w:t>
      </w:r>
      <w:r w:rsidRPr="00985B72">
        <w:rPr>
          <w:rFonts w:ascii="Arial" w:hAnsi="Arial" w:cs="Arial"/>
          <w:bCs/>
          <w:sz w:val="20"/>
          <w:u w:val="single"/>
        </w:rPr>
        <w:t>Estimates of annualized Federal Government costs</w:t>
      </w:r>
      <w:r w:rsidRPr="00B72005">
        <w:rPr>
          <w:rFonts w:ascii="Arial" w:hAnsi="Arial" w:cs="Arial"/>
          <w:sz w:val="20"/>
        </w:rPr>
        <w:t>.</w:t>
      </w:r>
      <w:r w:rsidR="00985B72">
        <w:rPr>
          <w:rFonts w:ascii="Arial" w:hAnsi="Arial" w:cs="Arial"/>
          <w:sz w:val="20"/>
        </w:rPr>
        <w:t xml:space="preserve">  </w:t>
      </w:r>
    </w:p>
    <w:p w:rsidR="00C602DC" w:rsidRPr="00B72005" w14:paraId="69E7CF4C" w14:textId="77777777">
      <w:pPr>
        <w:pStyle w:val="BodyText"/>
        <w:tabs>
          <w:tab w:val="left" w:pos="720"/>
        </w:tabs>
        <w:rPr>
          <w:rFonts w:ascii="Arial" w:hAnsi="Arial" w:cs="Arial"/>
          <w:sz w:val="20"/>
        </w:rPr>
      </w:pPr>
    </w:p>
    <w:p w:rsidR="00985B72" w:rsidRPr="00843763" w:rsidP="00985B72" w14:paraId="7D088619" w14:textId="48DF141A">
      <w:pPr>
        <w:pStyle w:val="Footer"/>
        <w:widowControl w:val="0"/>
        <w:tabs>
          <w:tab w:val="left" w:pos="576"/>
          <w:tab w:val="left" w:pos="1440"/>
          <w:tab w:val="clear" w:pos="4320"/>
          <w:tab w:val="clear" w:pos="8640"/>
        </w:tabs>
        <w:rPr>
          <w:rFonts w:ascii="Arial" w:hAnsi="Arial" w:cs="Arial"/>
        </w:rPr>
      </w:pPr>
      <w:r w:rsidRPr="00843763">
        <w:rPr>
          <w:rFonts w:ascii="Arial" w:hAnsi="Arial" w:cs="Arial"/>
        </w:rPr>
        <w:t>The estimated annual Federal Government cost is $</w:t>
      </w:r>
      <w:r w:rsidRPr="00AF5082" w:rsidR="006A1B01">
        <w:rPr>
          <w:rFonts w:ascii="Arial" w:hAnsi="Arial" w:cs="Arial"/>
        </w:rPr>
        <w:t>8</w:t>
      </w:r>
      <w:r w:rsidR="00316C48">
        <w:rPr>
          <w:rFonts w:ascii="Arial" w:hAnsi="Arial" w:cs="Arial"/>
        </w:rPr>
        <w:t>9</w:t>
      </w:r>
      <w:r w:rsidRPr="00AF5082" w:rsidR="006A1B01">
        <w:rPr>
          <w:rFonts w:ascii="Arial" w:hAnsi="Arial" w:cs="Arial"/>
        </w:rPr>
        <w:t>0</w:t>
      </w:r>
      <w:r w:rsidRPr="00843763">
        <w:rPr>
          <w:rFonts w:ascii="Arial" w:hAnsi="Arial" w:cs="Arial"/>
        </w:rPr>
        <w:t xml:space="preserve"> (see Appendix B). </w:t>
      </w:r>
      <w:r w:rsidR="006D7B0E">
        <w:rPr>
          <w:rFonts w:ascii="Arial" w:hAnsi="Arial" w:cs="Arial"/>
        </w:rPr>
        <w:t xml:space="preserve"> The cost is based on </w:t>
      </w:r>
      <w:r w:rsidRPr="005F453F" w:rsidR="006D7B0E">
        <w:rPr>
          <w:rFonts w:ascii="Arial" w:hAnsi="Arial" w:cs="Arial"/>
        </w:rPr>
        <w:t>Coast Guard personnel review</w:t>
      </w:r>
      <w:r w:rsidR="006D7B0E">
        <w:rPr>
          <w:rFonts w:ascii="Arial" w:hAnsi="Arial" w:cs="Arial"/>
        </w:rPr>
        <w:t>s of</w:t>
      </w:r>
      <w:r w:rsidRPr="005F453F" w:rsidR="006D7B0E">
        <w:rPr>
          <w:rFonts w:ascii="Arial" w:hAnsi="Arial" w:cs="Arial"/>
        </w:rPr>
        <w:t xml:space="preserve"> </w:t>
      </w:r>
      <w:r w:rsidR="006D7B0E">
        <w:rPr>
          <w:rFonts w:ascii="Arial" w:hAnsi="Arial" w:cs="Arial"/>
        </w:rPr>
        <w:t>the voyage plans</w:t>
      </w:r>
      <w:r w:rsidRPr="005F453F" w:rsidR="006D7B0E">
        <w:rPr>
          <w:rFonts w:ascii="Arial" w:hAnsi="Arial" w:cs="Arial"/>
        </w:rPr>
        <w:t xml:space="preserve"> during periodic inspections, random boardings, and</w:t>
      </w:r>
      <w:r w:rsidR="006D7B0E">
        <w:rPr>
          <w:rFonts w:ascii="Arial" w:hAnsi="Arial" w:cs="Arial"/>
        </w:rPr>
        <w:t xml:space="preserve"> post-casualty investigations. </w:t>
      </w:r>
      <w:r w:rsidRPr="00843763">
        <w:rPr>
          <w:rFonts w:ascii="Arial" w:hAnsi="Arial" w:cs="Arial"/>
        </w:rPr>
        <w:t xml:space="preserve"> </w:t>
      </w:r>
      <w:r>
        <w:rPr>
          <w:rFonts w:ascii="Arial" w:hAnsi="Arial" w:cs="Arial"/>
        </w:rPr>
        <w:t xml:space="preserve">We estimate </w:t>
      </w:r>
      <w:r w:rsidR="006D7B0E">
        <w:rPr>
          <w:rFonts w:ascii="Arial" w:hAnsi="Arial" w:cs="Arial"/>
        </w:rPr>
        <w:t xml:space="preserve">100 reviews per year, conducted by a Lieutenant (LT, O-3) at 6 minutes (0.1 hours) per review.  </w:t>
      </w:r>
      <w:r w:rsidR="007344D6">
        <w:rPr>
          <w:rFonts w:ascii="Arial" w:hAnsi="Arial" w:cs="Arial"/>
        </w:rPr>
        <w:t>For t</w:t>
      </w:r>
      <w:r w:rsidRPr="00843763">
        <w:rPr>
          <w:rFonts w:ascii="Arial" w:hAnsi="Arial" w:cs="Arial"/>
        </w:rPr>
        <w:t xml:space="preserve">he </w:t>
      </w:r>
      <w:r>
        <w:rPr>
          <w:rFonts w:ascii="Arial" w:hAnsi="Arial" w:cs="Arial"/>
        </w:rPr>
        <w:t xml:space="preserve">wage </w:t>
      </w:r>
      <w:r w:rsidRPr="00843763">
        <w:rPr>
          <w:rFonts w:ascii="Arial" w:hAnsi="Arial" w:cs="Arial"/>
        </w:rPr>
        <w:t>rate</w:t>
      </w:r>
      <w:r w:rsidR="007344D6">
        <w:rPr>
          <w:rFonts w:ascii="Arial" w:hAnsi="Arial" w:cs="Arial"/>
        </w:rPr>
        <w:t>, we</w:t>
      </w:r>
      <w:r w:rsidRPr="00843763">
        <w:rPr>
          <w:rFonts w:ascii="Arial" w:hAnsi="Arial" w:cs="Arial"/>
        </w:rPr>
        <w:t xml:space="preserve"> </w:t>
      </w:r>
      <w:r>
        <w:rPr>
          <w:rFonts w:ascii="Arial" w:hAnsi="Arial" w:cs="Arial"/>
        </w:rPr>
        <w:t xml:space="preserve">used </w:t>
      </w:r>
      <w:r w:rsidRPr="00843763">
        <w:rPr>
          <w:rFonts w:ascii="Arial" w:hAnsi="Arial" w:cs="Arial"/>
        </w:rPr>
        <w:t>the current edition of COMDTINST 7310.1(series) for “In-Government” personnel.</w:t>
      </w:r>
      <w:r w:rsidR="00AF05E9">
        <w:rPr>
          <w:rFonts w:ascii="Arial" w:hAnsi="Arial" w:cs="Arial"/>
        </w:rPr>
        <w:t xml:space="preserve">  </w:t>
      </w:r>
    </w:p>
    <w:p w:rsidR="00985B72" w14:paraId="4B0D7813" w14:textId="77777777">
      <w:pPr>
        <w:pStyle w:val="BodyText"/>
        <w:tabs>
          <w:tab w:val="left" w:pos="720"/>
        </w:tabs>
        <w:rPr>
          <w:rFonts w:ascii="Arial" w:hAnsi="Arial" w:cs="Arial"/>
          <w:sz w:val="20"/>
        </w:rPr>
      </w:pPr>
    </w:p>
    <w:p w:rsidR="00C602DC" w:rsidRPr="00B72005" w14:paraId="5EC448A4" w14:textId="77777777">
      <w:pPr>
        <w:widowControl w:val="0"/>
        <w:tabs>
          <w:tab w:val="left" w:pos="576"/>
          <w:tab w:val="left" w:pos="720"/>
        </w:tabs>
        <w:rPr>
          <w:rFonts w:ascii="Arial" w:hAnsi="Arial" w:cs="Arial"/>
        </w:rPr>
      </w:pPr>
      <w:r w:rsidRPr="00B72005">
        <w:rPr>
          <w:rFonts w:ascii="Arial" w:hAnsi="Arial" w:cs="Arial"/>
        </w:rPr>
        <w:t>15</w:t>
      </w:r>
      <w:r w:rsidR="00985B72">
        <w:rPr>
          <w:rFonts w:ascii="Arial" w:hAnsi="Arial" w:cs="Arial"/>
        </w:rPr>
        <w:t>)</w:t>
      </w:r>
      <w:r w:rsidRPr="00B72005">
        <w:rPr>
          <w:rFonts w:ascii="Arial" w:hAnsi="Arial" w:cs="Arial"/>
        </w:rPr>
        <w:t xml:space="preserve">  </w:t>
      </w:r>
      <w:r w:rsidRPr="00985B72">
        <w:rPr>
          <w:rFonts w:ascii="Arial" w:hAnsi="Arial" w:cs="Arial"/>
          <w:bCs/>
          <w:u w:val="single"/>
        </w:rPr>
        <w:t>Explain the reasons for the change in burden</w:t>
      </w:r>
      <w:r w:rsidRPr="00B72005">
        <w:rPr>
          <w:rFonts w:ascii="Arial" w:hAnsi="Arial" w:cs="Arial"/>
          <w:bCs/>
        </w:rPr>
        <w:t>.</w:t>
      </w:r>
      <w:r w:rsidR="00985B72">
        <w:rPr>
          <w:rFonts w:ascii="Arial" w:hAnsi="Arial" w:cs="Arial"/>
          <w:bCs/>
        </w:rPr>
        <w:t xml:space="preserve">  </w:t>
      </w:r>
    </w:p>
    <w:p w:rsidR="00C602DC" w:rsidRPr="00B72005" w14:paraId="2B23B051" w14:textId="77777777">
      <w:pPr>
        <w:widowControl w:val="0"/>
        <w:tabs>
          <w:tab w:val="left" w:pos="576"/>
          <w:tab w:val="left" w:pos="720"/>
        </w:tabs>
        <w:rPr>
          <w:rFonts w:ascii="Arial" w:hAnsi="Arial" w:cs="Arial"/>
        </w:rPr>
      </w:pPr>
    </w:p>
    <w:p w:rsidR="009E20D1" w:rsidRPr="00B72005" w14:paraId="132FED1E" w14:textId="59C90605">
      <w:pPr>
        <w:widowControl w:val="0"/>
        <w:tabs>
          <w:tab w:val="left" w:pos="576"/>
          <w:tab w:val="left" w:pos="720"/>
        </w:tabs>
        <w:rPr>
          <w:rFonts w:ascii="Arial" w:hAnsi="Arial" w:cs="Arial"/>
        </w:rPr>
      </w:pPr>
      <w:r w:rsidRPr="009E5DE3">
        <w:rPr>
          <w:rFonts w:ascii="Arial" w:hAnsi="Arial" w:cs="Arial"/>
        </w:rPr>
        <w:t xml:space="preserve">The change in burden is an ADJUSTMENT due to a change (i.e., </w:t>
      </w:r>
      <w:r>
        <w:rPr>
          <w:rFonts w:ascii="Arial" w:hAnsi="Arial" w:cs="Arial"/>
        </w:rPr>
        <w:t>in</w:t>
      </w:r>
      <w:r w:rsidRPr="009E5DE3">
        <w:rPr>
          <w:rFonts w:ascii="Arial" w:hAnsi="Arial" w:cs="Arial"/>
        </w:rPr>
        <w:t>crease) in the estimated annual number of respondents.</w:t>
      </w:r>
      <w:r>
        <w:rPr>
          <w:rFonts w:ascii="Arial" w:hAnsi="Arial" w:cs="Arial"/>
        </w:rPr>
        <w:t xml:space="preserve">  T</w:t>
      </w:r>
      <w:r w:rsidRPr="00B72005">
        <w:rPr>
          <w:rFonts w:ascii="Arial" w:hAnsi="Arial" w:cs="Arial"/>
        </w:rPr>
        <w:t>here is no proposed change to the recordkeeping requirements of this collection.  The recordkeeping requirements</w:t>
      </w:r>
      <w:r w:rsidR="00AF05E9">
        <w:rPr>
          <w:rFonts w:ascii="Arial" w:hAnsi="Arial" w:cs="Arial"/>
        </w:rPr>
        <w:t>,</w:t>
      </w:r>
      <w:r w:rsidRPr="00AF05E9" w:rsidR="00AF05E9">
        <w:rPr>
          <w:rFonts w:ascii="Arial" w:hAnsi="Arial" w:cs="Arial"/>
        </w:rPr>
        <w:t xml:space="preserve"> </w:t>
      </w:r>
      <w:r w:rsidRPr="00C871D7" w:rsidR="00AF05E9">
        <w:rPr>
          <w:rFonts w:ascii="Arial" w:hAnsi="Arial" w:cs="Arial"/>
        </w:rPr>
        <w:t xml:space="preserve">and the methodology for calculating burden, </w:t>
      </w:r>
      <w:r w:rsidRPr="00B72005">
        <w:rPr>
          <w:rFonts w:ascii="Arial" w:hAnsi="Arial" w:cs="Arial"/>
        </w:rPr>
        <w:t xml:space="preserve">remain unchanged.  </w:t>
      </w:r>
    </w:p>
    <w:p w:rsidR="00C602DC" w:rsidRPr="00B72005" w14:paraId="30A85BA3" w14:textId="77777777">
      <w:pPr>
        <w:widowControl w:val="0"/>
        <w:tabs>
          <w:tab w:val="left" w:pos="576"/>
          <w:tab w:val="left" w:pos="720"/>
        </w:tabs>
        <w:rPr>
          <w:rFonts w:ascii="Arial" w:hAnsi="Arial" w:cs="Arial"/>
        </w:rPr>
      </w:pPr>
    </w:p>
    <w:p w:rsidR="00985B72" w:rsidP="00985B72" w14:paraId="45D0377C" w14:textId="77777777">
      <w:pPr>
        <w:rPr>
          <w:rFonts w:ascii="Arial" w:hAnsi="Arial" w:cs="Arial"/>
        </w:rPr>
      </w:pPr>
      <w:r w:rsidRPr="00985B72">
        <w:rPr>
          <w:rFonts w:ascii="Arial" w:hAnsi="Arial" w:cs="Arial"/>
        </w:rPr>
        <w:t xml:space="preserve">16)  </w:t>
      </w:r>
      <w:r w:rsidRPr="00985B72">
        <w:rPr>
          <w:rFonts w:ascii="Arial" w:hAnsi="Arial" w:cs="Arial"/>
          <w:u w:val="single"/>
        </w:rPr>
        <w:t>Plans for tabulation, statistical analysis, and publication</w:t>
      </w:r>
      <w:r w:rsidRPr="00985B72">
        <w:rPr>
          <w:rFonts w:ascii="Arial" w:hAnsi="Arial" w:cs="Arial"/>
        </w:rPr>
        <w:t xml:space="preserve">.  </w:t>
      </w:r>
    </w:p>
    <w:p w:rsidR="00985B72" w:rsidRPr="00985B72" w:rsidP="00985B72" w14:paraId="5FED5D85" w14:textId="77777777">
      <w:pPr>
        <w:rPr>
          <w:rFonts w:ascii="Arial" w:hAnsi="Arial" w:cs="Arial"/>
        </w:rPr>
      </w:pPr>
    </w:p>
    <w:p w:rsidR="00C602DC" w:rsidRPr="00B72005" w14:paraId="3029B07A" w14:textId="77777777">
      <w:pPr>
        <w:widowControl w:val="0"/>
        <w:tabs>
          <w:tab w:val="left" w:pos="576"/>
          <w:tab w:val="left" w:pos="720"/>
        </w:tabs>
        <w:rPr>
          <w:rFonts w:ascii="Arial" w:hAnsi="Arial" w:cs="Arial"/>
        </w:rPr>
      </w:pPr>
      <w:r w:rsidRPr="00B72005">
        <w:rPr>
          <w:rFonts w:ascii="Arial" w:hAnsi="Arial" w:cs="Arial"/>
        </w:rPr>
        <w:t>This information collection will not be published for statistical purposes</w:t>
      </w:r>
      <w:r w:rsidRPr="00B72005">
        <w:rPr>
          <w:rFonts w:ascii="Arial" w:hAnsi="Arial" w:cs="Arial"/>
        </w:rPr>
        <w:t>.</w:t>
      </w:r>
      <w:r w:rsidR="00AF05E9">
        <w:rPr>
          <w:rFonts w:ascii="Arial" w:hAnsi="Arial" w:cs="Arial"/>
        </w:rPr>
        <w:t xml:space="preserve">  </w:t>
      </w:r>
    </w:p>
    <w:p w:rsidR="00C602DC" w:rsidRPr="00B72005" w14:paraId="4A640725" w14:textId="77777777">
      <w:pPr>
        <w:widowControl w:val="0"/>
        <w:tabs>
          <w:tab w:val="left" w:pos="576"/>
          <w:tab w:val="left" w:pos="720"/>
        </w:tabs>
        <w:rPr>
          <w:rFonts w:ascii="Arial" w:hAnsi="Arial" w:cs="Arial"/>
        </w:rPr>
      </w:pPr>
    </w:p>
    <w:p w:rsidR="00C602DC" w:rsidRPr="00B72005" w14:paraId="7A72F393" w14:textId="77777777">
      <w:pPr>
        <w:widowControl w:val="0"/>
        <w:tabs>
          <w:tab w:val="left" w:pos="630"/>
        </w:tabs>
        <w:rPr>
          <w:rFonts w:ascii="Arial" w:hAnsi="Arial" w:cs="Arial"/>
        </w:rPr>
      </w:pPr>
      <w:r w:rsidRPr="00B72005">
        <w:rPr>
          <w:rFonts w:ascii="Arial" w:hAnsi="Arial" w:cs="Arial"/>
        </w:rPr>
        <w:t>17</w:t>
      </w:r>
      <w:r w:rsidR="00923AB4">
        <w:rPr>
          <w:rFonts w:ascii="Arial" w:hAnsi="Arial" w:cs="Arial"/>
        </w:rPr>
        <w:t>)</w:t>
      </w:r>
      <w:r w:rsidRPr="00B72005">
        <w:rPr>
          <w:rFonts w:ascii="Arial" w:hAnsi="Arial" w:cs="Arial"/>
        </w:rPr>
        <w:t xml:space="preserve">  </w:t>
      </w:r>
      <w:r w:rsidRPr="00923AB4">
        <w:rPr>
          <w:rFonts w:ascii="Arial" w:hAnsi="Arial" w:cs="Arial"/>
          <w:bCs/>
          <w:u w:val="single"/>
        </w:rPr>
        <w:t>Approval to not display expiration date</w:t>
      </w:r>
      <w:r w:rsidRPr="00B72005">
        <w:rPr>
          <w:rFonts w:ascii="Arial" w:hAnsi="Arial" w:cs="Arial"/>
          <w:bCs/>
        </w:rPr>
        <w:t>.</w:t>
      </w:r>
      <w:r w:rsidR="00923AB4">
        <w:rPr>
          <w:rFonts w:ascii="Arial" w:hAnsi="Arial" w:cs="Arial"/>
          <w:bCs/>
        </w:rPr>
        <w:t xml:space="preserve">  </w:t>
      </w:r>
    </w:p>
    <w:p w:rsidR="00C602DC" w:rsidRPr="00B72005" w14:paraId="26F74624" w14:textId="77777777">
      <w:pPr>
        <w:widowControl w:val="0"/>
        <w:numPr>
          <w:ilvl w:val="12"/>
          <w:numId w:val="0"/>
        </w:numPr>
        <w:tabs>
          <w:tab w:val="left" w:pos="576"/>
          <w:tab w:val="left" w:pos="720"/>
        </w:tabs>
        <w:rPr>
          <w:rFonts w:ascii="Arial" w:hAnsi="Arial" w:cs="Arial"/>
        </w:rPr>
      </w:pPr>
    </w:p>
    <w:p w:rsidR="00C602DC" w:rsidRPr="00B72005" w14:paraId="774A90BE" w14:textId="77777777">
      <w:pPr>
        <w:widowControl w:val="0"/>
        <w:numPr>
          <w:ilvl w:val="12"/>
          <w:numId w:val="0"/>
        </w:numPr>
        <w:tabs>
          <w:tab w:val="left" w:pos="576"/>
          <w:tab w:val="left" w:pos="720"/>
        </w:tabs>
        <w:rPr>
          <w:rFonts w:ascii="Arial" w:hAnsi="Arial" w:cs="Arial"/>
        </w:rPr>
      </w:pPr>
      <w:r w:rsidRPr="00B72005">
        <w:rPr>
          <w:rFonts w:ascii="Arial" w:hAnsi="Arial" w:cs="Arial"/>
        </w:rPr>
        <w:t xml:space="preserve">The Coast Guard </w:t>
      </w:r>
      <w:r w:rsidRPr="00B72005" w:rsidR="00276026">
        <w:rPr>
          <w:rFonts w:ascii="Arial" w:hAnsi="Arial" w:cs="Arial"/>
        </w:rPr>
        <w:t>will display the expiration date for OMB approval of this information collection</w:t>
      </w:r>
      <w:r w:rsidRPr="00B72005" w:rsidR="00005945">
        <w:rPr>
          <w:rFonts w:ascii="Arial" w:hAnsi="Arial" w:cs="Arial"/>
        </w:rPr>
        <w:t>.</w:t>
      </w:r>
      <w:r w:rsidRPr="00B72005" w:rsidR="00BD73A2">
        <w:rPr>
          <w:rFonts w:ascii="Arial" w:hAnsi="Arial" w:cs="Arial"/>
        </w:rPr>
        <w:t xml:space="preserve"> </w:t>
      </w:r>
      <w:r w:rsidR="00AF05E9">
        <w:rPr>
          <w:rFonts w:ascii="Arial" w:hAnsi="Arial" w:cs="Arial"/>
        </w:rPr>
        <w:t xml:space="preserve"> </w:t>
      </w:r>
    </w:p>
    <w:p w:rsidR="00C602DC" w:rsidRPr="00B72005" w14:paraId="029FB5AC" w14:textId="77777777">
      <w:pPr>
        <w:widowControl w:val="0"/>
        <w:numPr>
          <w:ilvl w:val="12"/>
          <w:numId w:val="0"/>
        </w:numPr>
        <w:tabs>
          <w:tab w:val="left" w:pos="576"/>
          <w:tab w:val="left" w:pos="720"/>
        </w:tabs>
        <w:rPr>
          <w:rFonts w:ascii="Arial" w:hAnsi="Arial" w:cs="Arial"/>
        </w:rPr>
      </w:pPr>
    </w:p>
    <w:p w:rsidR="00C602DC" w:rsidRPr="00B72005" w14:paraId="440949A5" w14:textId="77777777">
      <w:pPr>
        <w:pStyle w:val="BodyText3"/>
        <w:widowControl/>
        <w:tabs>
          <w:tab w:val="clear" w:pos="576"/>
          <w:tab w:val="clear" w:pos="720"/>
        </w:tabs>
        <w:rPr>
          <w:rFonts w:ascii="Arial" w:hAnsi="Arial" w:cs="Arial"/>
          <w:b w:val="0"/>
          <w:sz w:val="20"/>
        </w:rPr>
      </w:pPr>
      <w:r w:rsidRPr="00B72005">
        <w:rPr>
          <w:rFonts w:ascii="Arial" w:hAnsi="Arial" w:cs="Arial"/>
          <w:b w:val="0"/>
          <w:sz w:val="20"/>
        </w:rPr>
        <w:t>18</w:t>
      </w:r>
      <w:r w:rsidR="00923AB4">
        <w:rPr>
          <w:rFonts w:ascii="Arial" w:hAnsi="Arial" w:cs="Arial"/>
          <w:b w:val="0"/>
          <w:sz w:val="20"/>
        </w:rPr>
        <w:t>)</w:t>
      </w:r>
      <w:r w:rsidRPr="00B72005">
        <w:rPr>
          <w:rFonts w:ascii="Arial" w:hAnsi="Arial" w:cs="Arial"/>
          <w:b w:val="0"/>
          <w:sz w:val="20"/>
        </w:rPr>
        <w:t xml:space="preserve">  </w:t>
      </w:r>
      <w:r w:rsidRPr="00923AB4">
        <w:rPr>
          <w:rFonts w:ascii="Arial" w:hAnsi="Arial" w:cs="Arial"/>
          <w:b w:val="0"/>
          <w:sz w:val="20"/>
          <w:u w:val="single"/>
        </w:rPr>
        <w:t>Explain each exception to the certification statement</w:t>
      </w:r>
      <w:r w:rsidRPr="00B72005">
        <w:rPr>
          <w:rFonts w:ascii="Arial" w:hAnsi="Arial" w:cs="Arial"/>
          <w:b w:val="0"/>
          <w:sz w:val="20"/>
        </w:rPr>
        <w:t>.</w:t>
      </w:r>
      <w:r w:rsidR="00923AB4">
        <w:rPr>
          <w:rFonts w:ascii="Arial" w:hAnsi="Arial" w:cs="Arial"/>
          <w:b w:val="0"/>
          <w:sz w:val="20"/>
        </w:rPr>
        <w:t xml:space="preserve">  </w:t>
      </w:r>
    </w:p>
    <w:p w:rsidR="00C602DC" w:rsidRPr="00B72005" w14:paraId="335B27B2" w14:textId="77777777">
      <w:pPr>
        <w:widowControl w:val="0"/>
        <w:tabs>
          <w:tab w:val="left" w:pos="576"/>
          <w:tab w:val="left" w:pos="720"/>
        </w:tabs>
        <w:rPr>
          <w:rFonts w:ascii="Arial" w:hAnsi="Arial" w:cs="Arial"/>
        </w:rPr>
      </w:pPr>
    </w:p>
    <w:p w:rsidR="00C602DC" w:rsidRPr="00B72005" w14:paraId="4B0E9F98" w14:textId="77777777">
      <w:pPr>
        <w:widowControl w:val="0"/>
        <w:tabs>
          <w:tab w:val="left" w:pos="576"/>
          <w:tab w:val="left" w:pos="720"/>
        </w:tabs>
        <w:rPr>
          <w:rFonts w:ascii="Arial" w:hAnsi="Arial" w:cs="Arial"/>
        </w:rPr>
      </w:pPr>
      <w:r w:rsidRPr="00B72005">
        <w:rPr>
          <w:rFonts w:ascii="Arial" w:hAnsi="Arial" w:cs="Arial"/>
        </w:rPr>
        <w:t xml:space="preserve">The Coast Guard </w:t>
      </w:r>
      <w:r w:rsidRPr="00B72005" w:rsidR="00276026">
        <w:rPr>
          <w:rFonts w:ascii="Arial" w:hAnsi="Arial" w:cs="Arial"/>
        </w:rPr>
        <w:t>does not request an exception to the certification of this information collection</w:t>
      </w:r>
      <w:r w:rsidRPr="00B72005" w:rsidR="00BD73A2">
        <w:rPr>
          <w:rFonts w:ascii="Arial" w:hAnsi="Arial" w:cs="Arial"/>
        </w:rPr>
        <w:t>.</w:t>
      </w:r>
      <w:r w:rsidR="00AF05E9">
        <w:rPr>
          <w:rFonts w:ascii="Arial" w:hAnsi="Arial" w:cs="Arial"/>
        </w:rPr>
        <w:t xml:space="preserve">  </w:t>
      </w:r>
    </w:p>
    <w:p w:rsidR="00C602DC" w:rsidRPr="00B72005" w14:paraId="0B0D7273" w14:textId="77777777">
      <w:pPr>
        <w:widowControl w:val="0"/>
        <w:tabs>
          <w:tab w:val="left" w:pos="576"/>
          <w:tab w:val="left" w:pos="720"/>
        </w:tabs>
        <w:rPr>
          <w:rFonts w:ascii="Arial" w:hAnsi="Arial" w:cs="Arial"/>
        </w:rPr>
      </w:pPr>
    </w:p>
    <w:p w:rsidR="00C602DC" w:rsidRPr="00B72005" w14:paraId="1DEC4C4B" w14:textId="77777777">
      <w:pPr>
        <w:widowControl w:val="0"/>
        <w:tabs>
          <w:tab w:val="left" w:pos="576"/>
          <w:tab w:val="left" w:pos="720"/>
        </w:tabs>
        <w:rPr>
          <w:rFonts w:ascii="Arial" w:hAnsi="Arial" w:cs="Arial"/>
        </w:rPr>
      </w:pPr>
    </w:p>
    <w:p w:rsidR="00C602DC" w:rsidRPr="00923AB4" w14:paraId="0D379AA9" w14:textId="77777777">
      <w:pPr>
        <w:pStyle w:val="BodyText3"/>
        <w:widowControl/>
        <w:tabs>
          <w:tab w:val="clear" w:pos="576"/>
          <w:tab w:val="clear" w:pos="720"/>
        </w:tabs>
        <w:rPr>
          <w:rFonts w:ascii="Arial" w:hAnsi="Arial" w:cs="Arial"/>
          <w:bCs w:val="0"/>
          <w:sz w:val="20"/>
        </w:rPr>
      </w:pPr>
      <w:r w:rsidRPr="00923AB4">
        <w:rPr>
          <w:rFonts w:ascii="Arial" w:hAnsi="Arial" w:cs="Arial"/>
          <w:bCs w:val="0"/>
          <w:sz w:val="20"/>
        </w:rPr>
        <w:t>B.  Collection of Information Employing Statistical Method.</w:t>
      </w:r>
      <w:r w:rsidR="00AF05E9">
        <w:rPr>
          <w:rFonts w:ascii="Arial" w:hAnsi="Arial" w:cs="Arial"/>
          <w:bCs w:val="0"/>
          <w:sz w:val="20"/>
        </w:rPr>
        <w:t xml:space="preserve"> </w:t>
      </w:r>
    </w:p>
    <w:p w:rsidR="00C602DC" w:rsidRPr="00B72005" w14:paraId="29350ED3" w14:textId="77777777">
      <w:pPr>
        <w:widowControl w:val="0"/>
        <w:tabs>
          <w:tab w:val="left" w:pos="576"/>
          <w:tab w:val="left" w:pos="720"/>
        </w:tabs>
        <w:rPr>
          <w:rFonts w:ascii="Arial" w:hAnsi="Arial" w:cs="Arial"/>
        </w:rPr>
      </w:pPr>
    </w:p>
    <w:p w:rsidR="00C602DC" w14:paraId="73868ECA" w14:textId="77777777">
      <w:pPr>
        <w:widowControl w:val="0"/>
        <w:tabs>
          <w:tab w:val="left" w:pos="576"/>
          <w:tab w:val="left" w:pos="720"/>
        </w:tabs>
        <w:rPr>
          <w:rFonts w:ascii="Arial" w:hAnsi="Arial" w:cs="Arial"/>
        </w:rPr>
      </w:pPr>
      <w:r w:rsidRPr="00B72005">
        <w:rPr>
          <w:rFonts w:ascii="Arial" w:hAnsi="Arial" w:cs="Arial"/>
        </w:rPr>
        <w:t>This information collection does not employ statistical methods.</w:t>
      </w:r>
      <w:r w:rsidR="00AF05E9">
        <w:rPr>
          <w:rFonts w:ascii="Arial" w:hAnsi="Arial" w:cs="Arial"/>
        </w:rPr>
        <w:t xml:space="preserve">  </w:t>
      </w:r>
    </w:p>
    <w:p w:rsidR="00D97F68" w:rsidRPr="00B72005" w14:paraId="0C20C8EE" w14:textId="77777777">
      <w:pPr>
        <w:widowControl w:val="0"/>
        <w:tabs>
          <w:tab w:val="left" w:pos="576"/>
          <w:tab w:val="left" w:pos="720"/>
        </w:tabs>
        <w:rPr>
          <w:rFonts w:ascii="Arial" w:hAnsi="Arial" w:cs="Arial"/>
        </w:rPr>
      </w:pPr>
    </w:p>
    <w:sectPr w:rsidSect="00B72005">
      <w:headerReference w:type="default" r:id="rId11"/>
      <w:footerReference w:type="even" r:id="rId12"/>
      <w:footerReference w:type="default" r:id="rId13"/>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4AB" w14:paraId="6B98240D" w14:textId="77777777">
    <w:pPr>
      <w:pStyle w:val="Footer"/>
      <w:framePr w:wrap="auto" w:vAnchor="text" w:hAnchor="margin" w:xAlign="center" w:y="1"/>
      <w:rPr>
        <w:rStyle w:val="PageNumber"/>
        <w:rFonts w:ascii="Courier New" w:hAnsi="Courier New"/>
        <w:sz w:val="24"/>
      </w:rPr>
    </w:pPr>
    <w:r>
      <w:rPr>
        <w:rStyle w:val="PageNumber"/>
        <w:rFonts w:ascii="Courier New" w:hAnsi="Courier New"/>
        <w:sz w:val="24"/>
      </w:rPr>
      <w:fldChar w:fldCharType="begin"/>
    </w:r>
    <w:r>
      <w:rPr>
        <w:rStyle w:val="PageNumber"/>
        <w:rFonts w:ascii="Courier New" w:hAnsi="Courier New"/>
        <w:sz w:val="24"/>
      </w:rPr>
      <w:instrText xml:space="preserve">PAGE  </w:instrText>
    </w:r>
    <w:r>
      <w:rPr>
        <w:rStyle w:val="PageNumber"/>
        <w:rFonts w:ascii="Courier New" w:hAnsi="Courier New"/>
        <w:sz w:val="24"/>
      </w:rPr>
      <w:fldChar w:fldCharType="separate"/>
    </w:r>
    <w:r>
      <w:rPr>
        <w:rStyle w:val="PageNumber"/>
        <w:rFonts w:ascii="Courier New" w:hAnsi="Courier New"/>
        <w:noProof/>
        <w:sz w:val="24"/>
      </w:rPr>
      <w:t>4</w:t>
    </w:r>
    <w:r>
      <w:rPr>
        <w:rStyle w:val="PageNumber"/>
        <w:rFonts w:ascii="Courier New" w:hAnsi="Courier New"/>
        <w:sz w:val="24"/>
      </w:rPr>
      <w:fldChar w:fldCharType="end"/>
    </w:r>
  </w:p>
  <w:p w:rsidR="002564AB" w14:paraId="46ABFF48" w14:textId="77777777">
    <w:pPr>
      <w:rPr>
        <w:rFonts w:ascii="Courier New" w:hAnsi="Courier New"/>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4AB" w:rsidRPr="00B72005" w14:paraId="2FCAA4FB" w14:textId="77777777">
    <w:pPr>
      <w:pStyle w:val="Footer"/>
      <w:tabs>
        <w:tab w:val="clear" w:pos="4320"/>
        <w:tab w:val="clear" w:pos="8640"/>
      </w:tabs>
      <w:jc w:val="center"/>
      <w:rPr>
        <w:rFonts w:ascii="Arial" w:hAnsi="Arial" w:cs="Arial"/>
      </w:rPr>
    </w:pPr>
    <w:r w:rsidRPr="00B72005">
      <w:rPr>
        <w:rStyle w:val="PageNumber"/>
        <w:rFonts w:ascii="Arial" w:hAnsi="Arial" w:cs="Arial"/>
      </w:rPr>
      <w:fldChar w:fldCharType="begin"/>
    </w:r>
    <w:r w:rsidRPr="00B72005">
      <w:rPr>
        <w:rStyle w:val="PageNumber"/>
        <w:rFonts w:ascii="Arial" w:hAnsi="Arial" w:cs="Arial"/>
      </w:rPr>
      <w:instrText xml:space="preserve"> PAGE </w:instrText>
    </w:r>
    <w:r w:rsidRPr="00B72005">
      <w:rPr>
        <w:rStyle w:val="PageNumber"/>
        <w:rFonts w:ascii="Arial" w:hAnsi="Arial" w:cs="Arial"/>
      </w:rPr>
      <w:fldChar w:fldCharType="separate"/>
    </w:r>
    <w:r w:rsidR="004534B4">
      <w:rPr>
        <w:rStyle w:val="PageNumber"/>
        <w:rFonts w:ascii="Arial" w:hAnsi="Arial" w:cs="Arial"/>
        <w:noProof/>
      </w:rPr>
      <w:t>1</w:t>
    </w:r>
    <w:r w:rsidRPr="00B72005">
      <w:rPr>
        <w:rStyle w:val="PageNumber"/>
        <w:rFonts w:ascii="Arial" w:hAnsi="Arial" w:cs="Arial"/>
      </w:rPr>
      <w:fldChar w:fldCharType="end"/>
    </w:r>
    <w:r w:rsidRPr="00B72005">
      <w:rPr>
        <w:rStyle w:val="PageNumber"/>
        <w:rFonts w:ascii="Arial" w:hAnsi="Arial" w:cs="Arial"/>
      </w:rPr>
      <w:t xml:space="preserve"> of </w:t>
    </w:r>
    <w:r w:rsidRPr="00B72005">
      <w:rPr>
        <w:rStyle w:val="PageNumber"/>
        <w:rFonts w:ascii="Arial" w:hAnsi="Arial" w:cs="Arial"/>
      </w:rPr>
      <w:fldChar w:fldCharType="begin"/>
    </w:r>
    <w:r w:rsidRPr="00B72005">
      <w:rPr>
        <w:rStyle w:val="PageNumber"/>
        <w:rFonts w:ascii="Arial" w:hAnsi="Arial" w:cs="Arial"/>
      </w:rPr>
      <w:instrText xml:space="preserve"> NUMPAGES </w:instrText>
    </w:r>
    <w:r w:rsidRPr="00B72005">
      <w:rPr>
        <w:rStyle w:val="PageNumber"/>
        <w:rFonts w:ascii="Arial" w:hAnsi="Arial" w:cs="Arial"/>
      </w:rPr>
      <w:fldChar w:fldCharType="separate"/>
    </w:r>
    <w:r w:rsidR="004534B4">
      <w:rPr>
        <w:rStyle w:val="PageNumber"/>
        <w:rFonts w:ascii="Arial" w:hAnsi="Arial" w:cs="Arial"/>
        <w:noProof/>
      </w:rPr>
      <w:t>3</w:t>
    </w:r>
    <w:r w:rsidRPr="00B7200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3FD7" w14:paraId="68026DA0" w14:textId="77777777">
      <w:r>
        <w:separator/>
      </w:r>
    </w:p>
  </w:footnote>
  <w:footnote w:type="continuationSeparator" w:id="1">
    <w:p w:rsidR="00B43FD7" w14:paraId="38085D19" w14:textId="77777777">
      <w:r>
        <w:continuationSeparator/>
      </w:r>
    </w:p>
  </w:footnote>
  <w:footnote w:id="2">
    <w:p w:rsidR="007344D6" w:rsidP="007344D6" w14:paraId="2FAC9954" w14:textId="0CCD3F43">
      <w:pPr>
        <w:pStyle w:val="FootnoteText"/>
      </w:pPr>
      <w:r>
        <w:rPr>
          <w:rStyle w:val="FootnoteReference"/>
        </w:rPr>
        <w:footnoteRef/>
      </w:r>
      <w:r>
        <w:t xml:space="preserve">  </w:t>
      </w:r>
      <w:hyperlink r:id="rId1" w:history="1">
        <w:r w:rsidR="00316C48">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 w:id="3">
    <w:p w:rsidR="002564AB" w:rsidRPr="00A26FEB" w14:paraId="0B82F89F" w14:textId="132B00DA">
      <w:pPr>
        <w:pStyle w:val="FootnoteText"/>
        <w:rPr>
          <w:rFonts w:ascii="Arial" w:hAnsi="Arial" w:cs="Arial"/>
          <w:sz w:val="16"/>
          <w:szCs w:val="16"/>
        </w:rPr>
      </w:pPr>
      <w:r w:rsidRPr="00A26FEB">
        <w:rPr>
          <w:rStyle w:val="FootnoteReference"/>
          <w:rFonts w:ascii="Arial" w:hAnsi="Arial" w:cs="Arial"/>
          <w:sz w:val="16"/>
          <w:szCs w:val="16"/>
        </w:rPr>
        <w:footnoteRef/>
      </w:r>
      <w:r w:rsidRPr="00A26FEB">
        <w:rPr>
          <w:rFonts w:ascii="Arial" w:hAnsi="Arial" w:cs="Arial"/>
          <w:sz w:val="16"/>
          <w:szCs w:val="16"/>
        </w:rPr>
        <w:t xml:space="preserve"> </w:t>
      </w:r>
      <w:r>
        <w:rPr>
          <w:rFonts w:ascii="Arial" w:hAnsi="Arial" w:cs="Arial"/>
          <w:sz w:val="16"/>
          <w:szCs w:val="16"/>
        </w:rPr>
        <w:t xml:space="preserve"> Waterborne Commerce of the United States, Calendar Years 20</w:t>
      </w:r>
      <w:r w:rsidR="008C0CA6">
        <w:rPr>
          <w:rFonts w:ascii="Arial" w:hAnsi="Arial" w:cs="Arial"/>
          <w:sz w:val="16"/>
          <w:szCs w:val="16"/>
        </w:rPr>
        <w:t>20</w:t>
      </w:r>
      <w:r>
        <w:rPr>
          <w:rFonts w:ascii="Arial" w:hAnsi="Arial" w:cs="Arial"/>
          <w:sz w:val="16"/>
          <w:szCs w:val="16"/>
        </w:rPr>
        <w:t>, 20</w:t>
      </w:r>
      <w:r w:rsidR="009A483E">
        <w:rPr>
          <w:rFonts w:ascii="Arial" w:hAnsi="Arial" w:cs="Arial"/>
          <w:sz w:val="16"/>
          <w:szCs w:val="16"/>
        </w:rPr>
        <w:t>2</w:t>
      </w:r>
      <w:r>
        <w:rPr>
          <w:rFonts w:ascii="Arial" w:hAnsi="Arial" w:cs="Arial"/>
          <w:sz w:val="16"/>
          <w:szCs w:val="16"/>
        </w:rPr>
        <w:t>1 &amp; 20</w:t>
      </w:r>
      <w:r w:rsidR="009A483E">
        <w:rPr>
          <w:rFonts w:ascii="Arial" w:hAnsi="Arial" w:cs="Arial"/>
          <w:sz w:val="16"/>
          <w:szCs w:val="16"/>
        </w:rPr>
        <w:t>22</w:t>
      </w:r>
      <w:r>
        <w:rPr>
          <w:rFonts w:ascii="Arial" w:hAnsi="Arial" w:cs="Arial"/>
          <w:sz w:val="16"/>
          <w:szCs w:val="16"/>
        </w:rPr>
        <w:t xml:space="preserve">, for selected ports in the New England District and New York, NY District.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4AB" w:rsidRPr="00B72005" w14:paraId="42192638" w14:textId="77777777">
    <w:pPr>
      <w:pStyle w:val="Header"/>
      <w:rPr>
        <w:rFonts w:ascii="Arial" w:hAnsi="Arial" w:cs="Arial"/>
      </w:rPr>
    </w:pPr>
    <w:r w:rsidRPr="00B72005">
      <w:rPr>
        <w:rFonts w:ascii="Arial" w:hAnsi="Arial" w:cs="Arial"/>
      </w:rPr>
      <w:t xml:space="preserve">1625-0088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4DCBC6C"/>
    <w:lvl w:ilvl="0">
      <w:start w:val="1"/>
      <w:numFmt w:val="decimal"/>
      <w:lvlText w:val="%1."/>
      <w:lvlJc w:val="left"/>
      <w:pPr>
        <w:tabs>
          <w:tab w:val="num" w:pos="1800"/>
        </w:tabs>
        <w:ind w:left="1800" w:hanging="360"/>
      </w:pPr>
    </w:lvl>
  </w:abstractNum>
  <w:abstractNum w:abstractNumId="1">
    <w:nsid w:val="FFFFFF7D"/>
    <w:multiLevelType w:val="singleLevel"/>
    <w:tmpl w:val="773CCFDC"/>
    <w:lvl w:ilvl="0">
      <w:start w:val="1"/>
      <w:numFmt w:val="decimal"/>
      <w:lvlText w:val="%1."/>
      <w:lvlJc w:val="left"/>
      <w:pPr>
        <w:tabs>
          <w:tab w:val="num" w:pos="1440"/>
        </w:tabs>
        <w:ind w:left="1440" w:hanging="360"/>
      </w:pPr>
    </w:lvl>
  </w:abstractNum>
  <w:abstractNum w:abstractNumId="2">
    <w:nsid w:val="FFFFFF7E"/>
    <w:multiLevelType w:val="singleLevel"/>
    <w:tmpl w:val="DB54A864"/>
    <w:lvl w:ilvl="0">
      <w:start w:val="1"/>
      <w:numFmt w:val="decimal"/>
      <w:lvlText w:val="%1."/>
      <w:lvlJc w:val="left"/>
      <w:pPr>
        <w:tabs>
          <w:tab w:val="num" w:pos="1080"/>
        </w:tabs>
        <w:ind w:left="1080" w:hanging="360"/>
      </w:pPr>
    </w:lvl>
  </w:abstractNum>
  <w:abstractNum w:abstractNumId="3">
    <w:nsid w:val="FFFFFF7F"/>
    <w:multiLevelType w:val="singleLevel"/>
    <w:tmpl w:val="9608459C"/>
    <w:lvl w:ilvl="0">
      <w:start w:val="1"/>
      <w:numFmt w:val="decimal"/>
      <w:lvlText w:val="%1."/>
      <w:lvlJc w:val="left"/>
      <w:pPr>
        <w:tabs>
          <w:tab w:val="num" w:pos="720"/>
        </w:tabs>
        <w:ind w:left="720" w:hanging="360"/>
      </w:pPr>
    </w:lvl>
  </w:abstractNum>
  <w:abstractNum w:abstractNumId="4">
    <w:nsid w:val="FFFFFF80"/>
    <w:multiLevelType w:val="singleLevel"/>
    <w:tmpl w:val="EC422D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C8C9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F0486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A495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089E74"/>
    <w:lvl w:ilvl="0">
      <w:start w:val="1"/>
      <w:numFmt w:val="decimal"/>
      <w:lvlText w:val="%1."/>
      <w:lvlJc w:val="left"/>
      <w:pPr>
        <w:tabs>
          <w:tab w:val="num" w:pos="360"/>
        </w:tabs>
        <w:ind w:left="360" w:hanging="360"/>
      </w:pPr>
    </w:lvl>
  </w:abstractNum>
  <w:abstractNum w:abstractNumId="9">
    <w:nsid w:val="FFFFFF89"/>
    <w:multiLevelType w:val="singleLevel"/>
    <w:tmpl w:val="93F0E1E2"/>
    <w:lvl w:ilvl="0">
      <w:start w:val="1"/>
      <w:numFmt w:val="bullet"/>
      <w:lvlText w:val=""/>
      <w:lvlJc w:val="left"/>
      <w:pPr>
        <w:tabs>
          <w:tab w:val="num" w:pos="360"/>
        </w:tabs>
        <w:ind w:left="360" w:hanging="360"/>
      </w:pPr>
      <w:rPr>
        <w:rFonts w:ascii="Symbol" w:hAnsi="Symbol" w:hint="default"/>
      </w:rPr>
    </w:lvl>
  </w:abstractNum>
  <w:abstractNum w:abstractNumId="1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07840302"/>
    <w:multiLevelType w:val="multilevel"/>
    <w:tmpl w:val="1DA8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9E54153"/>
    <w:multiLevelType w:val="hybridMultilevel"/>
    <w:tmpl w:val="8F30B66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1080C39"/>
    <w:multiLevelType w:val="hybridMultilevel"/>
    <w:tmpl w:val="E8ACD054"/>
    <w:lvl w:ilvl="0">
      <w:start w:val="1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20D361E"/>
    <w:multiLevelType w:val="hybridMultilevel"/>
    <w:tmpl w:val="9EA6D4F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15075833"/>
    <w:multiLevelType w:val="singleLevel"/>
    <w:tmpl w:val="B3DA28D4"/>
    <w:lvl w:ilvl="0">
      <w:start w:val="17"/>
      <w:numFmt w:val="decimal"/>
      <w:lvlText w:val="%1)"/>
      <w:legacy w:legacy="1" w:legacySpace="0" w:legacyIndent="570"/>
      <w:lvlJc w:val="left"/>
      <w:pPr>
        <w:ind w:left="570" w:hanging="570"/>
      </w:pPr>
    </w:lvl>
  </w:abstractNum>
  <w:abstractNum w:abstractNumId="16">
    <w:nsid w:val="15DF445E"/>
    <w:multiLevelType w:val="hybridMultilevel"/>
    <w:tmpl w:val="273A4A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65F677D"/>
    <w:multiLevelType w:val="singleLevel"/>
    <w:tmpl w:val="04090015"/>
    <w:lvl w:ilvl="0">
      <w:start w:val="2"/>
      <w:numFmt w:val="upperLetter"/>
      <w:lvlText w:val="%1."/>
      <w:lvlJc w:val="left"/>
      <w:pPr>
        <w:tabs>
          <w:tab w:val="num" w:pos="360"/>
        </w:tabs>
        <w:ind w:left="360" w:hanging="360"/>
      </w:pPr>
      <w:rPr>
        <w:rFonts w:hint="default"/>
      </w:rPr>
    </w:lvl>
  </w:abstractNum>
  <w:abstractNum w:abstractNumId="18">
    <w:nsid w:val="1AD3449D"/>
    <w:multiLevelType w:val="hybridMultilevel"/>
    <w:tmpl w:val="20D04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DBB3BE1"/>
    <w:multiLevelType w:val="multilevel"/>
    <w:tmpl w:val="AC7A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22AF5D8E"/>
    <w:multiLevelType w:val="multilevel"/>
    <w:tmpl w:val="B3D0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3F9243B"/>
    <w:multiLevelType w:val="hybridMultilevel"/>
    <w:tmpl w:val="4D181C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D6E5E51"/>
    <w:multiLevelType w:val="hybridMultilevel"/>
    <w:tmpl w:val="44CEE05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2946E6A"/>
    <w:multiLevelType w:val="multilevel"/>
    <w:tmpl w:val="441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2162EA"/>
    <w:multiLevelType w:val="multilevel"/>
    <w:tmpl w:val="0D66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4C7C77"/>
    <w:multiLevelType w:val="multilevel"/>
    <w:tmpl w:val="486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F2A228B"/>
    <w:multiLevelType w:val="multilevel"/>
    <w:tmpl w:val="EC78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8F97295"/>
    <w:multiLevelType w:val="hybridMultilevel"/>
    <w:tmpl w:val="1C507E32"/>
    <w:lvl w:ilvl="0">
      <w:start w:val="18"/>
      <w:numFmt w:val="decimal"/>
      <w:lvlText w:val="%1."/>
      <w:lvlJc w:val="left"/>
      <w:pPr>
        <w:tabs>
          <w:tab w:val="num" w:pos="1290"/>
        </w:tabs>
        <w:ind w:left="1290" w:hanging="360"/>
      </w:pPr>
      <w:rPr>
        <w:rFonts w:hint="default"/>
        <w:b/>
      </w:rPr>
    </w:lvl>
    <w:lvl w:ilvl="1" w:tentative="1">
      <w:start w:val="1"/>
      <w:numFmt w:val="lowerLetter"/>
      <w:lvlText w:val="%2."/>
      <w:lvlJc w:val="left"/>
      <w:pPr>
        <w:tabs>
          <w:tab w:val="num" w:pos="2010"/>
        </w:tabs>
        <w:ind w:left="2010" w:hanging="360"/>
      </w:p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32">
    <w:nsid w:val="6A7C534B"/>
    <w:multiLevelType w:val="multilevel"/>
    <w:tmpl w:val="31B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3154DF"/>
    <w:multiLevelType w:val="hybridMultilevel"/>
    <w:tmpl w:val="592A02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6CE97E8C"/>
    <w:multiLevelType w:val="hybridMultilevel"/>
    <w:tmpl w:val="32C06EF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6D8F4D5E"/>
    <w:multiLevelType w:val="multilevel"/>
    <w:tmpl w:val="AB66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F47E27"/>
    <w:multiLevelType w:val="hybridMultilevel"/>
    <w:tmpl w:val="E4308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1528177">
    <w:abstractNumId w:val="15"/>
  </w:num>
  <w:num w:numId="2" w16cid:durableId="1396733837">
    <w:abstractNumId w:val="22"/>
  </w:num>
  <w:num w:numId="3" w16cid:durableId="377052985">
    <w:abstractNumId w:val="16"/>
  </w:num>
  <w:num w:numId="4" w16cid:durableId="1070732050">
    <w:abstractNumId w:val="14"/>
  </w:num>
  <w:num w:numId="5" w16cid:durableId="1687823213">
    <w:abstractNumId w:val="33"/>
  </w:num>
  <w:num w:numId="6" w16cid:durableId="101458483">
    <w:abstractNumId w:val="12"/>
  </w:num>
  <w:num w:numId="7" w16cid:durableId="807358511">
    <w:abstractNumId w:val="30"/>
  </w:num>
  <w:num w:numId="8" w16cid:durableId="1068764854">
    <w:abstractNumId w:val="10"/>
  </w:num>
  <w:num w:numId="9" w16cid:durableId="251815870">
    <w:abstractNumId w:val="29"/>
  </w:num>
  <w:num w:numId="10" w16cid:durableId="1132796339">
    <w:abstractNumId w:val="20"/>
  </w:num>
  <w:num w:numId="11" w16cid:durableId="792603682">
    <w:abstractNumId w:val="31"/>
  </w:num>
  <w:num w:numId="12" w16cid:durableId="799417569">
    <w:abstractNumId w:val="17"/>
  </w:num>
  <w:num w:numId="13" w16cid:durableId="1333534983">
    <w:abstractNumId w:val="13"/>
  </w:num>
  <w:num w:numId="14" w16cid:durableId="1293712255">
    <w:abstractNumId w:val="23"/>
  </w:num>
  <w:num w:numId="15" w16cid:durableId="631326595">
    <w:abstractNumId w:val="34"/>
  </w:num>
  <w:num w:numId="16" w16cid:durableId="488521332">
    <w:abstractNumId w:val="9"/>
  </w:num>
  <w:num w:numId="17" w16cid:durableId="33429477">
    <w:abstractNumId w:val="7"/>
  </w:num>
  <w:num w:numId="18" w16cid:durableId="46269946">
    <w:abstractNumId w:val="6"/>
  </w:num>
  <w:num w:numId="19" w16cid:durableId="89785835">
    <w:abstractNumId w:val="5"/>
  </w:num>
  <w:num w:numId="20" w16cid:durableId="1678918391">
    <w:abstractNumId w:val="4"/>
  </w:num>
  <w:num w:numId="21" w16cid:durableId="1545100809">
    <w:abstractNumId w:val="8"/>
  </w:num>
  <w:num w:numId="22" w16cid:durableId="1864394344">
    <w:abstractNumId w:val="3"/>
  </w:num>
  <w:num w:numId="23" w16cid:durableId="842017353">
    <w:abstractNumId w:val="2"/>
  </w:num>
  <w:num w:numId="24" w16cid:durableId="2102528857">
    <w:abstractNumId w:val="1"/>
  </w:num>
  <w:num w:numId="25" w16cid:durableId="950623629">
    <w:abstractNumId w:val="0"/>
  </w:num>
  <w:num w:numId="26" w16cid:durableId="1531720002">
    <w:abstractNumId w:val="26"/>
  </w:num>
  <w:num w:numId="27" w16cid:durableId="294027038">
    <w:abstractNumId w:val="37"/>
  </w:num>
  <w:num w:numId="28" w16cid:durableId="138308499">
    <w:abstractNumId w:val="36"/>
  </w:num>
  <w:num w:numId="29" w16cid:durableId="1334264214">
    <w:abstractNumId w:val="18"/>
  </w:num>
  <w:num w:numId="30" w16cid:durableId="42292286">
    <w:abstractNumId w:val="32"/>
  </w:num>
  <w:num w:numId="31" w16cid:durableId="1100225824">
    <w:abstractNumId w:val="19"/>
  </w:num>
  <w:num w:numId="32" w16cid:durableId="1148981633">
    <w:abstractNumId w:val="11"/>
  </w:num>
  <w:num w:numId="33" w16cid:durableId="121505943">
    <w:abstractNumId w:val="21"/>
  </w:num>
  <w:num w:numId="34" w16cid:durableId="912475328">
    <w:abstractNumId w:val="25"/>
  </w:num>
  <w:num w:numId="35" w16cid:durableId="787894799">
    <w:abstractNumId w:val="24"/>
  </w:num>
  <w:num w:numId="36" w16cid:durableId="1035159298">
    <w:abstractNumId w:val="28"/>
  </w:num>
  <w:num w:numId="37" w16cid:durableId="1456561430">
    <w:abstractNumId w:val="35"/>
  </w:num>
  <w:num w:numId="38" w16cid:durableId="10047417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oNotHyphenateCaps/>
  <w:drawingGridHorizontalSpacing w:val="100"/>
  <w:displayHorizontalDrawingGridEvery w:val="0"/>
  <w:displayVerticalDrawingGridEvery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A"/>
    <w:rsid w:val="00005945"/>
    <w:rsid w:val="00006CA8"/>
    <w:rsid w:val="0001745C"/>
    <w:rsid w:val="000372AF"/>
    <w:rsid w:val="000419AC"/>
    <w:rsid w:val="000F3B5E"/>
    <w:rsid w:val="00112733"/>
    <w:rsid w:val="001258C0"/>
    <w:rsid w:val="001336E2"/>
    <w:rsid w:val="00153828"/>
    <w:rsid w:val="0015482B"/>
    <w:rsid w:val="001825BC"/>
    <w:rsid w:val="00194023"/>
    <w:rsid w:val="001A2BBB"/>
    <w:rsid w:val="001B38AB"/>
    <w:rsid w:val="001B5B55"/>
    <w:rsid w:val="001D2693"/>
    <w:rsid w:val="001E4F01"/>
    <w:rsid w:val="001E6EBE"/>
    <w:rsid w:val="00202F74"/>
    <w:rsid w:val="00207F97"/>
    <w:rsid w:val="00215DE0"/>
    <w:rsid w:val="00235777"/>
    <w:rsid w:val="002433EF"/>
    <w:rsid w:val="002564AB"/>
    <w:rsid w:val="00261CC2"/>
    <w:rsid w:val="00276026"/>
    <w:rsid w:val="00276918"/>
    <w:rsid w:val="0028611F"/>
    <w:rsid w:val="002A0239"/>
    <w:rsid w:val="002B04CC"/>
    <w:rsid w:val="002C1F49"/>
    <w:rsid w:val="002E4108"/>
    <w:rsid w:val="00316C48"/>
    <w:rsid w:val="00334414"/>
    <w:rsid w:val="00360F55"/>
    <w:rsid w:val="003637B3"/>
    <w:rsid w:val="003A028F"/>
    <w:rsid w:val="003B401E"/>
    <w:rsid w:val="003B7662"/>
    <w:rsid w:val="003C0902"/>
    <w:rsid w:val="003D0B86"/>
    <w:rsid w:val="003E0847"/>
    <w:rsid w:val="003E3783"/>
    <w:rsid w:val="0041507F"/>
    <w:rsid w:val="00432891"/>
    <w:rsid w:val="00444296"/>
    <w:rsid w:val="004534B4"/>
    <w:rsid w:val="00453FCC"/>
    <w:rsid w:val="00454B6A"/>
    <w:rsid w:val="004758B8"/>
    <w:rsid w:val="004B4CB7"/>
    <w:rsid w:val="004F7597"/>
    <w:rsid w:val="00531BD7"/>
    <w:rsid w:val="00533AFC"/>
    <w:rsid w:val="00563B53"/>
    <w:rsid w:val="00566C33"/>
    <w:rsid w:val="00576085"/>
    <w:rsid w:val="00590E47"/>
    <w:rsid w:val="005910D2"/>
    <w:rsid w:val="005A08C4"/>
    <w:rsid w:val="005A4E87"/>
    <w:rsid w:val="005A6607"/>
    <w:rsid w:val="005B1A3B"/>
    <w:rsid w:val="005D02D3"/>
    <w:rsid w:val="005E60CF"/>
    <w:rsid w:val="005F453F"/>
    <w:rsid w:val="00610815"/>
    <w:rsid w:val="00632DCE"/>
    <w:rsid w:val="00652A85"/>
    <w:rsid w:val="00654AF1"/>
    <w:rsid w:val="00687016"/>
    <w:rsid w:val="006A1B01"/>
    <w:rsid w:val="006B54ED"/>
    <w:rsid w:val="006D7B0E"/>
    <w:rsid w:val="006F5079"/>
    <w:rsid w:val="00701B9B"/>
    <w:rsid w:val="0070246B"/>
    <w:rsid w:val="00704930"/>
    <w:rsid w:val="0071484F"/>
    <w:rsid w:val="007344D6"/>
    <w:rsid w:val="0073482C"/>
    <w:rsid w:val="00742BD0"/>
    <w:rsid w:val="00773F23"/>
    <w:rsid w:val="00775F4E"/>
    <w:rsid w:val="00790E36"/>
    <w:rsid w:val="007A094F"/>
    <w:rsid w:val="007B72CF"/>
    <w:rsid w:val="007D43AD"/>
    <w:rsid w:val="00806290"/>
    <w:rsid w:val="00843763"/>
    <w:rsid w:val="008860DC"/>
    <w:rsid w:val="008A6231"/>
    <w:rsid w:val="008C049B"/>
    <w:rsid w:val="008C0B2D"/>
    <w:rsid w:val="008C0CA6"/>
    <w:rsid w:val="008D1AB6"/>
    <w:rsid w:val="00923AB4"/>
    <w:rsid w:val="00962781"/>
    <w:rsid w:val="009702D0"/>
    <w:rsid w:val="00982519"/>
    <w:rsid w:val="00985B72"/>
    <w:rsid w:val="009A483E"/>
    <w:rsid w:val="009B6785"/>
    <w:rsid w:val="009D000D"/>
    <w:rsid w:val="009D3A65"/>
    <w:rsid w:val="009E20D1"/>
    <w:rsid w:val="009E5DE3"/>
    <w:rsid w:val="00A26FEB"/>
    <w:rsid w:val="00A91E13"/>
    <w:rsid w:val="00AB1AC1"/>
    <w:rsid w:val="00AB6050"/>
    <w:rsid w:val="00AD148F"/>
    <w:rsid w:val="00AD36FA"/>
    <w:rsid w:val="00AF05E9"/>
    <w:rsid w:val="00AF3FDA"/>
    <w:rsid w:val="00AF5082"/>
    <w:rsid w:val="00B25C6E"/>
    <w:rsid w:val="00B353FC"/>
    <w:rsid w:val="00B354E5"/>
    <w:rsid w:val="00B43FD7"/>
    <w:rsid w:val="00B72005"/>
    <w:rsid w:val="00BA30D2"/>
    <w:rsid w:val="00BB19BA"/>
    <w:rsid w:val="00BD73A2"/>
    <w:rsid w:val="00BE15FA"/>
    <w:rsid w:val="00BE2AC4"/>
    <w:rsid w:val="00C353E9"/>
    <w:rsid w:val="00C35614"/>
    <w:rsid w:val="00C602DC"/>
    <w:rsid w:val="00C7565F"/>
    <w:rsid w:val="00C871D7"/>
    <w:rsid w:val="00CB15A0"/>
    <w:rsid w:val="00CD4055"/>
    <w:rsid w:val="00CF4A93"/>
    <w:rsid w:val="00D116BB"/>
    <w:rsid w:val="00D152FA"/>
    <w:rsid w:val="00D17C8A"/>
    <w:rsid w:val="00D21DCD"/>
    <w:rsid w:val="00D224A5"/>
    <w:rsid w:val="00D22A03"/>
    <w:rsid w:val="00D2395B"/>
    <w:rsid w:val="00D31BC0"/>
    <w:rsid w:val="00D342FD"/>
    <w:rsid w:val="00D35817"/>
    <w:rsid w:val="00D3679A"/>
    <w:rsid w:val="00D43E54"/>
    <w:rsid w:val="00D548AB"/>
    <w:rsid w:val="00D57599"/>
    <w:rsid w:val="00D97F68"/>
    <w:rsid w:val="00DD58E8"/>
    <w:rsid w:val="00DF70CC"/>
    <w:rsid w:val="00E36C76"/>
    <w:rsid w:val="00E57B16"/>
    <w:rsid w:val="00E72C8B"/>
    <w:rsid w:val="00E85F62"/>
    <w:rsid w:val="00E900B5"/>
    <w:rsid w:val="00EB0954"/>
    <w:rsid w:val="00EF45E3"/>
    <w:rsid w:val="00EF4F96"/>
    <w:rsid w:val="00F01B64"/>
    <w:rsid w:val="00F077CB"/>
    <w:rsid w:val="00F3055E"/>
    <w:rsid w:val="00F7332C"/>
    <w:rsid w:val="00F7524E"/>
    <w:rsid w:val="00F77539"/>
    <w:rsid w:val="00F91595"/>
    <w:rsid w:val="00F97A4C"/>
    <w:rsid w:val="00FB39F9"/>
    <w:rsid w:val="00FD5A13"/>
    <w:rsid w:val="00FD78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133FCB"/>
  <w15:chartTrackingRefBased/>
  <w15:docId w15:val="{361A1F9A-4A82-4EA8-99B0-71DD3DAD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ind w:left="360"/>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1008"/>
        <w:tab w:val="center" w:pos="4680"/>
      </w:tabs>
      <w:spacing w:before="240"/>
      <w:jc w:val="center"/>
    </w:pPr>
    <w:rPr>
      <w:rFonts w:ascii="Courier" w:hAnsi="Courier"/>
      <w:b/>
      <w:sz w:val="24"/>
    </w:rPr>
  </w:style>
  <w:style w:type="paragraph" w:styleId="BodyText">
    <w:name w:val="Body Text"/>
    <w:basedOn w:val="Normal"/>
    <w:pPr>
      <w:widowControl w:val="0"/>
      <w:tabs>
        <w:tab w:val="left" w:pos="576"/>
      </w:tabs>
    </w:pPr>
    <w:rPr>
      <w:rFonts w:ascii="Courier New" w:hAnsi="Courier New"/>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before="240"/>
      <w:jc w:val="center"/>
    </w:pPr>
    <w:rPr>
      <w:rFonts w:ascii="Courier New" w:hAnsi="Courier New"/>
      <w:b/>
      <w:sz w:val="24"/>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paragraph" w:styleId="BodyText3">
    <w:name w:val="Body Text 3"/>
    <w:basedOn w:val="Normal"/>
    <w:pPr>
      <w:widowControl w:val="0"/>
      <w:tabs>
        <w:tab w:val="left" w:pos="576"/>
        <w:tab w:val="left" w:pos="720"/>
      </w:tabs>
    </w:pPr>
    <w:rPr>
      <w:b/>
      <w:bCs/>
      <w:sz w:val="24"/>
    </w:rPr>
  </w:style>
  <w:style w:type="paragraph" w:styleId="BalloonText">
    <w:name w:val="Balloon Text"/>
    <w:basedOn w:val="Normal"/>
    <w:semiHidden/>
    <w:rsid w:val="0015482B"/>
    <w:rPr>
      <w:rFonts w:ascii="Tahoma" w:hAnsi="Tahoma" w:cs="Tahoma"/>
      <w:sz w:val="16"/>
      <w:szCs w:val="16"/>
    </w:rPr>
  </w:style>
  <w:style w:type="paragraph" w:customStyle="1" w:styleId="p10">
    <w:name w:val="p10"/>
    <w:basedOn w:val="Normal"/>
    <w:rsid w:val="00AD36FA"/>
    <w:pPr>
      <w:widowControl w:val="0"/>
      <w:tabs>
        <w:tab w:val="left" w:pos="760"/>
      </w:tabs>
      <w:spacing w:line="240" w:lineRule="atLeast"/>
    </w:pPr>
    <w:rPr>
      <w:rFonts w:ascii="Times" w:hAnsi="Times"/>
      <w:sz w:val="24"/>
    </w:rPr>
  </w:style>
  <w:style w:type="character" w:styleId="CommentReference">
    <w:name w:val="annotation reference"/>
    <w:rsid w:val="006B54ED"/>
    <w:rPr>
      <w:sz w:val="16"/>
      <w:szCs w:val="16"/>
    </w:rPr>
  </w:style>
  <w:style w:type="paragraph" w:styleId="CommentText">
    <w:name w:val="annotation text"/>
    <w:basedOn w:val="Normal"/>
    <w:link w:val="CommentTextChar"/>
    <w:rsid w:val="006B54ED"/>
  </w:style>
  <w:style w:type="character" w:customStyle="1" w:styleId="CommentTextChar">
    <w:name w:val="Comment Text Char"/>
    <w:basedOn w:val="DefaultParagraphFont"/>
    <w:link w:val="CommentText"/>
    <w:rsid w:val="006B54ED"/>
  </w:style>
  <w:style w:type="paragraph" w:styleId="CommentSubject">
    <w:name w:val="annotation subject"/>
    <w:basedOn w:val="CommentText"/>
    <w:next w:val="CommentText"/>
    <w:link w:val="CommentSubjectChar"/>
    <w:rsid w:val="006B54ED"/>
    <w:rPr>
      <w:b/>
      <w:bCs/>
      <w:lang w:val="x-none" w:eastAsia="x-none"/>
    </w:rPr>
  </w:style>
  <w:style w:type="character" w:customStyle="1" w:styleId="CommentSubjectChar">
    <w:name w:val="Comment Subject Char"/>
    <w:link w:val="CommentSubject"/>
    <w:rsid w:val="006B54ED"/>
    <w:rPr>
      <w:b/>
      <w:bCs/>
    </w:rPr>
  </w:style>
  <w:style w:type="character" w:styleId="FollowedHyperlink">
    <w:name w:val="FollowedHyperlink"/>
    <w:basedOn w:val="DefaultParagraphFont"/>
    <w:rsid w:val="00D97F68"/>
    <w:rPr>
      <w:color w:val="954F72" w:themeColor="followedHyperlink"/>
      <w:u w:val="single"/>
    </w:rPr>
  </w:style>
  <w:style w:type="character" w:customStyle="1" w:styleId="FootnoteTextChar">
    <w:name w:val="Footnote Text Char"/>
    <w:basedOn w:val="DefaultParagraphFont"/>
    <w:link w:val="FootnoteText"/>
    <w:rsid w:val="007344D6"/>
  </w:style>
  <w:style w:type="paragraph" w:styleId="Revision">
    <w:name w:val="Revision"/>
    <w:hidden/>
    <w:uiPriority w:val="99"/>
    <w:semiHidden/>
    <w:rsid w:val="003E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6NRRV4S2CX6Q-769511253-174803</_dlc_DocId>
    <_dlc_DocIdUrl xmlns="7ea9c0cb-aa7e-47c6-8965-59e0e5c30e95">
      <Url>https://uscg.sharepoint-mil.us/sites/PWA-DCO-5P/_layouts/15/DocIdRedir.aspx?ID=6NRRV4S2CX6Q-769511253-174803</Url>
      <Description>6NRRV4S2CX6Q-769511253-174803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B2B5C-66C2-4AF3-AD03-D73444C63CC0}">
  <ds:schemaRefs>
    <ds:schemaRef ds:uri="http://schemas.openxmlformats.org/officeDocument/2006/bibliography"/>
  </ds:schemaRefs>
</ds:datastoreItem>
</file>

<file path=customXml/itemProps2.xml><?xml version="1.0" encoding="utf-8"?>
<ds:datastoreItem xmlns:ds="http://schemas.openxmlformats.org/officeDocument/2006/customXml" ds:itemID="{910A5FE1-3002-4C8E-A801-1DD0AE7BD091}">
  <ds:schemaRefs>
    <ds:schemaRef ds:uri="http://schemas.microsoft.com/sharepoint/events"/>
  </ds:schemaRefs>
</ds:datastoreItem>
</file>

<file path=customXml/itemProps3.xml><?xml version="1.0" encoding="utf-8"?>
<ds:datastoreItem xmlns:ds="http://schemas.openxmlformats.org/officeDocument/2006/customXml" ds:itemID="{F17E45E9-7C6F-4795-B252-7916ECD55754}">
  <ds:schemaRefs>
    <ds:schemaRef ds:uri="http://schemas.microsoft.com/sharepoint/v3/contenttype/forms"/>
  </ds:schemaRefs>
</ds:datastoreItem>
</file>

<file path=customXml/itemProps4.xml><?xml version="1.0" encoding="utf-8"?>
<ds:datastoreItem xmlns:ds="http://schemas.openxmlformats.org/officeDocument/2006/customXml" ds:itemID="{8F6D62F7-15F7-49BB-95F7-52F146868F4B}">
  <ds:schemaRefs>
    <ds:schemaRef ds:uri="http://purl.org/dc/terms/"/>
    <ds:schemaRef ds:uri="7ea9c0cb-aa7e-47c6-8965-59e0e5c30e95"/>
    <ds:schemaRef ds:uri="e3984892-263f-4997-b8fa-c1f0a284e313"/>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98D85798-EEC0-480E-9E6D-941F365B2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2</cp:revision>
  <cp:lastPrinted>2015-12-15T13:42:00Z</cp:lastPrinted>
  <dcterms:created xsi:type="dcterms:W3CDTF">2025-03-14T13:20:00Z</dcterms:created>
  <dcterms:modified xsi:type="dcterms:W3CDTF">2025-03-14T13:20:00Z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1db71f96-679b-4bc3-a4d8-faf3958fc531</vt:lpwstr>
  </property>
</Properties>
</file>