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F5DA9" w:rsidRPr="002F3B39" w:rsidP="002F3B39" w14:paraId="6E68BED4" w14:textId="74BA2B94">
      <w:pPr>
        <w:spacing w:after="0"/>
        <w:rPr>
          <w:rFonts w:ascii="Times New Roman" w:hAnsi="Times New Roman" w:cs="Times New Roman"/>
          <w:b/>
          <w:bCs/>
          <w:sz w:val="24"/>
          <w:szCs w:val="24"/>
        </w:rPr>
      </w:pPr>
      <w:r w:rsidRPr="002F3B39">
        <w:rPr>
          <w:rFonts w:ascii="Times New Roman" w:hAnsi="Times New Roman" w:cs="Times New Roman"/>
          <w:b/>
          <w:bCs/>
          <w:sz w:val="24"/>
          <w:szCs w:val="24"/>
        </w:rPr>
        <w:t>Borrower Defense to Repayment Application</w:t>
      </w:r>
    </w:p>
    <w:p w:rsidR="00650E60" w:rsidRPr="002F3B39" w:rsidP="002F3B39" w14:paraId="5B6A0516" w14:textId="09A2FA9A">
      <w:pPr>
        <w:spacing w:after="0"/>
        <w:rPr>
          <w:rFonts w:ascii="Times New Roman" w:hAnsi="Times New Roman" w:cs="Times New Roman"/>
          <w:b/>
          <w:bCs/>
          <w:sz w:val="24"/>
          <w:szCs w:val="24"/>
        </w:rPr>
      </w:pPr>
      <w:r w:rsidRPr="002F3B39">
        <w:rPr>
          <w:rFonts w:ascii="Times New Roman" w:hAnsi="Times New Roman" w:cs="Times New Roman"/>
          <w:b/>
          <w:bCs/>
          <w:sz w:val="24"/>
          <w:szCs w:val="24"/>
        </w:rPr>
        <w:t xml:space="preserve">Response to Comments from </w:t>
      </w:r>
      <w:r w:rsidRPr="002F3B39" w:rsidR="00653CA8">
        <w:rPr>
          <w:rFonts w:ascii="Times New Roman" w:hAnsi="Times New Roman" w:cs="Times New Roman"/>
          <w:b/>
          <w:bCs/>
          <w:sz w:val="24"/>
          <w:szCs w:val="24"/>
        </w:rPr>
        <w:t>Vol. 90. No. 8, page 3194</w:t>
      </w:r>
    </w:p>
    <w:p w:rsidR="002F3B39" w:rsidRPr="002F3B39" w:rsidP="002F3B39" w14:paraId="72C8DD3B" w14:textId="77777777">
      <w:pPr>
        <w:spacing w:after="0"/>
        <w:rPr>
          <w:rFonts w:ascii="Times New Roman" w:hAnsi="Times New Roman" w:cs="Times New Roman"/>
          <w:sz w:val="24"/>
          <w:szCs w:val="24"/>
        </w:rPr>
      </w:pPr>
    </w:p>
    <w:tbl>
      <w:tblPr>
        <w:tblStyle w:val="TableGrid"/>
        <w:tblW w:w="10080" w:type="dxa"/>
        <w:tblInd w:w="-455" w:type="dxa"/>
        <w:tblLook w:val="04A0"/>
      </w:tblPr>
      <w:tblGrid>
        <w:gridCol w:w="1305"/>
        <w:gridCol w:w="2790"/>
        <w:gridCol w:w="4257"/>
        <w:gridCol w:w="1728"/>
      </w:tblGrid>
      <w:tr w14:paraId="771FA4D4" w14:textId="77777777" w:rsidTr="001316D1">
        <w:tblPrEx>
          <w:tblW w:w="10080" w:type="dxa"/>
          <w:tblInd w:w="-455" w:type="dxa"/>
          <w:tblLook w:val="04A0"/>
        </w:tblPrEx>
        <w:tc>
          <w:tcPr>
            <w:tcW w:w="1305" w:type="dxa"/>
          </w:tcPr>
          <w:p w:rsidR="00653CA8" w:rsidRPr="002F3B39" w14:paraId="02D16539" w14:textId="66109238">
            <w:pPr>
              <w:rPr>
                <w:rFonts w:ascii="Times New Roman" w:hAnsi="Times New Roman" w:cs="Times New Roman"/>
                <w:b/>
                <w:bCs/>
                <w:sz w:val="24"/>
                <w:szCs w:val="24"/>
              </w:rPr>
            </w:pPr>
            <w:r w:rsidRPr="002F3B39">
              <w:rPr>
                <w:rFonts w:ascii="Times New Roman" w:hAnsi="Times New Roman" w:cs="Times New Roman"/>
                <w:b/>
                <w:bCs/>
                <w:sz w:val="24"/>
                <w:szCs w:val="24"/>
              </w:rPr>
              <w:t>Comment Number</w:t>
            </w:r>
          </w:p>
        </w:tc>
        <w:tc>
          <w:tcPr>
            <w:tcW w:w="2790" w:type="dxa"/>
          </w:tcPr>
          <w:p w:rsidR="00653CA8" w:rsidRPr="002F3B39" w14:paraId="3624FFD1" w14:textId="61A8BA15">
            <w:pPr>
              <w:rPr>
                <w:rFonts w:ascii="Times New Roman" w:hAnsi="Times New Roman" w:cs="Times New Roman"/>
                <w:b/>
                <w:bCs/>
                <w:sz w:val="24"/>
                <w:szCs w:val="24"/>
              </w:rPr>
            </w:pPr>
            <w:r w:rsidRPr="002F3B39">
              <w:rPr>
                <w:rFonts w:ascii="Times New Roman" w:hAnsi="Times New Roman" w:cs="Times New Roman"/>
                <w:b/>
                <w:bCs/>
                <w:sz w:val="24"/>
                <w:szCs w:val="24"/>
              </w:rPr>
              <w:t>Name of Commenter</w:t>
            </w:r>
          </w:p>
        </w:tc>
        <w:tc>
          <w:tcPr>
            <w:tcW w:w="4257" w:type="dxa"/>
          </w:tcPr>
          <w:p w:rsidR="00653CA8" w:rsidRPr="002F3B39" w14:paraId="4476D30A" w14:textId="0DDC1389">
            <w:pPr>
              <w:rPr>
                <w:rFonts w:ascii="Times New Roman" w:hAnsi="Times New Roman" w:cs="Times New Roman"/>
                <w:b/>
                <w:bCs/>
                <w:sz w:val="24"/>
                <w:szCs w:val="24"/>
              </w:rPr>
            </w:pPr>
            <w:r w:rsidRPr="002F3B39">
              <w:rPr>
                <w:rFonts w:ascii="Times New Roman" w:hAnsi="Times New Roman" w:cs="Times New Roman"/>
                <w:b/>
                <w:bCs/>
                <w:sz w:val="24"/>
                <w:szCs w:val="24"/>
              </w:rPr>
              <w:t>Excerpt of Comment</w:t>
            </w:r>
          </w:p>
        </w:tc>
        <w:tc>
          <w:tcPr>
            <w:tcW w:w="1728" w:type="dxa"/>
          </w:tcPr>
          <w:p w:rsidR="00653CA8" w:rsidRPr="002F3B39" w14:paraId="1D8AF682" w14:textId="01273A7A">
            <w:pPr>
              <w:rPr>
                <w:rFonts w:ascii="Times New Roman" w:hAnsi="Times New Roman" w:cs="Times New Roman"/>
                <w:b/>
                <w:bCs/>
                <w:sz w:val="24"/>
                <w:szCs w:val="24"/>
              </w:rPr>
            </w:pPr>
            <w:r w:rsidRPr="002F3B39">
              <w:rPr>
                <w:rFonts w:ascii="Times New Roman" w:hAnsi="Times New Roman" w:cs="Times New Roman"/>
                <w:b/>
                <w:bCs/>
                <w:sz w:val="24"/>
                <w:szCs w:val="24"/>
              </w:rPr>
              <w:t>Department Response</w:t>
            </w:r>
          </w:p>
        </w:tc>
      </w:tr>
      <w:tr w14:paraId="37DD8F85" w14:textId="77777777" w:rsidTr="001316D1">
        <w:tblPrEx>
          <w:tblW w:w="10080" w:type="dxa"/>
          <w:tblInd w:w="-455" w:type="dxa"/>
          <w:tblLook w:val="04A0"/>
        </w:tblPrEx>
        <w:tc>
          <w:tcPr>
            <w:tcW w:w="1305" w:type="dxa"/>
          </w:tcPr>
          <w:p w:rsidR="00653CA8" w:rsidRPr="00B6005F" w14:paraId="14033D6C" w14:textId="2A758240">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ED-2025-SCC-0002-0005</w:t>
            </w:r>
          </w:p>
        </w:tc>
        <w:tc>
          <w:tcPr>
            <w:tcW w:w="2790" w:type="dxa"/>
          </w:tcPr>
          <w:p w:rsidR="00653CA8" w:rsidRPr="00B6005F" w14:paraId="5B581AFF" w14:textId="117DA56D">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Veterans Education Success</w:t>
            </w:r>
          </w:p>
        </w:tc>
        <w:tc>
          <w:tcPr>
            <w:tcW w:w="4257" w:type="dxa"/>
          </w:tcPr>
          <w:p w:rsidR="00653CA8" w:rsidRPr="00B6005F" w14:paraId="5E107C68" w14:textId="21873FE7">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“The instructions at the beginning of the section (3) would strongly benefit from including an explicit acknowledgement that not all of the categories need to be completed in order to have a complete application.”</w:t>
            </w:r>
          </w:p>
        </w:tc>
        <w:tc>
          <w:tcPr>
            <w:tcW w:w="1728" w:type="dxa"/>
          </w:tcPr>
          <w:p w:rsidR="00653CA8" w:rsidRPr="00B6005F" w14:paraId="39817E78" w14:textId="44FF4B81">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The Department appreciates this comment however the Department believes the instructions are clear that not all categories need to be completed. In addition, over 90% of the applications are filled out on the online form which is a dynamic tool that only displays the selections the borrower has indicated are relevant to the borrower.</w:t>
            </w:r>
          </w:p>
        </w:tc>
      </w:tr>
      <w:tr w14:paraId="67267E0C" w14:textId="77777777" w:rsidTr="001316D1">
        <w:tblPrEx>
          <w:tblW w:w="10080" w:type="dxa"/>
          <w:tblInd w:w="-455" w:type="dxa"/>
          <w:tblLook w:val="04A0"/>
        </w:tblPrEx>
        <w:tc>
          <w:tcPr>
            <w:tcW w:w="1305" w:type="dxa"/>
          </w:tcPr>
          <w:p w:rsidR="00E40144" w:rsidRPr="00B6005F" w14:paraId="0870F890" w14:textId="081B5D41">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ED-2025-SCC-0002-0005</w:t>
            </w:r>
          </w:p>
        </w:tc>
        <w:tc>
          <w:tcPr>
            <w:tcW w:w="2790" w:type="dxa"/>
          </w:tcPr>
          <w:p w:rsidR="00E40144" w:rsidRPr="00B6005F" w14:paraId="70FC72D1" w14:textId="15E59657">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Veterans Education Success</w:t>
            </w:r>
          </w:p>
        </w:tc>
        <w:tc>
          <w:tcPr>
            <w:tcW w:w="4257" w:type="dxa"/>
          </w:tcPr>
          <w:p w:rsidR="00E40144" w:rsidRPr="00B6005F" w14:paraId="1FCDB935" w14:textId="2B7E6DDF">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w:t>
            </w:r>
            <w:r w:rsidRPr="00B6005F" w:rsidR="00030202">
              <w:rPr>
                <w:rFonts w:ascii="Times New Roman" w:hAnsi="Times New Roman" w:cs="Times New Roman"/>
                <w:color w:val="000000" w:themeColor="text1"/>
                <w:sz w:val="24"/>
                <w:szCs w:val="24"/>
              </w:rPr>
              <w:t>We also think that the categories should be numbered or otherwise divided (such as with letters or Roman numerals) on the PDF form in order to clearly distinguish each category as set off from the others</w:t>
            </w:r>
            <w:r w:rsidRPr="00B6005F">
              <w:rPr>
                <w:rFonts w:ascii="Times New Roman" w:hAnsi="Times New Roman" w:cs="Times New Roman"/>
                <w:color w:val="000000" w:themeColor="text1"/>
                <w:sz w:val="24"/>
                <w:szCs w:val="24"/>
              </w:rPr>
              <w:t>.”</w:t>
            </w:r>
          </w:p>
        </w:tc>
        <w:tc>
          <w:tcPr>
            <w:tcW w:w="1728" w:type="dxa"/>
          </w:tcPr>
          <w:p w:rsidR="00E40144" w:rsidRPr="00B6005F" w14:paraId="3246F4B4" w14:textId="10D8789D">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 xml:space="preserve">The Department appreciates this comment. However, the Department does not think this edit will clarify the application because the sections are broken out with headers. Also, </w:t>
            </w:r>
            <w:r w:rsidRPr="00B6005F">
              <w:rPr>
                <w:rFonts w:ascii="Times New Roman" w:hAnsi="Times New Roman" w:cs="Times New Roman"/>
                <w:color w:val="000000" w:themeColor="text1"/>
                <w:sz w:val="24"/>
                <w:szCs w:val="24"/>
              </w:rPr>
              <w:t xml:space="preserve">the </w:t>
            </w:r>
            <w:r w:rsidRPr="00B6005F">
              <w:rPr>
                <w:rFonts w:ascii="Times New Roman" w:hAnsi="Times New Roman" w:cs="Times New Roman"/>
                <w:color w:val="000000" w:themeColor="text1"/>
                <w:sz w:val="24"/>
                <w:szCs w:val="24"/>
              </w:rPr>
              <w:t>majority of</w:t>
            </w:r>
            <w:r w:rsidRPr="00B6005F">
              <w:rPr>
                <w:rFonts w:ascii="Times New Roman" w:hAnsi="Times New Roman" w:cs="Times New Roman"/>
                <w:color w:val="000000" w:themeColor="text1"/>
                <w:sz w:val="24"/>
                <w:szCs w:val="24"/>
              </w:rPr>
              <w:t xml:space="preserve"> borrowers fill out the dynamic online application. Sequential headers are not appropriate on the online application.</w:t>
            </w:r>
          </w:p>
        </w:tc>
      </w:tr>
      <w:tr w14:paraId="309BB084" w14:textId="77777777" w:rsidTr="001316D1">
        <w:tblPrEx>
          <w:tblW w:w="10080" w:type="dxa"/>
          <w:tblInd w:w="-455" w:type="dxa"/>
          <w:tblLook w:val="04A0"/>
        </w:tblPrEx>
        <w:tc>
          <w:tcPr>
            <w:tcW w:w="1305" w:type="dxa"/>
          </w:tcPr>
          <w:p w:rsidR="00653CA8" w:rsidRPr="00B6005F" w14:paraId="49D7B78F" w14:textId="59491FB6">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ED-2025-SCC-0002-0005</w:t>
            </w:r>
          </w:p>
        </w:tc>
        <w:tc>
          <w:tcPr>
            <w:tcW w:w="2790" w:type="dxa"/>
          </w:tcPr>
          <w:p w:rsidR="00653CA8" w:rsidRPr="00B6005F" w14:paraId="73A9C568" w14:textId="029676DA">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Veterans Education Success</w:t>
            </w:r>
          </w:p>
        </w:tc>
        <w:tc>
          <w:tcPr>
            <w:tcW w:w="4257" w:type="dxa"/>
          </w:tcPr>
          <w:p w:rsidR="00653CA8" w:rsidRPr="00B6005F" w14:paraId="53072C87" w14:textId="0CFC2179">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“The Department could consider stating more directly how the information in this section (Sec. 4) may be different from or in addition to the information already provided in Section 3, as that is not readily apparent with the current instructions.”</w:t>
            </w:r>
          </w:p>
        </w:tc>
        <w:tc>
          <w:tcPr>
            <w:tcW w:w="1728" w:type="dxa"/>
          </w:tcPr>
          <w:p w:rsidR="00653CA8" w:rsidRPr="00B6005F" w14:paraId="554419B9" w14:textId="599124A9">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The Department appreciates this comment. However, the Department believes the instructions are clear that the harm questions in section three pertain to the checked allegations. The section 4 harm section relates to overall harm.</w:t>
            </w:r>
          </w:p>
        </w:tc>
      </w:tr>
      <w:tr w14:paraId="662AE08A" w14:textId="77777777" w:rsidTr="001316D1">
        <w:tblPrEx>
          <w:tblW w:w="10080" w:type="dxa"/>
          <w:tblInd w:w="-455" w:type="dxa"/>
          <w:tblLook w:val="04A0"/>
        </w:tblPrEx>
        <w:tc>
          <w:tcPr>
            <w:tcW w:w="1305" w:type="dxa"/>
          </w:tcPr>
          <w:p w:rsidR="00653CA8" w:rsidRPr="00B6005F" w14:paraId="5FCF776A" w14:textId="623FA9C6">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ED-2025-SCC-0002-0005</w:t>
            </w:r>
          </w:p>
        </w:tc>
        <w:tc>
          <w:tcPr>
            <w:tcW w:w="2790" w:type="dxa"/>
          </w:tcPr>
          <w:p w:rsidR="00653CA8" w:rsidRPr="00B6005F" w14:paraId="352517F1" w14:textId="16F89DEC">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Veterans Education Success</w:t>
            </w:r>
          </w:p>
        </w:tc>
        <w:tc>
          <w:tcPr>
            <w:tcW w:w="4257" w:type="dxa"/>
          </w:tcPr>
          <w:p w:rsidR="00653CA8" w:rsidRPr="00B6005F" w14:paraId="6B144ABF" w14:textId="6E0C2608">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“Borrowers should be able to save their work and come back to it later (when filling out online)”</w:t>
            </w:r>
          </w:p>
        </w:tc>
        <w:tc>
          <w:tcPr>
            <w:tcW w:w="1728" w:type="dxa"/>
          </w:tcPr>
          <w:p w:rsidR="00653CA8" w:rsidRPr="00B6005F" w14:paraId="04846532" w14:textId="13753A16">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The Department appreciates this comment. This capability will be implemented.</w:t>
            </w:r>
          </w:p>
        </w:tc>
      </w:tr>
      <w:tr w14:paraId="35C8E587" w14:textId="77777777" w:rsidTr="001316D1">
        <w:tblPrEx>
          <w:tblW w:w="10080" w:type="dxa"/>
          <w:tblInd w:w="-455" w:type="dxa"/>
          <w:tblLook w:val="04A0"/>
        </w:tblPrEx>
        <w:tc>
          <w:tcPr>
            <w:tcW w:w="1305" w:type="dxa"/>
          </w:tcPr>
          <w:p w:rsidR="00653CA8" w:rsidRPr="00B6005F" w14:paraId="15F502E0" w14:textId="72B2EC63">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ED-2025-SCC-0002-0005</w:t>
            </w:r>
          </w:p>
        </w:tc>
        <w:tc>
          <w:tcPr>
            <w:tcW w:w="2790" w:type="dxa"/>
          </w:tcPr>
          <w:p w:rsidR="00653CA8" w:rsidRPr="00B6005F" w14:paraId="737BFEB3" w14:textId="739BE1FB">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Veterans Education Success</w:t>
            </w:r>
          </w:p>
        </w:tc>
        <w:tc>
          <w:tcPr>
            <w:tcW w:w="4257" w:type="dxa"/>
          </w:tcPr>
          <w:p w:rsidR="00653CA8" w:rsidRPr="00B6005F" w14:paraId="76E7031F" w14:textId="5D748A53">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“All of the questions on the Borrower Defense to Repayment form should appear on both the online version and the PDF version, in the same order.”</w:t>
            </w:r>
          </w:p>
        </w:tc>
        <w:tc>
          <w:tcPr>
            <w:tcW w:w="1728" w:type="dxa"/>
          </w:tcPr>
          <w:p w:rsidR="00653CA8" w:rsidRPr="00B6005F" w14:paraId="176FC442" w14:textId="1A465CB8">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 xml:space="preserve">The Department appreciates this comment. The pdf application and the online system are the same questions and general order. However, the </w:t>
            </w:r>
            <w:r w:rsidRPr="00B6005F">
              <w:rPr>
                <w:rFonts w:ascii="Times New Roman" w:hAnsi="Times New Roman" w:cs="Times New Roman"/>
                <w:color w:val="000000" w:themeColor="text1"/>
                <w:sz w:val="24"/>
                <w:szCs w:val="24"/>
              </w:rPr>
              <w:t>online application includes additional tool tips and aid boxes. Also, borrowers who fill out the online form only see the sections that they indicate are relevant to them.</w:t>
            </w:r>
          </w:p>
        </w:tc>
      </w:tr>
      <w:tr w14:paraId="677F5B3E" w14:textId="77777777" w:rsidTr="001316D1">
        <w:tblPrEx>
          <w:tblW w:w="10080" w:type="dxa"/>
          <w:tblInd w:w="-455" w:type="dxa"/>
          <w:tblLook w:val="04A0"/>
        </w:tblPrEx>
        <w:tc>
          <w:tcPr>
            <w:tcW w:w="1305" w:type="dxa"/>
          </w:tcPr>
          <w:p w:rsidR="00D90A68" w:rsidRPr="00B6005F" w14:paraId="70A537C2" w14:textId="08655D97">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ED-2025-SCC-0002-0005</w:t>
            </w:r>
          </w:p>
        </w:tc>
        <w:tc>
          <w:tcPr>
            <w:tcW w:w="2790" w:type="dxa"/>
          </w:tcPr>
          <w:p w:rsidR="00D90A68" w:rsidRPr="00B6005F" w:rsidP="00653CA8" w14:paraId="0D59049E" w14:textId="6B2FD9F4">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Veterans Education Success</w:t>
            </w:r>
          </w:p>
        </w:tc>
        <w:tc>
          <w:tcPr>
            <w:tcW w:w="4257" w:type="dxa"/>
          </w:tcPr>
          <w:p w:rsidR="00D90A68" w:rsidRPr="00B6005F" w:rsidP="00653CA8" w14:paraId="2B12CDAF" w14:textId="3B39ABB8">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 xml:space="preserve">The online form should allow borrowers to see a preview of </w:t>
            </w:r>
            <w:r w:rsidRPr="00B6005F">
              <w:rPr>
                <w:rFonts w:ascii="Times New Roman" w:hAnsi="Times New Roman" w:cs="Times New Roman"/>
                <w:color w:val="000000" w:themeColor="text1"/>
                <w:sz w:val="24"/>
                <w:szCs w:val="24"/>
              </w:rPr>
              <w:t>all of</w:t>
            </w:r>
            <w:r w:rsidRPr="00B6005F">
              <w:rPr>
                <w:rFonts w:ascii="Times New Roman" w:hAnsi="Times New Roman" w:cs="Times New Roman"/>
                <w:color w:val="000000" w:themeColor="text1"/>
                <w:sz w:val="24"/>
                <w:szCs w:val="24"/>
              </w:rPr>
              <w:t xml:space="preserve"> the questions on the online form or point borrowers to the PDF version of the form for review in advance of filling out the application.</w:t>
            </w:r>
          </w:p>
        </w:tc>
        <w:tc>
          <w:tcPr>
            <w:tcW w:w="1728" w:type="dxa"/>
          </w:tcPr>
          <w:p w:rsidR="00D90A68" w:rsidRPr="00B6005F" w14:paraId="0B697377" w14:textId="40F3EEF5">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 xml:space="preserve">The Department appreciates this comment. If borrowers want to preview the </w:t>
            </w:r>
            <w:r w:rsidRPr="00B6005F">
              <w:rPr>
                <w:rFonts w:ascii="Times New Roman" w:hAnsi="Times New Roman" w:cs="Times New Roman"/>
                <w:color w:val="000000" w:themeColor="text1"/>
                <w:sz w:val="24"/>
                <w:szCs w:val="24"/>
              </w:rPr>
              <w:t>application</w:t>
            </w:r>
            <w:r w:rsidRPr="00B6005F">
              <w:rPr>
                <w:rFonts w:ascii="Times New Roman" w:hAnsi="Times New Roman" w:cs="Times New Roman"/>
                <w:color w:val="000000" w:themeColor="text1"/>
                <w:sz w:val="24"/>
                <w:szCs w:val="24"/>
              </w:rPr>
              <w:t xml:space="preserve"> they can download the pdf. The guidance states to read the pdf prior to filling out the application.</w:t>
            </w:r>
          </w:p>
        </w:tc>
      </w:tr>
      <w:tr w14:paraId="33CADCBA" w14:textId="77777777" w:rsidTr="001316D1">
        <w:tblPrEx>
          <w:tblW w:w="10080" w:type="dxa"/>
          <w:tblInd w:w="-455" w:type="dxa"/>
          <w:tblLook w:val="04A0"/>
        </w:tblPrEx>
        <w:tc>
          <w:tcPr>
            <w:tcW w:w="1305" w:type="dxa"/>
          </w:tcPr>
          <w:p w:rsidR="00653CA8" w:rsidRPr="00B6005F" w14:paraId="771A45CE" w14:textId="3F9D9F72">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ED-2025-SCC-0002-0006</w:t>
            </w:r>
          </w:p>
        </w:tc>
        <w:tc>
          <w:tcPr>
            <w:tcW w:w="2790" w:type="dxa"/>
          </w:tcPr>
          <w:p w:rsidR="00653CA8" w:rsidRPr="00B6005F" w:rsidP="00653CA8" w14:paraId="45F4E0E7" w14:textId="3730CF64">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Anonymous 1</w:t>
            </w:r>
          </w:p>
        </w:tc>
        <w:tc>
          <w:tcPr>
            <w:tcW w:w="4257" w:type="dxa"/>
          </w:tcPr>
          <w:p w:rsidR="00653CA8" w:rsidRPr="00B6005F" w:rsidP="00653CA8" w14:paraId="5E64DB80" w14:textId="0F4CC808">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 xml:space="preserve">“The form fails to define “parent PLUS borrower”, “materially complete”, and “enough harm”, rendering the subsequent text </w:t>
            </w:r>
            <w:r w:rsidRPr="00B6005F">
              <w:rPr>
                <w:rFonts w:ascii="Times New Roman" w:hAnsi="Times New Roman" w:cs="Times New Roman"/>
                <w:color w:val="000000" w:themeColor="text1"/>
                <w:sz w:val="24"/>
                <w:szCs w:val="24"/>
              </w:rPr>
              <w:t>unpurposed</w:t>
            </w:r>
            <w:r w:rsidRPr="00B6005F">
              <w:rPr>
                <w:rFonts w:ascii="Times New Roman" w:hAnsi="Times New Roman" w:cs="Times New Roman"/>
                <w:color w:val="000000" w:themeColor="text1"/>
                <w:sz w:val="24"/>
                <w:szCs w:val="24"/>
              </w:rPr>
              <w:t xml:space="preserve"> and deficient for public comment.”</w:t>
            </w:r>
          </w:p>
        </w:tc>
        <w:tc>
          <w:tcPr>
            <w:tcW w:w="1728" w:type="dxa"/>
          </w:tcPr>
          <w:p w:rsidR="00653CA8" w:rsidRPr="00B6005F" w14:paraId="5E45B8AE" w14:textId="063983F7">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The Department appreciates this comment. The only term that is on the updated application is Parent Plus borrower. The definition for Parent Plus loans is on studentaid.gov.</w:t>
            </w:r>
          </w:p>
        </w:tc>
      </w:tr>
      <w:tr w14:paraId="2139E2DC" w14:textId="77777777" w:rsidTr="001316D1">
        <w:tblPrEx>
          <w:tblW w:w="10080" w:type="dxa"/>
          <w:tblInd w:w="-455" w:type="dxa"/>
          <w:tblLook w:val="04A0"/>
        </w:tblPrEx>
        <w:trPr>
          <w:trHeight w:val="2400"/>
        </w:trPr>
        <w:tc>
          <w:tcPr>
            <w:tcW w:w="1305" w:type="dxa"/>
            <w:hideMark/>
          </w:tcPr>
          <w:p w:rsidR="00EF090D" w:rsidRPr="00EF090D" w:rsidP="00EF090D" w14:paraId="1DDCE4A5" w14:textId="77777777">
            <w:pPr>
              <w:rPr>
                <w:rFonts w:ascii="Times New Roman" w:eastAsia="Times New Roman" w:hAnsi="Times New Roman" w:cs="Times New Roman"/>
                <w:color w:val="000000" w:themeColor="text1"/>
                <w:sz w:val="24"/>
                <w:szCs w:val="24"/>
              </w:rPr>
            </w:pPr>
            <w:r w:rsidRPr="00EF090D">
              <w:rPr>
                <w:rFonts w:ascii="Times New Roman" w:eastAsia="Times New Roman" w:hAnsi="Times New Roman" w:cs="Times New Roman"/>
                <w:color w:val="000000" w:themeColor="text1"/>
                <w:sz w:val="24"/>
                <w:szCs w:val="24"/>
              </w:rPr>
              <w:t>ED-2025-SCC-0002-0006</w:t>
            </w:r>
          </w:p>
        </w:tc>
        <w:tc>
          <w:tcPr>
            <w:tcW w:w="2790" w:type="dxa"/>
            <w:hideMark/>
          </w:tcPr>
          <w:p w:rsidR="00EF090D" w:rsidRPr="00EF090D" w:rsidP="00EF090D" w14:paraId="3E3C562C" w14:textId="77777777">
            <w:pPr>
              <w:rPr>
                <w:rFonts w:ascii="Times New Roman" w:eastAsia="Times New Roman" w:hAnsi="Times New Roman" w:cs="Times New Roman"/>
                <w:color w:val="000000" w:themeColor="text1"/>
                <w:sz w:val="24"/>
                <w:szCs w:val="24"/>
              </w:rPr>
            </w:pPr>
            <w:r w:rsidRPr="00EF090D">
              <w:rPr>
                <w:rFonts w:ascii="Times New Roman" w:eastAsia="Times New Roman" w:hAnsi="Times New Roman" w:cs="Times New Roman"/>
                <w:color w:val="000000" w:themeColor="text1"/>
                <w:sz w:val="24"/>
                <w:szCs w:val="24"/>
              </w:rPr>
              <w:t>Anonymous 1</w:t>
            </w:r>
          </w:p>
        </w:tc>
        <w:tc>
          <w:tcPr>
            <w:tcW w:w="4257" w:type="dxa"/>
            <w:hideMark/>
          </w:tcPr>
          <w:p w:rsidR="00EF090D" w:rsidRPr="00EF090D" w:rsidP="00EF090D" w14:paraId="2BC2B3B9" w14:textId="457B2DD6">
            <w:pPr>
              <w:rPr>
                <w:rFonts w:ascii="Times New Roman" w:eastAsia="Times New Roman" w:hAnsi="Times New Roman" w:cs="Times New Roman"/>
                <w:color w:val="000000" w:themeColor="text1"/>
                <w:sz w:val="24"/>
                <w:szCs w:val="24"/>
              </w:rPr>
            </w:pPr>
            <w:r w:rsidRPr="00B6005F">
              <w:rPr>
                <w:rFonts w:ascii="Times New Roman" w:eastAsia="Times New Roman" w:hAnsi="Times New Roman" w:cs="Times New Roman"/>
                <w:color w:val="000000" w:themeColor="text1"/>
                <w:sz w:val="24"/>
                <w:szCs w:val="24"/>
              </w:rPr>
              <w:t>“</w:t>
            </w:r>
            <w:r w:rsidRPr="00EF090D">
              <w:rPr>
                <w:rFonts w:ascii="Times New Roman" w:eastAsia="Times New Roman" w:hAnsi="Times New Roman" w:cs="Times New Roman"/>
                <w:color w:val="000000" w:themeColor="text1"/>
                <w:sz w:val="24"/>
                <w:szCs w:val="24"/>
              </w:rPr>
              <w:t>This ICR mistakenly limits the borrower’s defense against student debt repayment to Title 34,</w:t>
            </w:r>
            <w:r w:rsidRPr="00EF090D">
              <w:rPr>
                <w:rFonts w:ascii="Times New Roman" w:eastAsia="Times New Roman" w:hAnsi="Times New Roman" w:cs="Times New Roman"/>
                <w:color w:val="000000" w:themeColor="text1"/>
                <w:sz w:val="24"/>
                <w:szCs w:val="24"/>
              </w:rPr>
              <w:br/>
              <w:t>Sections 685 400-499. However, there are more instances permitting student loan discharge. For example,</w:t>
            </w:r>
            <w:r w:rsidRPr="00EF090D">
              <w:rPr>
                <w:rFonts w:ascii="Times New Roman" w:eastAsia="Times New Roman" w:hAnsi="Times New Roman" w:cs="Times New Roman"/>
                <w:color w:val="000000" w:themeColor="text1"/>
                <w:sz w:val="24"/>
                <w:szCs w:val="24"/>
              </w:rPr>
              <w:br/>
              <w:t>34 CFR 30.24, 682.410(b)(5)(ii)(C), 682.410(b)(5)(vi)(I), and 682.609(a).</w:t>
            </w:r>
            <w:r w:rsidRPr="00B6005F">
              <w:rPr>
                <w:rFonts w:ascii="Times New Roman" w:eastAsia="Times New Roman" w:hAnsi="Times New Roman" w:cs="Times New Roman"/>
                <w:color w:val="000000" w:themeColor="text1"/>
                <w:sz w:val="24"/>
                <w:szCs w:val="24"/>
              </w:rPr>
              <w:t>”</w:t>
            </w:r>
          </w:p>
        </w:tc>
        <w:tc>
          <w:tcPr>
            <w:tcW w:w="1728" w:type="dxa"/>
            <w:hideMark/>
          </w:tcPr>
          <w:p w:rsidR="00EF090D" w:rsidRPr="00EF090D" w:rsidP="00EF090D" w14:paraId="67757C99" w14:textId="77777777">
            <w:pPr>
              <w:rPr>
                <w:rFonts w:ascii="Times New Roman" w:eastAsia="Times New Roman" w:hAnsi="Times New Roman" w:cs="Times New Roman"/>
                <w:color w:val="000000" w:themeColor="text1"/>
                <w:sz w:val="24"/>
                <w:szCs w:val="24"/>
              </w:rPr>
            </w:pPr>
            <w:r w:rsidRPr="00EF090D">
              <w:rPr>
                <w:rFonts w:ascii="Times New Roman" w:eastAsia="Times New Roman" w:hAnsi="Times New Roman" w:cs="Times New Roman"/>
                <w:color w:val="000000" w:themeColor="text1"/>
                <w:sz w:val="24"/>
                <w:szCs w:val="24"/>
              </w:rPr>
              <w:t>The Department appreciates this comment. However, the additional regulations do not pertain to borrower defense to repayment and so no changes have been made to the application.</w:t>
            </w:r>
          </w:p>
        </w:tc>
      </w:tr>
      <w:tr w14:paraId="0C27539F" w14:textId="77777777" w:rsidTr="001316D1">
        <w:tblPrEx>
          <w:tblW w:w="10080" w:type="dxa"/>
          <w:tblInd w:w="-455" w:type="dxa"/>
          <w:tblLook w:val="04A0"/>
        </w:tblPrEx>
        <w:tc>
          <w:tcPr>
            <w:tcW w:w="1305" w:type="dxa"/>
          </w:tcPr>
          <w:p w:rsidR="00653CA8" w:rsidRPr="00B6005F" w14:paraId="42963306" w14:textId="5A3FE5B1">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ED-2025-SCC-0002-0006</w:t>
            </w:r>
          </w:p>
        </w:tc>
        <w:tc>
          <w:tcPr>
            <w:tcW w:w="2790" w:type="dxa"/>
          </w:tcPr>
          <w:p w:rsidR="00653CA8" w:rsidRPr="00B6005F" w:rsidP="00653CA8" w14:paraId="17303A0F" w14:textId="64B21D75">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Anonymous 1</w:t>
            </w:r>
          </w:p>
        </w:tc>
        <w:tc>
          <w:tcPr>
            <w:tcW w:w="4257" w:type="dxa"/>
          </w:tcPr>
          <w:p w:rsidR="00653CA8" w:rsidRPr="00B6005F" w:rsidP="00653CA8" w14:paraId="32C88D3A" w14:textId="77777777">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“ED will generally make a decision on your application within three years.” It implies that some</w:t>
            </w:r>
          </w:p>
          <w:p w:rsidR="00653CA8" w:rsidRPr="00B6005F" w:rsidP="00653CA8" w14:paraId="52DEC0E9" w14:textId="77777777">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applications may take longer than three years to decide on. ED needs to provide justification for reserving</w:t>
            </w:r>
          </w:p>
          <w:p w:rsidR="00653CA8" w:rsidRPr="00B6005F" w:rsidP="00653CA8" w14:paraId="303012DD" w14:textId="2983582A">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this preposterously long decision time.”</w:t>
            </w:r>
          </w:p>
        </w:tc>
        <w:tc>
          <w:tcPr>
            <w:tcW w:w="1728" w:type="dxa"/>
          </w:tcPr>
          <w:p w:rsidR="00653CA8" w:rsidRPr="00B6005F" w14:paraId="3F5071B7" w14:textId="7EDE00BB">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The Department appreciates this comment and has updated the language.</w:t>
            </w:r>
          </w:p>
        </w:tc>
      </w:tr>
      <w:tr w14:paraId="22AEE4B7" w14:textId="77777777" w:rsidTr="001316D1">
        <w:tblPrEx>
          <w:tblW w:w="10080" w:type="dxa"/>
          <w:tblInd w:w="-455" w:type="dxa"/>
          <w:tblLook w:val="04A0"/>
        </w:tblPrEx>
        <w:tc>
          <w:tcPr>
            <w:tcW w:w="1305" w:type="dxa"/>
          </w:tcPr>
          <w:p w:rsidR="00653CA8" w:rsidRPr="00B6005F" w14:paraId="4F26F6DE" w14:textId="53A2BA09">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ED-2025-SCC-0002-0006</w:t>
            </w:r>
          </w:p>
        </w:tc>
        <w:tc>
          <w:tcPr>
            <w:tcW w:w="2790" w:type="dxa"/>
          </w:tcPr>
          <w:p w:rsidR="00653CA8" w:rsidRPr="00B6005F" w:rsidP="00653CA8" w14:paraId="24D9894D" w14:textId="14B73AD0">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Anonymous 1</w:t>
            </w:r>
          </w:p>
        </w:tc>
        <w:tc>
          <w:tcPr>
            <w:tcW w:w="4257" w:type="dxa"/>
          </w:tcPr>
          <w:p w:rsidR="00653CA8" w:rsidRPr="00B6005F" w:rsidP="00653CA8" w14:paraId="33B2BC9E" w14:textId="1BBCB975">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w:t>
            </w:r>
            <w:r w:rsidRPr="00B6005F">
              <w:rPr>
                <w:rFonts w:ascii="Times New Roman" w:hAnsi="Times New Roman" w:cs="Times New Roman"/>
                <w:color w:val="000000" w:themeColor="text1"/>
                <w:sz w:val="24"/>
                <w:szCs w:val="24"/>
              </w:rPr>
              <w:t>ED applies unrealistic expectations to student-borrowers (the applicants under this proposal):</w:t>
            </w:r>
          </w:p>
          <w:p w:rsidR="00653CA8" w:rsidRPr="00B6005F" w:rsidP="00653CA8" w14:paraId="6AFAC539" w14:textId="77777777">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 A school’s verbal statements made “directly to” an individual as well as a school’s omissions are difficult</w:t>
            </w:r>
          </w:p>
          <w:p w:rsidR="00653CA8" w:rsidRPr="00B6005F" w:rsidP="00653CA8" w14:paraId="316D1504" w14:textId="77777777">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to prove unless the school would choose to confirm it.</w:t>
            </w:r>
          </w:p>
          <w:p w:rsidR="00653CA8" w:rsidRPr="00B6005F" w:rsidP="00653CA8" w14:paraId="40CC174A" w14:textId="77777777">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 The examples of a school’s “untruthful or misleading statements” are weak and unrealistic. For example,</w:t>
            </w:r>
          </w:p>
          <w:p w:rsidR="00653CA8" w:rsidRPr="00B6005F" w:rsidP="00653CA8" w14:paraId="70A64DBE" w14:textId="77777777">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no school would publish guarantees of employment or salary of its graduates, or else attribute fault to the</w:t>
            </w:r>
          </w:p>
          <w:p w:rsidR="00653CA8" w:rsidRPr="00B6005F" w:rsidP="00653CA8" w14:paraId="487522F8" w14:textId="61EFD983">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student.</w:t>
            </w:r>
            <w:r w:rsidRPr="00B6005F" w:rsidR="002F3B39">
              <w:rPr>
                <w:rFonts w:ascii="Times New Roman" w:hAnsi="Times New Roman" w:cs="Times New Roman"/>
                <w:color w:val="000000" w:themeColor="text1"/>
                <w:sz w:val="24"/>
                <w:szCs w:val="24"/>
              </w:rPr>
              <w:t>”</w:t>
            </w:r>
          </w:p>
        </w:tc>
        <w:tc>
          <w:tcPr>
            <w:tcW w:w="1728" w:type="dxa"/>
          </w:tcPr>
          <w:p w:rsidR="00653CA8" w:rsidRPr="00B6005F" w14:paraId="50CB4F52" w14:textId="5A583DAE">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 xml:space="preserve">The Department appreciates this comment. </w:t>
            </w:r>
            <w:r w:rsidRPr="00B6005F">
              <w:rPr>
                <w:rFonts w:ascii="Times New Roman" w:hAnsi="Times New Roman" w:cs="Times New Roman"/>
                <w:color w:val="000000" w:themeColor="text1"/>
                <w:sz w:val="24"/>
                <w:szCs w:val="24"/>
              </w:rPr>
              <w:t>However,  the</w:t>
            </w:r>
            <w:r w:rsidRPr="00B6005F">
              <w:rPr>
                <w:rFonts w:ascii="Times New Roman" w:hAnsi="Times New Roman" w:cs="Times New Roman"/>
                <w:color w:val="000000" w:themeColor="text1"/>
                <w:sz w:val="24"/>
                <w:szCs w:val="24"/>
              </w:rPr>
              <w:t xml:space="preserve"> application accurately reflects the current regulations.</w:t>
            </w:r>
          </w:p>
        </w:tc>
      </w:tr>
      <w:tr w14:paraId="385187F1" w14:textId="77777777" w:rsidTr="001316D1">
        <w:tblPrEx>
          <w:tblW w:w="10080" w:type="dxa"/>
          <w:tblInd w:w="-455" w:type="dxa"/>
          <w:tblLook w:val="04A0"/>
        </w:tblPrEx>
        <w:tc>
          <w:tcPr>
            <w:tcW w:w="1305" w:type="dxa"/>
          </w:tcPr>
          <w:p w:rsidR="00653CA8" w:rsidRPr="00B6005F" w14:paraId="2F76143D" w14:textId="3C7998F3">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ED-2025-SCC-0002-0006</w:t>
            </w:r>
          </w:p>
        </w:tc>
        <w:tc>
          <w:tcPr>
            <w:tcW w:w="2790" w:type="dxa"/>
          </w:tcPr>
          <w:p w:rsidR="00653CA8" w:rsidRPr="00B6005F" w:rsidP="00653CA8" w14:paraId="5FF3254D" w14:textId="3C3ADA22">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Anonymous 1</w:t>
            </w:r>
          </w:p>
        </w:tc>
        <w:tc>
          <w:tcPr>
            <w:tcW w:w="4257" w:type="dxa"/>
          </w:tcPr>
          <w:p w:rsidR="00653CA8" w:rsidRPr="00B6005F" w:rsidP="00653CA8" w14:paraId="0DEADD35" w14:textId="3B35AF1E">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w:t>
            </w:r>
            <w:r w:rsidRPr="00B6005F">
              <w:rPr>
                <w:rFonts w:ascii="Times New Roman" w:hAnsi="Times New Roman" w:cs="Times New Roman"/>
                <w:color w:val="000000" w:themeColor="text1"/>
                <w:sz w:val="24"/>
                <w:szCs w:val="24"/>
              </w:rPr>
              <w:t xml:space="preserve">The term </w:t>
            </w:r>
            <w:r w:rsidRPr="00B6005F">
              <w:rPr>
                <w:rFonts w:ascii="Times New Roman" w:hAnsi="Times New Roman" w:cs="Times New Roman"/>
                <w:color w:val="000000" w:themeColor="text1"/>
                <w:sz w:val="24"/>
                <w:szCs w:val="24"/>
              </w:rPr>
              <w:t>‘</w:t>
            </w:r>
            <w:r w:rsidRPr="00B6005F">
              <w:rPr>
                <w:rFonts w:ascii="Times New Roman" w:hAnsi="Times New Roman" w:cs="Times New Roman"/>
                <w:color w:val="000000" w:themeColor="text1"/>
                <w:sz w:val="24"/>
                <w:szCs w:val="24"/>
              </w:rPr>
              <w:t>enough harm</w:t>
            </w:r>
            <w:r w:rsidRPr="00B6005F">
              <w:rPr>
                <w:rFonts w:ascii="Times New Roman" w:hAnsi="Times New Roman" w:cs="Times New Roman"/>
                <w:color w:val="000000" w:themeColor="text1"/>
                <w:sz w:val="24"/>
                <w:szCs w:val="24"/>
              </w:rPr>
              <w:t>’</w:t>
            </w:r>
            <w:r w:rsidRPr="00B6005F">
              <w:rPr>
                <w:rFonts w:ascii="Times New Roman" w:hAnsi="Times New Roman" w:cs="Times New Roman"/>
                <w:color w:val="000000" w:themeColor="text1"/>
                <w:sz w:val="24"/>
                <w:szCs w:val="24"/>
              </w:rPr>
              <w:t xml:space="preserve"> in justifying a full discharge and refund is not defined in this proposal</w:t>
            </w:r>
            <w:r w:rsidRPr="00B6005F">
              <w:rPr>
                <w:rFonts w:ascii="Times New Roman" w:hAnsi="Times New Roman" w:cs="Times New Roman"/>
                <w:color w:val="000000" w:themeColor="text1"/>
                <w:sz w:val="24"/>
                <w:szCs w:val="24"/>
              </w:rPr>
              <w:t>.”</w:t>
            </w:r>
          </w:p>
        </w:tc>
        <w:tc>
          <w:tcPr>
            <w:tcW w:w="1728" w:type="dxa"/>
          </w:tcPr>
          <w:p w:rsidR="00653CA8" w:rsidRPr="00B6005F" w14:paraId="0634F2C1" w14:textId="4D5781EC">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The Department appreciates this comment and has removed this language.</w:t>
            </w:r>
          </w:p>
        </w:tc>
      </w:tr>
      <w:tr w14:paraId="4A84D845" w14:textId="77777777" w:rsidTr="001316D1">
        <w:tblPrEx>
          <w:tblW w:w="10080" w:type="dxa"/>
          <w:tblInd w:w="-455" w:type="dxa"/>
          <w:tblLook w:val="04A0"/>
        </w:tblPrEx>
        <w:trPr>
          <w:trHeight w:val="1500"/>
        </w:trPr>
        <w:tc>
          <w:tcPr>
            <w:tcW w:w="1305" w:type="dxa"/>
            <w:hideMark/>
          </w:tcPr>
          <w:p w:rsidR="00B23DE0" w:rsidRPr="00B23DE0" w:rsidP="00B23DE0" w14:paraId="41242C83" w14:textId="77777777">
            <w:pPr>
              <w:rPr>
                <w:rFonts w:ascii="Times New Roman" w:eastAsia="Times New Roman" w:hAnsi="Times New Roman" w:cs="Times New Roman"/>
                <w:color w:val="000000" w:themeColor="text1"/>
                <w:sz w:val="24"/>
                <w:szCs w:val="24"/>
              </w:rPr>
            </w:pPr>
            <w:r w:rsidRPr="00B23DE0">
              <w:rPr>
                <w:rFonts w:ascii="Times New Roman" w:eastAsia="Times New Roman" w:hAnsi="Times New Roman" w:cs="Times New Roman"/>
                <w:color w:val="000000" w:themeColor="text1"/>
                <w:sz w:val="24"/>
                <w:szCs w:val="24"/>
              </w:rPr>
              <w:t>ED-2025-SCC-0002-0006</w:t>
            </w:r>
          </w:p>
        </w:tc>
        <w:tc>
          <w:tcPr>
            <w:tcW w:w="2790" w:type="dxa"/>
            <w:hideMark/>
          </w:tcPr>
          <w:p w:rsidR="00B23DE0" w:rsidRPr="00B23DE0" w:rsidP="00B23DE0" w14:paraId="23CC6872" w14:textId="77777777">
            <w:pPr>
              <w:rPr>
                <w:rFonts w:ascii="Times New Roman" w:eastAsia="Times New Roman" w:hAnsi="Times New Roman" w:cs="Times New Roman"/>
                <w:color w:val="000000" w:themeColor="text1"/>
                <w:sz w:val="24"/>
                <w:szCs w:val="24"/>
              </w:rPr>
            </w:pPr>
            <w:r w:rsidRPr="00B23DE0">
              <w:rPr>
                <w:rFonts w:ascii="Times New Roman" w:eastAsia="Times New Roman" w:hAnsi="Times New Roman" w:cs="Times New Roman"/>
                <w:color w:val="000000" w:themeColor="text1"/>
                <w:sz w:val="24"/>
                <w:szCs w:val="24"/>
              </w:rPr>
              <w:t>Anonymous 1</w:t>
            </w:r>
          </w:p>
        </w:tc>
        <w:tc>
          <w:tcPr>
            <w:tcW w:w="4257" w:type="dxa"/>
            <w:hideMark/>
          </w:tcPr>
          <w:p w:rsidR="00B23DE0" w:rsidRPr="00B23DE0" w:rsidP="00B23DE0" w14:paraId="73CFA27F" w14:textId="1A9C01D3">
            <w:pPr>
              <w:rPr>
                <w:rFonts w:ascii="Times New Roman" w:eastAsia="Times New Roman" w:hAnsi="Times New Roman" w:cs="Times New Roman"/>
                <w:color w:val="000000" w:themeColor="text1"/>
                <w:sz w:val="24"/>
                <w:szCs w:val="24"/>
              </w:rPr>
            </w:pPr>
            <w:r w:rsidRPr="00B6005F">
              <w:rPr>
                <w:rFonts w:ascii="Times New Roman" w:eastAsia="Times New Roman" w:hAnsi="Times New Roman" w:cs="Times New Roman"/>
                <w:color w:val="000000" w:themeColor="text1"/>
                <w:sz w:val="24"/>
                <w:szCs w:val="24"/>
              </w:rPr>
              <w:t>“</w:t>
            </w:r>
            <w:r w:rsidRPr="00B23DE0">
              <w:rPr>
                <w:rFonts w:ascii="Times New Roman" w:eastAsia="Times New Roman" w:hAnsi="Times New Roman" w:cs="Times New Roman"/>
                <w:color w:val="000000" w:themeColor="text1"/>
                <w:sz w:val="24"/>
                <w:szCs w:val="24"/>
              </w:rPr>
              <w:t xml:space="preserve">Is there a partial “discharge and refund”? How is it calculated? </w:t>
            </w:r>
            <w:r w:rsidRPr="00B6005F">
              <w:rPr>
                <w:rFonts w:ascii="Times New Roman" w:eastAsia="Times New Roman" w:hAnsi="Times New Roman" w:cs="Times New Roman"/>
                <w:color w:val="000000" w:themeColor="text1"/>
                <w:sz w:val="24"/>
                <w:szCs w:val="24"/>
              </w:rPr>
              <w:t>“</w:t>
            </w:r>
          </w:p>
        </w:tc>
        <w:tc>
          <w:tcPr>
            <w:tcW w:w="1728" w:type="dxa"/>
            <w:hideMark/>
          </w:tcPr>
          <w:p w:rsidR="00B23DE0" w:rsidRPr="00B23DE0" w:rsidP="00B23DE0" w14:paraId="7F99CE1B" w14:textId="77777777">
            <w:pPr>
              <w:rPr>
                <w:rFonts w:ascii="Times New Roman" w:eastAsia="Times New Roman" w:hAnsi="Times New Roman" w:cs="Times New Roman"/>
                <w:color w:val="000000" w:themeColor="text1"/>
                <w:sz w:val="24"/>
                <w:szCs w:val="24"/>
              </w:rPr>
            </w:pPr>
            <w:r w:rsidRPr="00B23DE0">
              <w:rPr>
                <w:rFonts w:ascii="Times New Roman" w:eastAsia="Times New Roman" w:hAnsi="Times New Roman" w:cs="Times New Roman"/>
                <w:color w:val="000000" w:themeColor="text1"/>
                <w:sz w:val="24"/>
                <w:szCs w:val="24"/>
              </w:rPr>
              <w:t xml:space="preserve">The Department appreciates this comment. </w:t>
            </w:r>
            <w:r w:rsidRPr="00B23DE0">
              <w:rPr>
                <w:rFonts w:ascii="Times New Roman" w:eastAsia="Times New Roman" w:hAnsi="Times New Roman" w:cs="Times New Roman"/>
                <w:color w:val="000000" w:themeColor="text1"/>
                <w:sz w:val="24"/>
                <w:szCs w:val="24"/>
              </w:rPr>
              <w:t>However</w:t>
            </w:r>
            <w:r w:rsidRPr="00B23DE0">
              <w:rPr>
                <w:rFonts w:ascii="Times New Roman" w:eastAsia="Times New Roman" w:hAnsi="Times New Roman" w:cs="Times New Roman"/>
                <w:color w:val="000000" w:themeColor="text1"/>
                <w:sz w:val="24"/>
                <w:szCs w:val="24"/>
              </w:rPr>
              <w:t xml:space="preserve"> this comment is not related to the application.</w:t>
            </w:r>
          </w:p>
        </w:tc>
      </w:tr>
      <w:tr w14:paraId="0DB24C41" w14:textId="77777777" w:rsidTr="001316D1">
        <w:tblPrEx>
          <w:tblW w:w="10080" w:type="dxa"/>
          <w:tblInd w:w="-455" w:type="dxa"/>
          <w:tblLook w:val="04A0"/>
        </w:tblPrEx>
        <w:tc>
          <w:tcPr>
            <w:tcW w:w="1305" w:type="dxa"/>
          </w:tcPr>
          <w:p w:rsidR="00653CA8" w:rsidRPr="00B6005F" w14:paraId="6BC20F58" w14:textId="09EB4851">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ED-2025-SCC-0002-0007</w:t>
            </w:r>
          </w:p>
        </w:tc>
        <w:tc>
          <w:tcPr>
            <w:tcW w:w="2790" w:type="dxa"/>
          </w:tcPr>
          <w:p w:rsidR="00653CA8" w:rsidRPr="00B6005F" w:rsidP="00653CA8" w14:paraId="0ED39D8E" w14:textId="43CC7522">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Anonymous 2</w:t>
            </w:r>
          </w:p>
        </w:tc>
        <w:tc>
          <w:tcPr>
            <w:tcW w:w="4257" w:type="dxa"/>
          </w:tcPr>
          <w:p w:rsidR="00653CA8" w:rsidRPr="00B6005F" w:rsidP="00653CA8" w14:paraId="67500A5B" w14:textId="6C9EDF22">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w:t>
            </w:r>
            <w:r w:rsidRPr="00B6005F">
              <w:rPr>
                <w:rFonts w:ascii="Times New Roman" w:hAnsi="Times New Roman" w:cs="Times New Roman"/>
                <w:color w:val="000000" w:themeColor="text1"/>
                <w:sz w:val="24"/>
                <w:szCs w:val="24"/>
              </w:rPr>
              <w:t>The following section of the proposed application should be removed</w:t>
            </w:r>
            <w:r w:rsidRPr="00B6005F">
              <w:rPr>
                <w:rFonts w:ascii="Times New Roman" w:hAnsi="Times New Roman" w:cs="Times New Roman"/>
                <w:color w:val="000000" w:themeColor="text1"/>
                <w:sz w:val="24"/>
                <w:szCs w:val="24"/>
              </w:rPr>
              <w:t>…</w:t>
            </w:r>
            <w:r w:rsidRPr="00B6005F">
              <w:rPr>
                <w:rFonts w:ascii="Times New Roman" w:hAnsi="Times New Roman" w:cs="Times New Roman"/>
                <w:color w:val="000000" w:themeColor="text1"/>
                <w:sz w:val="24"/>
                <w:szCs w:val="24"/>
              </w:rPr>
              <w:t>”</w:t>
            </w:r>
            <w:r w:rsidRPr="00B6005F">
              <w:rPr>
                <w:rFonts w:ascii="Times New Roman" w:hAnsi="Times New Roman" w:cs="Times New Roman"/>
                <w:color w:val="000000" w:themeColor="text1"/>
                <w:sz w:val="24"/>
                <w:szCs w:val="24"/>
              </w:rPr>
              <w:t>(</w:t>
            </w:r>
            <w:r w:rsidRPr="00B6005F">
              <w:rPr>
                <w:rFonts w:ascii="Times New Roman" w:hAnsi="Times New Roman" w:cs="Times New Roman"/>
                <w:color w:val="000000" w:themeColor="text1"/>
                <w:sz w:val="24"/>
                <w:szCs w:val="24"/>
              </w:rPr>
              <w:t>cites privacy act language at bottom of application)</w:t>
            </w:r>
          </w:p>
        </w:tc>
        <w:tc>
          <w:tcPr>
            <w:tcW w:w="1728" w:type="dxa"/>
          </w:tcPr>
          <w:p w:rsidR="00653CA8" w:rsidRPr="00B6005F" w14:paraId="04AA20A0" w14:textId="1884A93D">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The Department appreciates this comment. However, this notice is required by the Privacy Act and so will not be changed.</w:t>
            </w:r>
          </w:p>
        </w:tc>
      </w:tr>
      <w:tr w14:paraId="183D0415" w14:textId="77777777" w:rsidTr="001316D1">
        <w:tblPrEx>
          <w:tblW w:w="10080" w:type="dxa"/>
          <w:tblInd w:w="-455" w:type="dxa"/>
          <w:tblLook w:val="04A0"/>
        </w:tblPrEx>
        <w:tc>
          <w:tcPr>
            <w:tcW w:w="1305" w:type="dxa"/>
          </w:tcPr>
          <w:p w:rsidR="00653CA8" w:rsidRPr="00B6005F" w14:paraId="41E175F6" w14:textId="30B4D446">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ED-2025-SCC-0002-0007</w:t>
            </w:r>
          </w:p>
        </w:tc>
        <w:tc>
          <w:tcPr>
            <w:tcW w:w="2790" w:type="dxa"/>
          </w:tcPr>
          <w:p w:rsidR="00653CA8" w:rsidRPr="00B6005F" w:rsidP="00653CA8" w14:paraId="0177428D" w14:textId="78BCFE59">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Anonymous 2</w:t>
            </w:r>
          </w:p>
        </w:tc>
        <w:tc>
          <w:tcPr>
            <w:tcW w:w="4257" w:type="dxa"/>
          </w:tcPr>
          <w:p w:rsidR="002F3B39" w:rsidRPr="00B6005F" w:rsidP="002F3B39" w14:paraId="1B77F6C9" w14:textId="77777777">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“If this information, either alone or with other information, indicates a potential violation of</w:t>
            </w:r>
          </w:p>
          <w:p w:rsidR="002F3B39" w:rsidRPr="00B6005F" w:rsidP="002F3B39" w14:paraId="64433656" w14:textId="77777777">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law, ED may send it to the appropriate authority for action.” (in both proposed forms) - is outside</w:t>
            </w:r>
          </w:p>
          <w:p w:rsidR="002F3B39" w:rsidRPr="00B6005F" w:rsidP="002F3B39" w14:paraId="01887FBA" w14:textId="77777777">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the purpose of the application. ED should not take time to mix-and-match values of an individual’s</w:t>
            </w:r>
          </w:p>
          <w:p w:rsidR="00653CA8" w:rsidRPr="00B6005F" w:rsidP="002F3B39" w14:paraId="5740C914" w14:textId="5698F6B2">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record to see how it could appear as a potential wrongdoing”</w:t>
            </w:r>
          </w:p>
        </w:tc>
        <w:tc>
          <w:tcPr>
            <w:tcW w:w="1728" w:type="dxa"/>
          </w:tcPr>
          <w:p w:rsidR="00653CA8" w:rsidRPr="00B6005F" w14:paraId="6B6EE466" w14:textId="0C009F9D">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The Department appreciates this comment. However, this notice is required by the Privacy Act and so will not be changed.</w:t>
            </w:r>
          </w:p>
        </w:tc>
      </w:tr>
      <w:tr w14:paraId="426108F3" w14:textId="77777777" w:rsidTr="001316D1">
        <w:tblPrEx>
          <w:tblW w:w="10080" w:type="dxa"/>
          <w:tblInd w:w="-455" w:type="dxa"/>
          <w:tblLook w:val="04A0"/>
        </w:tblPrEx>
        <w:tc>
          <w:tcPr>
            <w:tcW w:w="1305" w:type="dxa"/>
          </w:tcPr>
          <w:p w:rsidR="002F3B39" w:rsidRPr="00B6005F" w14:paraId="56DC55E0" w14:textId="70F51E20">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ED-2025-SCC-0002-0007</w:t>
            </w:r>
          </w:p>
        </w:tc>
        <w:tc>
          <w:tcPr>
            <w:tcW w:w="2790" w:type="dxa"/>
          </w:tcPr>
          <w:p w:rsidR="002F3B39" w:rsidRPr="00B6005F" w:rsidP="00653CA8" w14:paraId="5DD74372" w14:textId="518CC0F7">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Anonymous 2</w:t>
            </w:r>
          </w:p>
        </w:tc>
        <w:tc>
          <w:tcPr>
            <w:tcW w:w="4257" w:type="dxa"/>
          </w:tcPr>
          <w:p w:rsidR="002F3B39" w:rsidRPr="00B6005F" w:rsidP="002F3B39" w14:paraId="40D8E0DB" w14:textId="77777777">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“In circumstances involving employment complaints, grievances, or disciplinary actions, ED</w:t>
            </w:r>
          </w:p>
          <w:p w:rsidR="002F3B39" w:rsidRPr="00B6005F" w:rsidP="002F3B39" w14:paraId="5B371A02" w14:textId="77777777">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 xml:space="preserve">may disclose relevant records to adjudicate or investigate the </w:t>
            </w:r>
            <w:r w:rsidRPr="00B6005F">
              <w:rPr>
                <w:rFonts w:ascii="Times New Roman" w:hAnsi="Times New Roman" w:cs="Times New Roman"/>
                <w:color w:val="000000" w:themeColor="text1"/>
                <w:sz w:val="24"/>
                <w:szCs w:val="24"/>
              </w:rPr>
              <w:t>issues.“</w:t>
            </w:r>
            <w:r w:rsidRPr="00B6005F">
              <w:rPr>
                <w:rFonts w:ascii="Times New Roman" w:hAnsi="Times New Roman" w:cs="Times New Roman"/>
                <w:color w:val="000000" w:themeColor="text1"/>
                <w:sz w:val="24"/>
                <w:szCs w:val="24"/>
              </w:rPr>
              <w:t xml:space="preserve"> (in both proposed forms)</w:t>
            </w:r>
          </w:p>
          <w:p w:rsidR="002F3B39" w:rsidRPr="00B6005F" w:rsidP="002F3B39" w14:paraId="6BEDA081" w14:textId="77777777">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ED needs to explain the relevance of this to an application for Defense to Loan Repayment or its</w:t>
            </w:r>
          </w:p>
          <w:p w:rsidR="002F3B39" w:rsidRPr="00B6005F" w:rsidP="002F3B39" w14:paraId="26435AC9" w14:textId="3024ED74">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 xml:space="preserve">Borrower Defense </w:t>
            </w:r>
            <w:r w:rsidRPr="00B6005F">
              <w:rPr>
                <w:rFonts w:ascii="Times New Roman" w:hAnsi="Times New Roman" w:cs="Times New Roman"/>
                <w:color w:val="000000" w:themeColor="text1"/>
                <w:sz w:val="24"/>
                <w:szCs w:val="24"/>
              </w:rPr>
              <w:t>To</w:t>
            </w:r>
            <w:r w:rsidRPr="00B6005F">
              <w:rPr>
                <w:rFonts w:ascii="Times New Roman" w:hAnsi="Times New Roman" w:cs="Times New Roman"/>
                <w:color w:val="000000" w:themeColor="text1"/>
                <w:sz w:val="24"/>
                <w:szCs w:val="24"/>
              </w:rPr>
              <w:t xml:space="preserve"> Repayment Individual Reconsideration Form.”</w:t>
            </w:r>
          </w:p>
        </w:tc>
        <w:tc>
          <w:tcPr>
            <w:tcW w:w="1728" w:type="dxa"/>
          </w:tcPr>
          <w:p w:rsidR="002F3B39" w:rsidRPr="00B6005F" w14:paraId="00FE99DB" w14:textId="69A99EF0">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The Department appreciates this comment. However, this notice is required by the Privacy Act and so will not be changed.</w:t>
            </w:r>
          </w:p>
        </w:tc>
      </w:tr>
      <w:tr w14:paraId="0D97BA26" w14:textId="77777777" w:rsidTr="001316D1">
        <w:tblPrEx>
          <w:tblW w:w="10080" w:type="dxa"/>
          <w:tblInd w:w="-455" w:type="dxa"/>
          <w:tblLook w:val="04A0"/>
        </w:tblPrEx>
        <w:tc>
          <w:tcPr>
            <w:tcW w:w="1305" w:type="dxa"/>
          </w:tcPr>
          <w:p w:rsidR="002F3B39" w:rsidRPr="00B6005F" w14:paraId="56987416" w14:textId="2697336C">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ED-2025-SCC-0002-0007</w:t>
            </w:r>
          </w:p>
        </w:tc>
        <w:tc>
          <w:tcPr>
            <w:tcW w:w="2790" w:type="dxa"/>
          </w:tcPr>
          <w:p w:rsidR="002F3B39" w:rsidRPr="00B6005F" w:rsidP="00653CA8" w14:paraId="31AA579F" w14:textId="7D150CF3">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Anonymous 2</w:t>
            </w:r>
          </w:p>
        </w:tc>
        <w:tc>
          <w:tcPr>
            <w:tcW w:w="4257" w:type="dxa"/>
          </w:tcPr>
          <w:p w:rsidR="002F3B39" w:rsidRPr="00B6005F" w:rsidP="002F3B39" w14:paraId="4C4156CC" w14:textId="4BDC6BAF">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“Whose ‘collective bargaining agreement’ (in both proposed forms) is being considered? Is it the loan</w:t>
            </w:r>
          </w:p>
          <w:p w:rsidR="002F3B39" w:rsidRPr="00B6005F" w:rsidP="002F3B39" w14:paraId="01ABB50B" w14:textId="77777777">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 xml:space="preserve">holder’s, the applicant’s, the ed </w:t>
            </w:r>
            <w:r w:rsidRPr="00B6005F">
              <w:rPr>
                <w:rFonts w:ascii="Times New Roman" w:hAnsi="Times New Roman" w:cs="Times New Roman"/>
                <w:color w:val="000000" w:themeColor="text1"/>
                <w:sz w:val="24"/>
                <w:szCs w:val="24"/>
              </w:rPr>
              <w:t>institution’s</w:t>
            </w:r>
            <w:r w:rsidRPr="00B6005F">
              <w:rPr>
                <w:rFonts w:ascii="Times New Roman" w:hAnsi="Times New Roman" w:cs="Times New Roman"/>
                <w:color w:val="000000" w:themeColor="text1"/>
                <w:sz w:val="24"/>
                <w:szCs w:val="24"/>
              </w:rPr>
              <w:t>, or another third-party’s? This is not made clear for the</w:t>
            </w:r>
          </w:p>
          <w:p w:rsidR="002F3B39" w:rsidRPr="00B6005F" w:rsidP="002F3B39" w14:paraId="6EF02A41" w14:textId="0301D197">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target audience: individual-applicant signatory and member of public commentor.”</w:t>
            </w:r>
          </w:p>
        </w:tc>
        <w:tc>
          <w:tcPr>
            <w:tcW w:w="1728" w:type="dxa"/>
          </w:tcPr>
          <w:p w:rsidR="002F3B39" w:rsidRPr="00B6005F" w14:paraId="5AB4DA5B" w14:textId="77777777">
            <w:pPr>
              <w:rPr>
                <w:rFonts w:ascii="Times New Roman" w:hAnsi="Times New Roman" w:cs="Times New Roman"/>
                <w:color w:val="000000" w:themeColor="text1"/>
                <w:sz w:val="24"/>
                <w:szCs w:val="24"/>
              </w:rPr>
            </w:pPr>
          </w:p>
          <w:p w:rsidR="002F3B39" w:rsidRPr="00B6005F" w:rsidP="002F3B39" w14:paraId="0E91E1FF" w14:textId="70B31786">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 xml:space="preserve">The Department appreciates this comment. However, this </w:t>
            </w:r>
            <w:r w:rsidRPr="00B6005F">
              <w:rPr>
                <w:rFonts w:ascii="Times New Roman" w:hAnsi="Times New Roman" w:cs="Times New Roman"/>
                <w:color w:val="000000" w:themeColor="text1"/>
                <w:sz w:val="24"/>
                <w:szCs w:val="24"/>
              </w:rPr>
              <w:t>notice is required by the Privacy Act and so will not be changed.</w:t>
            </w:r>
          </w:p>
        </w:tc>
      </w:tr>
      <w:tr w14:paraId="381AF01C" w14:textId="77777777" w:rsidTr="001316D1">
        <w:tblPrEx>
          <w:tblW w:w="10080" w:type="dxa"/>
          <w:tblInd w:w="-455" w:type="dxa"/>
          <w:tblLook w:val="04A0"/>
        </w:tblPrEx>
        <w:tc>
          <w:tcPr>
            <w:tcW w:w="1305" w:type="dxa"/>
          </w:tcPr>
          <w:p w:rsidR="002F3B39" w:rsidRPr="00B6005F" w14:paraId="01AC9E61" w14:textId="1A50E95A">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ED-2025-SCC-0002-0007</w:t>
            </w:r>
          </w:p>
        </w:tc>
        <w:tc>
          <w:tcPr>
            <w:tcW w:w="2790" w:type="dxa"/>
          </w:tcPr>
          <w:p w:rsidR="002F3B39" w:rsidRPr="00B6005F" w:rsidP="00653CA8" w14:paraId="5644936D" w14:textId="5D13DDFB">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Anonymous 2</w:t>
            </w:r>
          </w:p>
        </w:tc>
        <w:tc>
          <w:tcPr>
            <w:tcW w:w="4257" w:type="dxa"/>
          </w:tcPr>
          <w:p w:rsidR="002F3B39" w:rsidRPr="00B6005F" w:rsidP="002F3B39" w14:paraId="7E9E6235" w14:textId="18099897">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“Matters related to Borrower Defense to Loan Repayment and Reconsideration applications are important</w:t>
            </w:r>
          </w:p>
          <w:p w:rsidR="002F3B39" w:rsidRPr="00B6005F" w:rsidP="002F3B39" w14:paraId="1D2A8DDB" w14:textId="77777777">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 xml:space="preserve">and choices of format delivery for related communications </w:t>
            </w:r>
            <w:r w:rsidRPr="00B6005F">
              <w:rPr>
                <w:rFonts w:ascii="Times New Roman" w:hAnsi="Times New Roman" w:cs="Times New Roman"/>
                <w:color w:val="000000" w:themeColor="text1"/>
                <w:sz w:val="24"/>
                <w:szCs w:val="24"/>
              </w:rPr>
              <w:t>should to</w:t>
            </w:r>
            <w:r w:rsidRPr="00B6005F">
              <w:rPr>
                <w:rFonts w:ascii="Times New Roman" w:hAnsi="Times New Roman" w:cs="Times New Roman"/>
                <w:color w:val="000000" w:themeColor="text1"/>
                <w:sz w:val="24"/>
                <w:szCs w:val="24"/>
              </w:rPr>
              <w:t xml:space="preserve"> be made available, instead of</w:t>
            </w:r>
          </w:p>
          <w:p w:rsidR="002F3B39" w:rsidRPr="00B6005F" w:rsidP="002F3B39" w14:paraId="0490D51E" w14:textId="77777777">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categorically limiting them to voice and text messages. (There is no federal or state mandate to have a</w:t>
            </w:r>
          </w:p>
          <w:p w:rsidR="002F3B39" w:rsidRPr="00B6005F" w:rsidP="002F3B39" w14:paraId="434C891C" w14:textId="77777777">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phone, including a voice- or text-enabled one.) Mailed hard copy and email formats should be options,</w:t>
            </w:r>
          </w:p>
          <w:p w:rsidR="002F3B39" w:rsidRPr="00B6005F" w:rsidP="002F3B39" w14:paraId="6A34CD43" w14:textId="77777777">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so that the clarity and the meaning is not distorted and for accountability and ability to</w:t>
            </w:r>
          </w:p>
          <w:p w:rsidR="002F3B39" w:rsidRPr="00B6005F" w:rsidP="002F3B39" w14:paraId="1FD8B28A" w14:textId="69BC5064">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review/reproduce.”</w:t>
            </w:r>
          </w:p>
        </w:tc>
        <w:tc>
          <w:tcPr>
            <w:tcW w:w="1728" w:type="dxa"/>
          </w:tcPr>
          <w:p w:rsidR="002F3B39" w:rsidRPr="00B6005F" w14:paraId="57461EDD" w14:textId="2E8DF11D">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 xml:space="preserve">The Department appreciates this comment. Applications may be </w:t>
            </w:r>
            <w:r w:rsidRPr="00B6005F">
              <w:rPr>
                <w:rFonts w:ascii="Times New Roman" w:hAnsi="Times New Roman" w:cs="Times New Roman"/>
                <w:color w:val="000000" w:themeColor="text1"/>
                <w:sz w:val="24"/>
                <w:szCs w:val="24"/>
              </w:rPr>
              <w:t>mailed,</w:t>
            </w:r>
            <w:r w:rsidRPr="00B6005F">
              <w:rPr>
                <w:rFonts w:ascii="Times New Roman" w:hAnsi="Times New Roman" w:cs="Times New Roman"/>
                <w:color w:val="000000" w:themeColor="text1"/>
                <w:sz w:val="24"/>
                <w:szCs w:val="24"/>
              </w:rPr>
              <w:t xml:space="preserve"> however, it is not feasible for the Department to accept emailed applications.</w:t>
            </w:r>
          </w:p>
        </w:tc>
      </w:tr>
      <w:tr w14:paraId="197EB644" w14:textId="77777777" w:rsidTr="001316D1">
        <w:tblPrEx>
          <w:tblW w:w="10080" w:type="dxa"/>
          <w:tblInd w:w="-455" w:type="dxa"/>
          <w:tblLook w:val="04A0"/>
        </w:tblPrEx>
        <w:trPr>
          <w:trHeight w:val="3600"/>
        </w:trPr>
        <w:tc>
          <w:tcPr>
            <w:tcW w:w="1305" w:type="dxa"/>
            <w:hideMark/>
          </w:tcPr>
          <w:p w:rsidR="001316D1" w:rsidRPr="001316D1" w:rsidP="001316D1" w14:paraId="36D45DCC" w14:textId="77777777">
            <w:pPr>
              <w:rPr>
                <w:rFonts w:ascii="Times New Roman" w:eastAsia="Times New Roman" w:hAnsi="Times New Roman" w:cs="Times New Roman"/>
                <w:color w:val="000000" w:themeColor="text1"/>
                <w:sz w:val="24"/>
                <w:szCs w:val="24"/>
              </w:rPr>
            </w:pPr>
            <w:r w:rsidRPr="001316D1">
              <w:rPr>
                <w:rFonts w:ascii="Times New Roman" w:eastAsia="Times New Roman" w:hAnsi="Times New Roman" w:cs="Times New Roman"/>
                <w:color w:val="000000" w:themeColor="text1"/>
                <w:sz w:val="24"/>
                <w:szCs w:val="24"/>
              </w:rPr>
              <w:t>ED-2025-SCC-0002-0007</w:t>
            </w:r>
          </w:p>
        </w:tc>
        <w:tc>
          <w:tcPr>
            <w:tcW w:w="2790" w:type="dxa"/>
            <w:hideMark/>
          </w:tcPr>
          <w:p w:rsidR="001316D1" w:rsidRPr="001316D1" w:rsidP="001316D1" w14:paraId="0C1F32B4" w14:textId="77777777">
            <w:pPr>
              <w:rPr>
                <w:rFonts w:ascii="Times New Roman" w:eastAsia="Times New Roman" w:hAnsi="Times New Roman" w:cs="Times New Roman"/>
                <w:color w:val="000000" w:themeColor="text1"/>
                <w:sz w:val="24"/>
                <w:szCs w:val="24"/>
              </w:rPr>
            </w:pPr>
            <w:r w:rsidRPr="001316D1">
              <w:rPr>
                <w:rFonts w:ascii="Times New Roman" w:eastAsia="Times New Roman" w:hAnsi="Times New Roman" w:cs="Times New Roman"/>
                <w:color w:val="000000" w:themeColor="text1"/>
                <w:sz w:val="24"/>
                <w:szCs w:val="24"/>
              </w:rPr>
              <w:t>Anonymous 2</w:t>
            </w:r>
          </w:p>
        </w:tc>
        <w:tc>
          <w:tcPr>
            <w:tcW w:w="4257" w:type="dxa"/>
            <w:hideMark/>
          </w:tcPr>
          <w:p w:rsidR="001316D1" w:rsidRPr="001316D1" w:rsidP="001316D1" w14:paraId="23E8E3D5" w14:textId="2E41296A">
            <w:pPr>
              <w:rPr>
                <w:rFonts w:ascii="Times New Roman" w:eastAsia="Times New Roman" w:hAnsi="Times New Roman" w:cs="Times New Roman"/>
                <w:color w:val="000000" w:themeColor="text1"/>
                <w:sz w:val="24"/>
                <w:szCs w:val="24"/>
              </w:rPr>
            </w:pPr>
            <w:r w:rsidRPr="00B6005F">
              <w:rPr>
                <w:rFonts w:ascii="Times New Roman" w:eastAsia="Times New Roman" w:hAnsi="Times New Roman" w:cs="Times New Roman"/>
                <w:color w:val="000000" w:themeColor="text1"/>
                <w:sz w:val="24"/>
                <w:szCs w:val="24"/>
              </w:rPr>
              <w:t>“</w:t>
            </w:r>
            <w:r w:rsidRPr="001316D1">
              <w:rPr>
                <w:rFonts w:ascii="Times New Roman" w:eastAsia="Times New Roman" w:hAnsi="Times New Roman" w:cs="Times New Roman"/>
                <w:color w:val="000000" w:themeColor="text1"/>
                <w:sz w:val="24"/>
                <w:szCs w:val="24"/>
              </w:rPr>
              <w:t>The following items should be included as a part of both forms:</w:t>
            </w:r>
            <w:r w:rsidRPr="001316D1">
              <w:rPr>
                <w:rFonts w:ascii="Times New Roman" w:eastAsia="Times New Roman" w:hAnsi="Times New Roman" w:cs="Times New Roman"/>
                <w:color w:val="000000" w:themeColor="text1"/>
                <w:sz w:val="24"/>
                <w:szCs w:val="24"/>
              </w:rPr>
              <w:br/>
              <w:t>- a disclosure statement notifying of Artificial Intelligence (AI) technology’s involvement in the form’s</w:t>
            </w:r>
            <w:r w:rsidRPr="001316D1">
              <w:rPr>
                <w:rFonts w:ascii="Times New Roman" w:eastAsia="Times New Roman" w:hAnsi="Times New Roman" w:cs="Times New Roman"/>
                <w:color w:val="000000" w:themeColor="text1"/>
                <w:sz w:val="24"/>
                <w:szCs w:val="24"/>
              </w:rPr>
              <w:br/>
              <w:t>processing</w:t>
            </w:r>
            <w:r w:rsidRPr="001316D1">
              <w:rPr>
                <w:rFonts w:ascii="Times New Roman" w:eastAsia="Times New Roman" w:hAnsi="Times New Roman" w:cs="Times New Roman"/>
                <w:color w:val="000000" w:themeColor="text1"/>
                <w:sz w:val="24"/>
                <w:szCs w:val="24"/>
              </w:rPr>
              <w:br/>
              <w:t xml:space="preserve">- an option for the applicant’s consent to her information being subject to AI for conclusions or </w:t>
            </w:r>
            <w:r w:rsidRPr="001316D1">
              <w:rPr>
                <w:rFonts w:ascii="Times New Roman" w:eastAsia="Times New Roman" w:hAnsi="Times New Roman" w:cs="Times New Roman"/>
                <w:color w:val="000000" w:themeColor="text1"/>
                <w:sz w:val="24"/>
                <w:szCs w:val="24"/>
              </w:rPr>
              <w:t>decisionmaking</w:t>
            </w:r>
            <w:r w:rsidRPr="001316D1">
              <w:rPr>
                <w:rFonts w:ascii="Times New Roman" w:eastAsia="Times New Roman" w:hAnsi="Times New Roman" w:cs="Times New Roman"/>
                <w:color w:val="000000" w:themeColor="text1"/>
                <w:sz w:val="24"/>
                <w:szCs w:val="24"/>
              </w:rPr>
              <w:t>,</w:t>
            </w:r>
            <w:r w:rsidRPr="001316D1">
              <w:rPr>
                <w:rFonts w:ascii="Times New Roman" w:eastAsia="Times New Roman" w:hAnsi="Times New Roman" w:cs="Times New Roman"/>
                <w:color w:val="000000" w:themeColor="text1"/>
                <w:sz w:val="24"/>
                <w:szCs w:val="24"/>
              </w:rPr>
              <w:br/>
              <w:t>because of the burden of having to undo AI-made mistakes (an already published issue).</w:t>
            </w:r>
            <w:r w:rsidRPr="00B6005F">
              <w:rPr>
                <w:rFonts w:ascii="Times New Roman" w:eastAsia="Times New Roman" w:hAnsi="Times New Roman" w:cs="Times New Roman"/>
                <w:color w:val="000000" w:themeColor="text1"/>
                <w:sz w:val="24"/>
                <w:szCs w:val="24"/>
              </w:rPr>
              <w:t>”</w:t>
            </w:r>
          </w:p>
        </w:tc>
        <w:tc>
          <w:tcPr>
            <w:tcW w:w="1728" w:type="dxa"/>
            <w:hideMark/>
          </w:tcPr>
          <w:p w:rsidR="001316D1" w:rsidRPr="001316D1" w:rsidP="001316D1" w14:paraId="38791DF3" w14:textId="77777777">
            <w:pPr>
              <w:rPr>
                <w:rFonts w:ascii="Times New Roman" w:eastAsia="Times New Roman" w:hAnsi="Times New Roman" w:cs="Times New Roman"/>
                <w:color w:val="000000" w:themeColor="text1"/>
                <w:sz w:val="24"/>
                <w:szCs w:val="24"/>
              </w:rPr>
            </w:pPr>
            <w:r w:rsidRPr="001316D1">
              <w:rPr>
                <w:rFonts w:ascii="Times New Roman" w:eastAsia="Times New Roman" w:hAnsi="Times New Roman" w:cs="Times New Roman"/>
                <w:color w:val="000000" w:themeColor="text1"/>
                <w:sz w:val="24"/>
                <w:szCs w:val="24"/>
              </w:rPr>
              <w:t xml:space="preserve">The Department appreciates this comment. AI is not used by the Department to process borrower defense applications </w:t>
            </w:r>
            <w:r w:rsidRPr="001316D1">
              <w:rPr>
                <w:rFonts w:ascii="Times New Roman" w:eastAsia="Times New Roman" w:hAnsi="Times New Roman" w:cs="Times New Roman"/>
                <w:color w:val="000000" w:themeColor="text1"/>
                <w:sz w:val="24"/>
                <w:szCs w:val="24"/>
              </w:rPr>
              <w:t>at this time</w:t>
            </w:r>
            <w:r w:rsidRPr="001316D1">
              <w:rPr>
                <w:rFonts w:ascii="Times New Roman" w:eastAsia="Times New Roman" w:hAnsi="Times New Roman" w:cs="Times New Roman"/>
                <w:color w:val="000000" w:themeColor="text1"/>
                <w:sz w:val="24"/>
                <w:szCs w:val="24"/>
              </w:rPr>
              <w:t xml:space="preserve">. </w:t>
            </w:r>
          </w:p>
        </w:tc>
      </w:tr>
      <w:tr w14:paraId="2C48B2C3" w14:textId="77777777" w:rsidTr="001316D1">
        <w:tblPrEx>
          <w:tblW w:w="10080" w:type="dxa"/>
          <w:tblInd w:w="-455" w:type="dxa"/>
          <w:tblLook w:val="04A0"/>
        </w:tblPrEx>
        <w:tc>
          <w:tcPr>
            <w:tcW w:w="1305" w:type="dxa"/>
          </w:tcPr>
          <w:p w:rsidR="002F3B39" w:rsidRPr="00B6005F" w14:paraId="5A88EAC4" w14:textId="36BE1A98">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ED-2025-SCC-0002-0007</w:t>
            </w:r>
          </w:p>
        </w:tc>
        <w:tc>
          <w:tcPr>
            <w:tcW w:w="2790" w:type="dxa"/>
          </w:tcPr>
          <w:p w:rsidR="002F3B39" w:rsidRPr="00B6005F" w:rsidP="00653CA8" w14:paraId="51A349CD" w14:textId="2971CFE5">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Anonymous 2</w:t>
            </w:r>
          </w:p>
        </w:tc>
        <w:tc>
          <w:tcPr>
            <w:tcW w:w="4257" w:type="dxa"/>
          </w:tcPr>
          <w:p w:rsidR="002F3B39" w:rsidRPr="00B6005F" w:rsidP="002F3B39" w14:paraId="47D119FE" w14:textId="77777777">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“ED also uses your SSN as an account identifier and to permit you to access your account information</w:t>
            </w:r>
          </w:p>
          <w:p w:rsidR="002F3B39" w:rsidRPr="00B6005F" w:rsidP="002F3B39" w14:paraId="3BDEF0BA" w14:textId="77777777">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electronically.” The practice of using SSN as an account identifier is controversial because it increases</w:t>
            </w:r>
          </w:p>
          <w:p w:rsidR="002F3B39" w:rsidRPr="00B6005F" w:rsidP="002F3B39" w14:paraId="72C5E609" w14:textId="77777777">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vulnerability of social security numbers and inherently the account information – enabling security</w:t>
            </w:r>
          </w:p>
          <w:p w:rsidR="002F3B39" w:rsidRPr="00B6005F" w:rsidP="002F3B39" w14:paraId="2D16D8A3" w14:textId="77777777">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breaches. It is an avoidable risk ED takes on individuals’ behalf. ED should offer to provide alternative</w:t>
            </w:r>
          </w:p>
          <w:p w:rsidR="002F3B39" w:rsidRPr="00B6005F" w:rsidP="002F3B39" w14:paraId="00532D32" w14:textId="175FCDD5">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identifiers to individuals whose records are being kept in ED databases.”</w:t>
            </w:r>
          </w:p>
        </w:tc>
        <w:tc>
          <w:tcPr>
            <w:tcW w:w="1728" w:type="dxa"/>
          </w:tcPr>
          <w:p w:rsidR="002F3B39" w:rsidRPr="00B6005F" w14:paraId="11F983F9" w14:textId="7B20A346">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The Department appreciates this comment. However, the Department has chosen to use SSN as an identifier consistent with applicable laws</w:t>
            </w:r>
          </w:p>
        </w:tc>
      </w:tr>
      <w:tr w14:paraId="53291FCF" w14:textId="77777777" w:rsidTr="001316D1">
        <w:tblPrEx>
          <w:tblW w:w="10080" w:type="dxa"/>
          <w:tblInd w:w="-455" w:type="dxa"/>
          <w:tblLook w:val="04A0"/>
        </w:tblPrEx>
        <w:tc>
          <w:tcPr>
            <w:tcW w:w="1305" w:type="dxa"/>
          </w:tcPr>
          <w:p w:rsidR="002F3B39" w:rsidRPr="00B6005F" w14:paraId="0A0048E8" w14:textId="03176067">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ED-2025-SCC-0002-0004</w:t>
            </w:r>
          </w:p>
        </w:tc>
        <w:tc>
          <w:tcPr>
            <w:tcW w:w="2790" w:type="dxa"/>
          </w:tcPr>
          <w:p w:rsidR="002F3B39" w:rsidRPr="00B6005F" w:rsidP="00653CA8" w14:paraId="47F99006" w14:textId="5917F5C3">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Larrysmithag@yahoo.com</w:t>
            </w:r>
          </w:p>
        </w:tc>
        <w:tc>
          <w:tcPr>
            <w:tcW w:w="4257" w:type="dxa"/>
          </w:tcPr>
          <w:p w:rsidR="002F3B39" w:rsidRPr="00B6005F" w:rsidP="002F3B39" w14:paraId="0259778E" w14:textId="77777777">
            <w:pPr>
              <w:ind w:firstLine="720"/>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DO YOU WANT A PERSONAL/BUSINESS/INVESTMENT LOAN?</w:t>
            </w:r>
          </w:p>
          <w:p w:rsidR="002F3B39" w:rsidRPr="00B6005F" w:rsidP="002F3B39" w14:paraId="3D4C3098" w14:textId="77777777">
            <w:pPr>
              <w:ind w:firstLine="720"/>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Here comes an Affordable Legit Loan that will change your life forever. We</w:t>
            </w:r>
          </w:p>
          <w:p w:rsidR="002F3B39" w:rsidRPr="00B6005F" w:rsidP="002F3B39" w14:paraId="2EF0FEEE" w14:textId="77777777">
            <w:pPr>
              <w:ind w:firstLine="720"/>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 xml:space="preserve">offer loan to individual and public sector that </w:t>
            </w:r>
            <w:r w:rsidRPr="00B6005F">
              <w:rPr>
                <w:rFonts w:ascii="Times New Roman" w:hAnsi="Times New Roman" w:cs="Times New Roman"/>
                <w:color w:val="000000" w:themeColor="text1"/>
                <w:sz w:val="24"/>
                <w:szCs w:val="24"/>
              </w:rPr>
              <w:t>are in need of</w:t>
            </w:r>
            <w:r w:rsidRPr="00B6005F">
              <w:rPr>
                <w:rFonts w:ascii="Times New Roman" w:hAnsi="Times New Roman" w:cs="Times New Roman"/>
                <w:color w:val="000000" w:themeColor="text1"/>
                <w:sz w:val="24"/>
                <w:szCs w:val="24"/>
              </w:rPr>
              <w:t xml:space="preserve"> financial</w:t>
            </w:r>
          </w:p>
          <w:p w:rsidR="002F3B39" w:rsidRPr="00B6005F" w:rsidP="002F3B39" w14:paraId="6E70B46B" w14:textId="77777777">
            <w:pPr>
              <w:ind w:firstLine="720"/>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Assistance in a low interest rate of 5%. Bad credit acceptable, The Terms and</w:t>
            </w:r>
          </w:p>
          <w:p w:rsidR="002F3B39" w:rsidRPr="00B6005F" w:rsidP="002F3B39" w14:paraId="74C66368" w14:textId="77777777">
            <w:pPr>
              <w:ind w:firstLine="720"/>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 xml:space="preserve">Conditions are very simple and considerate. </w:t>
            </w:r>
            <w:r w:rsidRPr="00B6005F">
              <w:rPr>
                <w:rFonts w:ascii="Times New Roman" w:hAnsi="Times New Roman" w:cs="Times New Roman"/>
                <w:color w:val="000000" w:themeColor="text1"/>
                <w:sz w:val="24"/>
                <w:szCs w:val="24"/>
              </w:rPr>
              <w:t>( Email</w:t>
            </w:r>
            <w:r w:rsidRPr="00B6005F">
              <w:rPr>
                <w:rFonts w:ascii="Times New Roman" w:hAnsi="Times New Roman" w:cs="Times New Roman"/>
                <w:color w:val="000000" w:themeColor="text1"/>
                <w:sz w:val="24"/>
                <w:szCs w:val="24"/>
              </w:rPr>
              <w:t xml:space="preserve"> :</w:t>
            </w:r>
          </w:p>
          <w:p w:rsidR="002F3B39" w:rsidRPr="00B6005F" w:rsidP="002F3B39" w14:paraId="79E07467" w14:textId="77777777">
            <w:pPr>
              <w:ind w:firstLine="720"/>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larrysmithag@yahoo.com )</w:t>
            </w:r>
            <w:r w:rsidRPr="00B6005F">
              <w:rPr>
                <w:rFonts w:ascii="Times New Roman" w:hAnsi="Times New Roman" w:cs="Times New Roman"/>
                <w:color w:val="000000" w:themeColor="text1"/>
                <w:sz w:val="24"/>
                <w:szCs w:val="24"/>
              </w:rPr>
              <w:t xml:space="preserve"> Have you been looking for a quick and legit loan?</w:t>
            </w:r>
          </w:p>
          <w:p w:rsidR="002F3B39" w:rsidRPr="00B6005F" w:rsidP="002F3B39" w14:paraId="4C17024E" w14:textId="32DE9BB7">
            <w:pPr>
              <w:ind w:firstLine="720"/>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Note, getting a loan from this company is 100% assured and guaranteed</w:t>
            </w:r>
          </w:p>
        </w:tc>
        <w:tc>
          <w:tcPr>
            <w:tcW w:w="1728" w:type="dxa"/>
          </w:tcPr>
          <w:p w:rsidR="002F3B39" w:rsidRPr="00B6005F" w14:paraId="29C05928" w14:textId="5B9EFA74">
            <w:pPr>
              <w:rPr>
                <w:rFonts w:ascii="Times New Roman" w:hAnsi="Times New Roman" w:cs="Times New Roman"/>
                <w:color w:val="000000" w:themeColor="text1"/>
                <w:sz w:val="24"/>
                <w:szCs w:val="24"/>
              </w:rPr>
            </w:pPr>
            <w:r w:rsidRPr="00B6005F">
              <w:rPr>
                <w:rFonts w:ascii="Times New Roman" w:hAnsi="Times New Roman" w:cs="Times New Roman"/>
                <w:color w:val="000000" w:themeColor="text1"/>
                <w:sz w:val="24"/>
                <w:szCs w:val="24"/>
              </w:rPr>
              <w:t>The Department appreciates this comment. However, the additional regulations do not pertain to borrower defense to repayment and so no changes have been made to the application.</w:t>
            </w:r>
          </w:p>
        </w:tc>
      </w:tr>
    </w:tbl>
    <w:p w:rsidR="00653CA8" w:rsidRPr="002F3B39" w14:paraId="0FDB501A" w14:textId="18C6D79B">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60"/>
    <w:rsid w:val="00030202"/>
    <w:rsid w:val="000E00CE"/>
    <w:rsid w:val="001316D1"/>
    <w:rsid w:val="00216042"/>
    <w:rsid w:val="002F3B39"/>
    <w:rsid w:val="005377DA"/>
    <w:rsid w:val="00650E60"/>
    <w:rsid w:val="00653CA8"/>
    <w:rsid w:val="007B6DF4"/>
    <w:rsid w:val="00805CEF"/>
    <w:rsid w:val="00913A41"/>
    <w:rsid w:val="009F5DA9"/>
    <w:rsid w:val="00A15B36"/>
    <w:rsid w:val="00B23DE0"/>
    <w:rsid w:val="00B6005F"/>
    <w:rsid w:val="00B63277"/>
    <w:rsid w:val="00C454C4"/>
    <w:rsid w:val="00D90A68"/>
    <w:rsid w:val="00E40144"/>
    <w:rsid w:val="00EF09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D1CFCA"/>
  <w15:chartTrackingRefBased/>
  <w15:docId w15:val="{9E2C03CC-E4E9-4104-9D51-614B1706B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E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0E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0E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0E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0E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0E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E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E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E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E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0E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0E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0E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0E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0E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E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E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E60"/>
    <w:rPr>
      <w:rFonts w:eastAsiaTheme="majorEastAsia" w:cstheme="majorBidi"/>
      <w:color w:val="272727" w:themeColor="text1" w:themeTint="D8"/>
    </w:rPr>
  </w:style>
  <w:style w:type="paragraph" w:styleId="Title">
    <w:name w:val="Title"/>
    <w:basedOn w:val="Normal"/>
    <w:next w:val="Normal"/>
    <w:link w:val="TitleChar"/>
    <w:uiPriority w:val="10"/>
    <w:qFormat/>
    <w:rsid w:val="00650E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E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E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E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E60"/>
    <w:pPr>
      <w:spacing w:before="160"/>
      <w:jc w:val="center"/>
    </w:pPr>
    <w:rPr>
      <w:i/>
      <w:iCs/>
      <w:color w:val="404040" w:themeColor="text1" w:themeTint="BF"/>
    </w:rPr>
  </w:style>
  <w:style w:type="character" w:customStyle="1" w:styleId="QuoteChar">
    <w:name w:val="Quote Char"/>
    <w:basedOn w:val="DefaultParagraphFont"/>
    <w:link w:val="Quote"/>
    <w:uiPriority w:val="29"/>
    <w:rsid w:val="00650E60"/>
    <w:rPr>
      <w:i/>
      <w:iCs/>
      <w:color w:val="404040" w:themeColor="text1" w:themeTint="BF"/>
    </w:rPr>
  </w:style>
  <w:style w:type="paragraph" w:styleId="ListParagraph">
    <w:name w:val="List Paragraph"/>
    <w:basedOn w:val="Normal"/>
    <w:uiPriority w:val="34"/>
    <w:qFormat/>
    <w:rsid w:val="00650E60"/>
    <w:pPr>
      <w:ind w:left="720"/>
      <w:contextualSpacing/>
    </w:pPr>
  </w:style>
  <w:style w:type="character" w:styleId="IntenseEmphasis">
    <w:name w:val="Intense Emphasis"/>
    <w:basedOn w:val="DefaultParagraphFont"/>
    <w:uiPriority w:val="21"/>
    <w:qFormat/>
    <w:rsid w:val="00650E60"/>
    <w:rPr>
      <w:i/>
      <w:iCs/>
      <w:color w:val="0F4761" w:themeColor="accent1" w:themeShade="BF"/>
    </w:rPr>
  </w:style>
  <w:style w:type="paragraph" w:styleId="IntenseQuote">
    <w:name w:val="Intense Quote"/>
    <w:basedOn w:val="Normal"/>
    <w:next w:val="Normal"/>
    <w:link w:val="IntenseQuoteChar"/>
    <w:uiPriority w:val="30"/>
    <w:qFormat/>
    <w:rsid w:val="00650E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0E60"/>
    <w:rPr>
      <w:i/>
      <w:iCs/>
      <w:color w:val="0F4761" w:themeColor="accent1" w:themeShade="BF"/>
    </w:rPr>
  </w:style>
  <w:style w:type="character" w:styleId="IntenseReference">
    <w:name w:val="Intense Reference"/>
    <w:basedOn w:val="DefaultParagraphFont"/>
    <w:uiPriority w:val="32"/>
    <w:qFormat/>
    <w:rsid w:val="00650E60"/>
    <w:rPr>
      <w:b/>
      <w:bCs/>
      <w:smallCaps/>
      <w:color w:val="0F4761" w:themeColor="accent1" w:themeShade="BF"/>
      <w:spacing w:val="5"/>
    </w:rPr>
  </w:style>
  <w:style w:type="table" w:styleId="TableGrid">
    <w:name w:val="Table Grid"/>
    <w:basedOn w:val="TableNormal"/>
    <w:uiPriority w:val="39"/>
    <w:rsid w:val="00653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6d08b30d57879de2916f05560a1b7685">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85e1c9576816326e5b7684db655c8997"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documentManagement>
</p:properties>
</file>

<file path=customXml/itemProps1.xml><?xml version="1.0" encoding="utf-8"?>
<ds:datastoreItem xmlns:ds="http://schemas.openxmlformats.org/officeDocument/2006/customXml" ds:itemID="{82F6BC58-D565-4ED1-AC6E-614371059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0D5956-72D8-40AC-AE21-DEA4DE7773D9}">
  <ds:schemaRefs>
    <ds:schemaRef ds:uri="http://schemas.microsoft.com/sharepoint/v3/contenttype/forms"/>
  </ds:schemaRefs>
</ds:datastoreItem>
</file>

<file path=customXml/itemProps3.xml><?xml version="1.0" encoding="utf-8"?>
<ds:datastoreItem xmlns:ds="http://schemas.openxmlformats.org/officeDocument/2006/customXml" ds:itemID="{BE17663C-B2DD-4E4B-85D4-16F318BC97AB}">
  <ds:schemaRefs>
    <ds:schemaRef ds:uri="a9a93928-7ac7-4c2f-90e6-3a0e778b9dd0"/>
    <ds:schemaRef ds:uri="bd10e23a-f09c-45e3-849e-438a97faa086"/>
    <ds:schemaRef ds:uri="2a2db8c4-56ab-4882-a5d0-0fe8165c6658"/>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1438</Words>
  <Characters>8198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Alana</dc:creator>
  <cp:lastModifiedBy>Rose, Carolyn</cp:lastModifiedBy>
  <cp:revision>2</cp:revision>
  <dcterms:created xsi:type="dcterms:W3CDTF">2025-05-09T15:18:00Z</dcterms:created>
  <dcterms:modified xsi:type="dcterms:W3CDTF">2025-05-09T15:18:00Z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ies>
</file>