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2D3306" w:rsidRPr="002D3306" w:rsidP="002D3306" w14:paraId="596D9168" w14:textId="77777777">
      <w:pPr>
        <w:pStyle w:val="Title"/>
        <w:spacing w:before="0" w:after="0"/>
        <w:rPr>
          <w:rFonts w:asciiTheme="minorHAnsi" w:hAnsiTheme="minorHAnsi" w:cstheme="minorHAnsi"/>
          <w:b w:val="0"/>
          <w:bCs/>
          <w:sz w:val="24"/>
          <w:szCs w:val="24"/>
        </w:rPr>
      </w:pPr>
      <w:r w:rsidRPr="002D3306">
        <w:rPr>
          <w:rFonts w:asciiTheme="minorHAnsi" w:hAnsiTheme="minorHAnsi" w:cstheme="minorHAnsi"/>
          <w:b w:val="0"/>
          <w:bCs/>
          <w:sz w:val="24"/>
          <w:szCs w:val="24"/>
        </w:rPr>
        <w:t>Fiscal Operations Report for 2022-2023 and Application to Participate 2024-2025 (FISAP) and Reallocation Form</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2D3306" w:rsidRPr="004C18DB" w:rsidP="002D3306" w14:paraId="4BDD7FF7" w14:textId="77777777">
      <w:pPr>
        <w:tabs>
          <w:tab w:val="left" w:pos="720"/>
        </w:tabs>
        <w:suppressAutoHyphens/>
        <w:ind w:left="720"/>
        <w:rPr>
          <w:rFonts w:asciiTheme="minorHAnsi" w:hAnsiTheme="minorHAnsi" w:cstheme="minorHAnsi"/>
          <w:b/>
          <w:szCs w:val="24"/>
          <w:u w:val="single"/>
        </w:rPr>
      </w:pPr>
      <w:r w:rsidRPr="004C18DB">
        <w:rPr>
          <w:rFonts w:asciiTheme="minorHAnsi" w:hAnsiTheme="minorHAnsi" w:cstheme="minorHAnsi"/>
          <w:b/>
          <w:szCs w:val="24"/>
          <w:u w:val="single"/>
        </w:rPr>
        <w:t>FISAP Form</w:t>
      </w:r>
    </w:p>
    <w:p w:rsidR="002D3306" w:rsidRPr="004C18DB" w:rsidP="002D3306" w14:paraId="0B8308D1"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Higher Education Opportunity Act (HEOA) (P.L. 110-315) was enacted on August 14, 2008 and reauthorized the Higher Education Act of 1965, as amended, (HEA). It requires participating Title IV institutions to apply for funds and report expenditures for the Federal Perkins Loan (Perkins), the Federal Supplemental Educational Opportunity Grant (FSEOG) and the Federal Work-Study (FWS) Programs on an annual basis.</w:t>
      </w:r>
    </w:p>
    <w:p w:rsidR="002D3306" w:rsidRPr="004C18DB" w:rsidP="002D3306" w14:paraId="3CF5E47C" w14:textId="77777777">
      <w:pPr>
        <w:tabs>
          <w:tab w:val="left" w:pos="720"/>
        </w:tabs>
        <w:suppressAutoHyphens/>
        <w:ind w:left="720"/>
        <w:rPr>
          <w:rFonts w:asciiTheme="minorHAnsi" w:hAnsiTheme="minorHAnsi" w:cstheme="minorHAnsi"/>
          <w:szCs w:val="24"/>
        </w:rPr>
      </w:pPr>
    </w:p>
    <w:p w:rsidR="002D3306" w:rsidRPr="004C18DB" w:rsidP="002D3306" w14:paraId="404B497B"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 xml:space="preserve">The data submitted electronically in the Fiscal Operations Report and Application to Participate (FISAP) is used by the Department of Education (the Department) to determine the institution’s funding need for the award year and monitor program effectiveness and accountability of fund expenditures.  The data is used in conjunction with institutional program reviews to assess the administrative capability and compliance of the applicant. There are no other resources for collecting this data.  Sections of the Higher Education Act of 1965, as amended, that govern these programs can be found at </w:t>
      </w:r>
      <w:hyperlink r:id="rId9" w:history="1">
        <w:r w:rsidRPr="004C18DB">
          <w:rPr>
            <w:rStyle w:val="Hyperlink"/>
            <w:rFonts w:asciiTheme="minorHAnsi" w:hAnsiTheme="minorHAnsi" w:cstheme="minorHAnsi"/>
            <w:szCs w:val="24"/>
          </w:rPr>
          <w:t>http://www2.ed.gov/about/offices/list/ope/library.html</w:t>
        </w:r>
      </w:hyperlink>
      <w:r w:rsidRPr="004C18DB">
        <w:rPr>
          <w:rFonts w:asciiTheme="minorHAnsi" w:hAnsiTheme="minorHAnsi" w:cstheme="minorHAnsi"/>
          <w:szCs w:val="24"/>
        </w:rPr>
        <w:t xml:space="preserve">. </w:t>
      </w:r>
    </w:p>
    <w:p w:rsidR="002D3306" w:rsidRPr="004C18DB" w:rsidP="002D3306" w14:paraId="234EC4C2" w14:textId="77777777">
      <w:pPr>
        <w:tabs>
          <w:tab w:val="left" w:pos="720"/>
        </w:tabs>
        <w:suppressAutoHyphens/>
        <w:ind w:left="720"/>
        <w:rPr>
          <w:rFonts w:asciiTheme="minorHAnsi" w:hAnsiTheme="minorHAnsi" w:cstheme="minorHAnsi"/>
          <w:szCs w:val="24"/>
        </w:rPr>
      </w:pPr>
    </w:p>
    <w:p w:rsidR="002D3306" w:rsidRPr="004C18DB" w:rsidP="002D3306" w14:paraId="1FDF0E7C"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legislative authority governing the application for the distribution of Perkins funds is 20 U.S.C. 1087bb (34 CFR 673.3); for FWS funds it is 42 U.S.C. 2752 (34 CFR 673.3); and for FSEOG funds it is 20 U.S.C. 1070b-3 (34 CFR 673.3).</w:t>
      </w:r>
    </w:p>
    <w:p w:rsidR="002D3306" w:rsidRPr="004C18DB" w:rsidP="002D3306" w14:paraId="4B3B73E0" w14:textId="77777777">
      <w:pPr>
        <w:tabs>
          <w:tab w:val="left" w:pos="720"/>
        </w:tabs>
        <w:suppressAutoHyphens/>
        <w:ind w:left="720"/>
        <w:rPr>
          <w:rFonts w:asciiTheme="minorHAnsi" w:hAnsiTheme="minorHAnsi" w:cstheme="minorHAnsi"/>
          <w:szCs w:val="24"/>
        </w:rPr>
      </w:pPr>
    </w:p>
    <w:p w:rsidR="002D3306" w:rsidRPr="004C18DB" w:rsidP="002D3306" w14:paraId="42D9477E"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legislative authority governing the annual report on the uses made of funds provided under the previous sections is 20 U.S. C. 1094.</w:t>
      </w:r>
    </w:p>
    <w:p w:rsidR="002D3306" w:rsidRPr="004C18DB" w:rsidP="002D3306" w14:paraId="249894ED" w14:textId="77777777">
      <w:pPr>
        <w:tabs>
          <w:tab w:val="left" w:pos="720"/>
        </w:tabs>
        <w:suppressAutoHyphens/>
        <w:ind w:left="720"/>
        <w:rPr>
          <w:rFonts w:asciiTheme="minorHAnsi" w:hAnsiTheme="minorHAnsi" w:cstheme="minorHAnsi"/>
          <w:szCs w:val="24"/>
        </w:rPr>
      </w:pPr>
    </w:p>
    <w:p w:rsidR="002D3306" w:rsidRPr="004C18DB" w:rsidP="002D3306" w14:paraId="0C960E02" w14:textId="77777777">
      <w:pPr>
        <w:tabs>
          <w:tab w:val="left" w:pos="720"/>
        </w:tabs>
        <w:suppressAutoHyphens/>
        <w:ind w:left="720"/>
        <w:rPr>
          <w:rFonts w:asciiTheme="minorHAnsi" w:hAnsiTheme="minorHAnsi" w:cstheme="minorHAnsi"/>
          <w:b/>
          <w:szCs w:val="24"/>
          <w:u w:val="single"/>
        </w:rPr>
      </w:pPr>
      <w:r w:rsidRPr="004C18DB">
        <w:rPr>
          <w:rFonts w:asciiTheme="minorHAnsi" w:hAnsiTheme="minorHAnsi" w:cstheme="minorHAnsi"/>
          <w:b/>
          <w:szCs w:val="24"/>
          <w:u w:val="single"/>
        </w:rPr>
        <w:t>Reallocation Form</w:t>
      </w:r>
    </w:p>
    <w:p w:rsidR="002D3306" w:rsidP="002D3306" w14:paraId="73A42842" w14:textId="1B82FD5E">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HEA requires that if an institution anticipates not using all of its allocated funds for the FWS, and FSEOG programs by the end of an award year, it must specify the anticipated remaining unused amount to the Secretary, who reduces the institution’s allocation accordingly. Unused amounts are reported in Section A of the Reallocation Form.</w:t>
      </w:r>
    </w:p>
    <w:p w:rsidR="00F87BF7" w:rsidRPr="004C18DB" w:rsidP="002D3306" w14:paraId="0B3EBE17" w14:textId="77777777">
      <w:pPr>
        <w:tabs>
          <w:tab w:val="left" w:pos="720"/>
        </w:tabs>
        <w:suppressAutoHyphens/>
        <w:ind w:left="720"/>
        <w:rPr>
          <w:rFonts w:asciiTheme="minorHAnsi" w:hAnsiTheme="minorHAnsi" w:cstheme="minorHAnsi"/>
          <w:szCs w:val="24"/>
        </w:rPr>
      </w:pPr>
    </w:p>
    <w:p w:rsidR="002D3306" w:rsidRPr="004C18DB" w:rsidP="002D3306" w14:paraId="7BA95B64"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 xml:space="preserve">The HEA also requires the Secretary to reallocate these unexpended funds before the appropriations expire on September 30, immediately following their release in this form.  The data collected in Section B provides the minimum information needed by the Secretary to determine a fair and equitable distribution of supplemental FWS allocations for the purpose of furthering the program’s community service goals. </w:t>
      </w:r>
    </w:p>
    <w:p w:rsidR="002D3306" w:rsidRPr="004C18DB" w:rsidP="002D3306" w14:paraId="2B240F6E" w14:textId="77777777">
      <w:pPr>
        <w:tabs>
          <w:tab w:val="left" w:pos="720"/>
        </w:tabs>
        <w:suppressAutoHyphens/>
        <w:ind w:left="720"/>
        <w:rPr>
          <w:rFonts w:asciiTheme="minorHAnsi" w:hAnsiTheme="minorHAnsi" w:cstheme="minorHAnsi"/>
          <w:szCs w:val="24"/>
        </w:rPr>
      </w:pPr>
    </w:p>
    <w:p w:rsidR="002D3306" w:rsidRPr="004C18DB" w:rsidP="002D3306" w14:paraId="2170AB6E" w14:textId="77777777">
      <w:pPr>
        <w:tabs>
          <w:tab w:val="left" w:pos="720"/>
        </w:tabs>
        <w:suppressAutoHyphens/>
        <w:ind w:left="720"/>
        <w:jc w:val="center"/>
        <w:rPr>
          <w:rFonts w:asciiTheme="minorHAnsi" w:hAnsiTheme="minorHAnsi" w:cstheme="minorHAnsi"/>
          <w:szCs w:val="24"/>
          <w:u w:val="single"/>
        </w:rPr>
      </w:pPr>
      <w:r w:rsidRPr="004C18DB">
        <w:rPr>
          <w:rFonts w:asciiTheme="minorHAnsi" w:hAnsiTheme="minorHAnsi" w:cstheme="minorHAnsi"/>
          <w:szCs w:val="24"/>
          <w:u w:val="single"/>
        </w:rPr>
        <w:t>Changes to the FISAP Form and Instructions</w:t>
      </w:r>
    </w:p>
    <w:p w:rsidR="002D3306" w:rsidRPr="004C18DB" w:rsidP="002D3306" w14:paraId="7A6D64D6" w14:textId="77777777">
      <w:pPr>
        <w:pStyle w:val="ListParagraph"/>
        <w:suppressAutoHyphens/>
        <w:spacing w:line="288" w:lineRule="auto"/>
        <w:rPr>
          <w:rFonts w:asciiTheme="minorHAnsi" w:hAnsiTheme="minorHAnsi" w:cstheme="minorHAnsi"/>
          <w:b/>
          <w:szCs w:val="24"/>
        </w:rPr>
      </w:pPr>
      <w:r w:rsidRPr="004C18DB">
        <w:rPr>
          <w:rFonts w:asciiTheme="minorHAnsi" w:hAnsiTheme="minorHAnsi" w:cstheme="minorHAnsi"/>
          <w:b/>
          <w:szCs w:val="24"/>
        </w:rPr>
        <w:t>FISAP Form:</w:t>
      </w:r>
    </w:p>
    <w:tbl>
      <w:tblPr>
        <w:tblStyle w:val="TableGrid"/>
        <w:tblW w:w="0" w:type="auto"/>
        <w:tblInd w:w="558" w:type="dxa"/>
        <w:tblLook w:val="04A0"/>
      </w:tblPr>
      <w:tblGrid>
        <w:gridCol w:w="932"/>
        <w:gridCol w:w="1038"/>
        <w:gridCol w:w="1262"/>
        <w:gridCol w:w="5560"/>
      </w:tblGrid>
      <w:tr w14:paraId="4D0447EC" w14:textId="77777777" w:rsidTr="00D83E68">
        <w:tblPrEx>
          <w:tblW w:w="0" w:type="auto"/>
          <w:tblInd w:w="558" w:type="dxa"/>
          <w:tblLook w:val="04A0"/>
        </w:tblPrEx>
        <w:tc>
          <w:tcPr>
            <w:tcW w:w="932" w:type="dxa"/>
          </w:tcPr>
          <w:p w:rsidR="002D3306" w:rsidRPr="004C18DB" w:rsidP="00D83E68" w14:paraId="51C269B1" w14:textId="77777777">
            <w:pPr>
              <w:suppressAutoHyphens/>
              <w:rPr>
                <w:rFonts w:asciiTheme="minorHAnsi" w:hAnsiTheme="minorHAnsi" w:cstheme="minorHAnsi"/>
                <w:b/>
                <w:szCs w:val="24"/>
              </w:rPr>
            </w:pPr>
            <w:r w:rsidRPr="004C18DB">
              <w:rPr>
                <w:rFonts w:asciiTheme="minorHAnsi" w:hAnsiTheme="minorHAnsi" w:cstheme="minorHAnsi"/>
                <w:b/>
                <w:szCs w:val="24"/>
              </w:rPr>
              <w:t>Part</w:t>
            </w:r>
          </w:p>
        </w:tc>
        <w:tc>
          <w:tcPr>
            <w:tcW w:w="1038" w:type="dxa"/>
          </w:tcPr>
          <w:p w:rsidR="002D3306" w:rsidRPr="004C18DB" w:rsidP="00D83E68" w14:paraId="2A5D8032" w14:textId="77777777">
            <w:pPr>
              <w:suppressAutoHyphens/>
              <w:rPr>
                <w:rFonts w:asciiTheme="minorHAnsi" w:hAnsiTheme="minorHAnsi" w:cstheme="minorHAnsi"/>
                <w:b/>
                <w:szCs w:val="24"/>
              </w:rPr>
            </w:pPr>
            <w:r w:rsidRPr="004C18DB">
              <w:rPr>
                <w:rFonts w:asciiTheme="minorHAnsi" w:hAnsiTheme="minorHAnsi" w:cstheme="minorHAnsi"/>
                <w:b/>
                <w:szCs w:val="24"/>
              </w:rPr>
              <w:t>Section</w:t>
            </w:r>
          </w:p>
        </w:tc>
        <w:tc>
          <w:tcPr>
            <w:tcW w:w="1262" w:type="dxa"/>
          </w:tcPr>
          <w:p w:rsidR="002D3306" w:rsidRPr="004C18DB" w:rsidP="00D83E68" w14:paraId="600BD049" w14:textId="77777777">
            <w:pPr>
              <w:suppressAutoHyphens/>
              <w:rPr>
                <w:rFonts w:asciiTheme="minorHAnsi" w:hAnsiTheme="minorHAnsi" w:cstheme="minorHAnsi"/>
                <w:b/>
                <w:szCs w:val="24"/>
              </w:rPr>
            </w:pPr>
            <w:r w:rsidRPr="004C18DB">
              <w:rPr>
                <w:rFonts w:asciiTheme="minorHAnsi" w:hAnsiTheme="minorHAnsi" w:cstheme="minorHAnsi"/>
                <w:b/>
                <w:szCs w:val="24"/>
              </w:rPr>
              <w:t>Field</w:t>
            </w:r>
          </w:p>
        </w:tc>
        <w:tc>
          <w:tcPr>
            <w:tcW w:w="5560" w:type="dxa"/>
          </w:tcPr>
          <w:p w:rsidR="002D3306" w:rsidRPr="004C18DB" w:rsidP="00D83E68" w14:paraId="40425D5B" w14:textId="77777777">
            <w:pPr>
              <w:suppressAutoHyphens/>
              <w:rPr>
                <w:rFonts w:asciiTheme="minorHAnsi" w:hAnsiTheme="minorHAnsi" w:cstheme="minorHAnsi"/>
                <w:b/>
                <w:szCs w:val="24"/>
              </w:rPr>
            </w:pPr>
            <w:r w:rsidRPr="004C18DB">
              <w:rPr>
                <w:rFonts w:asciiTheme="minorHAnsi" w:hAnsiTheme="minorHAnsi" w:cstheme="minorHAnsi"/>
                <w:b/>
                <w:szCs w:val="24"/>
              </w:rPr>
              <w:t>Change</w:t>
            </w:r>
          </w:p>
        </w:tc>
      </w:tr>
      <w:tr w14:paraId="58C2A18F" w14:textId="77777777" w:rsidTr="00D83E68">
        <w:tblPrEx>
          <w:tblW w:w="0" w:type="auto"/>
          <w:tblInd w:w="558" w:type="dxa"/>
          <w:tblLook w:val="04A0"/>
        </w:tblPrEx>
        <w:tc>
          <w:tcPr>
            <w:tcW w:w="932" w:type="dxa"/>
          </w:tcPr>
          <w:p w:rsidR="002D3306" w:rsidRPr="004C18DB" w:rsidP="00D83E68" w14:paraId="3847F6BC" w14:textId="77777777">
            <w:pPr>
              <w:suppressAutoHyphens/>
              <w:rPr>
                <w:rFonts w:asciiTheme="minorHAnsi" w:hAnsiTheme="minorHAnsi" w:cstheme="minorHAnsi"/>
                <w:szCs w:val="24"/>
              </w:rPr>
            </w:pPr>
            <w:r w:rsidRPr="004C18DB">
              <w:rPr>
                <w:rFonts w:asciiTheme="minorHAnsi" w:hAnsiTheme="minorHAnsi" w:cstheme="minorHAnsi"/>
                <w:szCs w:val="24"/>
              </w:rPr>
              <w:t>All</w:t>
            </w:r>
          </w:p>
        </w:tc>
        <w:tc>
          <w:tcPr>
            <w:tcW w:w="1038" w:type="dxa"/>
          </w:tcPr>
          <w:p w:rsidR="002D3306" w:rsidRPr="004C18DB" w:rsidP="00D83E68" w14:paraId="3BD16782" w14:textId="77777777">
            <w:pPr>
              <w:suppressAutoHyphens/>
              <w:rPr>
                <w:rFonts w:asciiTheme="minorHAnsi" w:hAnsiTheme="minorHAnsi" w:cstheme="minorHAnsi"/>
                <w:szCs w:val="24"/>
              </w:rPr>
            </w:pPr>
            <w:r w:rsidRPr="004C18DB">
              <w:rPr>
                <w:rFonts w:asciiTheme="minorHAnsi" w:hAnsiTheme="minorHAnsi" w:cstheme="minorHAnsi"/>
                <w:szCs w:val="24"/>
              </w:rPr>
              <w:t>All</w:t>
            </w:r>
          </w:p>
        </w:tc>
        <w:tc>
          <w:tcPr>
            <w:tcW w:w="1262" w:type="dxa"/>
          </w:tcPr>
          <w:p w:rsidR="002D3306" w:rsidRPr="004C18DB" w:rsidP="00D83E68" w14:paraId="6B7CBE91" w14:textId="77777777">
            <w:pPr>
              <w:suppressAutoHyphens/>
              <w:rPr>
                <w:rFonts w:asciiTheme="minorHAnsi" w:hAnsiTheme="minorHAnsi" w:cstheme="minorHAnsi"/>
                <w:szCs w:val="24"/>
              </w:rPr>
            </w:pPr>
          </w:p>
        </w:tc>
        <w:tc>
          <w:tcPr>
            <w:tcW w:w="5560" w:type="dxa"/>
          </w:tcPr>
          <w:p w:rsidR="002D3306" w:rsidRPr="004C18DB" w:rsidP="00D83E68" w14:paraId="2BA7A070" w14:textId="77777777">
            <w:pPr>
              <w:suppressAutoHyphens/>
              <w:rPr>
                <w:rFonts w:asciiTheme="minorHAnsi" w:hAnsiTheme="minorHAnsi" w:cstheme="minorHAnsi"/>
                <w:szCs w:val="24"/>
              </w:rPr>
            </w:pPr>
            <w:r w:rsidRPr="004C18DB">
              <w:rPr>
                <w:rFonts w:asciiTheme="minorHAnsi" w:hAnsiTheme="minorHAnsi" w:cstheme="minorHAnsi"/>
                <w:szCs w:val="24"/>
              </w:rPr>
              <w:t>Deadline date and Award Year references updated.</w:t>
            </w:r>
          </w:p>
        </w:tc>
      </w:tr>
      <w:tr w14:paraId="1F843127" w14:textId="77777777" w:rsidTr="00D83E68">
        <w:tblPrEx>
          <w:tblW w:w="0" w:type="auto"/>
          <w:tblInd w:w="558" w:type="dxa"/>
          <w:tblLook w:val="04A0"/>
        </w:tblPrEx>
        <w:tc>
          <w:tcPr>
            <w:tcW w:w="932" w:type="dxa"/>
          </w:tcPr>
          <w:p w:rsidR="002D3306" w:rsidRPr="004C18DB" w:rsidP="00D83E68" w14:paraId="3DBCBF9E" w14:textId="77777777">
            <w:pPr>
              <w:suppressAutoHyphens/>
              <w:rPr>
                <w:rFonts w:asciiTheme="minorHAnsi" w:hAnsiTheme="minorHAnsi" w:cstheme="minorHAnsi"/>
                <w:szCs w:val="24"/>
              </w:rPr>
            </w:pPr>
            <w:r w:rsidRPr="004C18DB">
              <w:rPr>
                <w:rFonts w:asciiTheme="minorHAnsi" w:hAnsiTheme="minorHAnsi" w:cstheme="minorHAnsi"/>
                <w:szCs w:val="24"/>
              </w:rPr>
              <w:t>I</w:t>
            </w:r>
          </w:p>
        </w:tc>
        <w:tc>
          <w:tcPr>
            <w:tcW w:w="1038" w:type="dxa"/>
          </w:tcPr>
          <w:p w:rsidR="002D3306" w:rsidRPr="004C18DB" w:rsidP="00D83E68" w14:paraId="0D0FF3FB" w14:textId="77777777">
            <w:pPr>
              <w:suppressAutoHyphens/>
              <w:rPr>
                <w:rFonts w:asciiTheme="minorHAnsi" w:hAnsiTheme="minorHAnsi" w:cstheme="minorHAnsi"/>
                <w:szCs w:val="24"/>
              </w:rPr>
            </w:pPr>
            <w:r w:rsidRPr="004C18DB">
              <w:rPr>
                <w:rFonts w:asciiTheme="minorHAnsi" w:hAnsiTheme="minorHAnsi" w:cstheme="minorHAnsi"/>
                <w:szCs w:val="24"/>
              </w:rPr>
              <w:t>B</w:t>
            </w:r>
          </w:p>
        </w:tc>
        <w:tc>
          <w:tcPr>
            <w:tcW w:w="1262" w:type="dxa"/>
          </w:tcPr>
          <w:p w:rsidR="002D3306" w:rsidRPr="004C18DB" w:rsidP="00D83E68" w14:paraId="380FA705" w14:textId="77777777">
            <w:pPr>
              <w:suppressAutoHyphens/>
              <w:rPr>
                <w:rFonts w:asciiTheme="minorHAnsi" w:hAnsiTheme="minorHAnsi" w:cstheme="minorHAnsi"/>
                <w:szCs w:val="24"/>
              </w:rPr>
            </w:pPr>
            <w:r w:rsidRPr="004C18DB">
              <w:rPr>
                <w:rFonts w:asciiTheme="minorHAnsi" w:hAnsiTheme="minorHAnsi" w:cstheme="minorHAnsi"/>
                <w:szCs w:val="24"/>
              </w:rPr>
              <w:t>8</w:t>
            </w:r>
          </w:p>
        </w:tc>
        <w:tc>
          <w:tcPr>
            <w:tcW w:w="5560" w:type="dxa"/>
          </w:tcPr>
          <w:p w:rsidR="002D3306" w:rsidRPr="004C18DB" w:rsidP="00D83E68" w14:paraId="4B87458E" w14:textId="77777777">
            <w:pPr>
              <w:suppressAutoHyphens/>
              <w:rPr>
                <w:rFonts w:asciiTheme="minorHAnsi" w:hAnsiTheme="minorHAnsi" w:cstheme="minorHAnsi"/>
                <w:szCs w:val="24"/>
              </w:rPr>
            </w:pPr>
            <w:r w:rsidRPr="004C18DB">
              <w:rPr>
                <w:rFonts w:asciiTheme="minorHAnsi" w:hAnsiTheme="minorHAnsi" w:cstheme="minorHAnsi"/>
                <w:szCs w:val="24"/>
              </w:rPr>
              <w:t>Updated mailing address</w:t>
            </w:r>
          </w:p>
        </w:tc>
      </w:tr>
    </w:tbl>
    <w:p w:rsidR="002D3306" w:rsidRPr="004C18DB" w:rsidP="002D3306" w14:paraId="2D5E7378" w14:textId="77777777">
      <w:pPr>
        <w:suppressAutoHyphens/>
        <w:ind w:left="1440"/>
        <w:rPr>
          <w:rFonts w:asciiTheme="minorHAnsi" w:hAnsiTheme="minorHAnsi" w:cstheme="minorHAnsi"/>
          <w:b/>
          <w:szCs w:val="24"/>
        </w:rPr>
      </w:pPr>
    </w:p>
    <w:p w:rsidR="002D3306" w:rsidRPr="004C18DB" w:rsidP="002D3306" w14:paraId="1B809551" w14:textId="77777777">
      <w:pPr>
        <w:suppressAutoHyphens/>
        <w:spacing w:line="288" w:lineRule="auto"/>
        <w:ind w:left="720"/>
        <w:rPr>
          <w:rFonts w:asciiTheme="minorHAnsi" w:hAnsiTheme="minorHAnsi" w:cstheme="minorHAnsi"/>
          <w:b/>
          <w:szCs w:val="24"/>
        </w:rPr>
      </w:pPr>
      <w:r w:rsidRPr="004C18DB">
        <w:rPr>
          <w:rFonts w:asciiTheme="minorHAnsi" w:hAnsiTheme="minorHAnsi" w:cstheme="minorHAnsi"/>
          <w:b/>
          <w:szCs w:val="24"/>
        </w:rPr>
        <w:t>FISAP Form Instructions:</w:t>
      </w:r>
    </w:p>
    <w:tbl>
      <w:tblPr>
        <w:tblStyle w:val="TableGrid"/>
        <w:tblW w:w="8894" w:type="dxa"/>
        <w:tblInd w:w="558" w:type="dxa"/>
        <w:tblLayout w:type="fixed"/>
        <w:tblLook w:val="04A0"/>
      </w:tblPr>
      <w:tblGrid>
        <w:gridCol w:w="990"/>
        <w:gridCol w:w="990"/>
        <w:gridCol w:w="1260"/>
        <w:gridCol w:w="5654"/>
      </w:tblGrid>
      <w:tr w14:paraId="6ACD77A7" w14:textId="77777777" w:rsidTr="00D83E68">
        <w:tblPrEx>
          <w:tblW w:w="8894" w:type="dxa"/>
          <w:tblInd w:w="558" w:type="dxa"/>
          <w:tblLayout w:type="fixed"/>
          <w:tblLook w:val="04A0"/>
        </w:tblPrEx>
        <w:tc>
          <w:tcPr>
            <w:tcW w:w="990" w:type="dxa"/>
          </w:tcPr>
          <w:p w:rsidR="002D3306" w:rsidRPr="004C18DB" w:rsidP="00D83E68" w14:paraId="2EED0C49" w14:textId="77777777">
            <w:pPr>
              <w:suppressAutoHyphens/>
              <w:rPr>
                <w:rFonts w:asciiTheme="minorHAnsi" w:hAnsiTheme="minorHAnsi" w:cstheme="minorHAnsi"/>
                <w:b/>
                <w:szCs w:val="24"/>
              </w:rPr>
            </w:pPr>
            <w:r w:rsidRPr="004C18DB">
              <w:rPr>
                <w:rFonts w:asciiTheme="minorHAnsi" w:hAnsiTheme="minorHAnsi" w:cstheme="minorHAnsi"/>
                <w:b/>
                <w:szCs w:val="24"/>
              </w:rPr>
              <w:t>Part</w:t>
            </w:r>
          </w:p>
        </w:tc>
        <w:tc>
          <w:tcPr>
            <w:tcW w:w="990" w:type="dxa"/>
          </w:tcPr>
          <w:p w:rsidR="002D3306" w:rsidRPr="004C18DB" w:rsidP="00D83E68" w14:paraId="56FD0769" w14:textId="77777777">
            <w:pPr>
              <w:suppressAutoHyphens/>
              <w:rPr>
                <w:rFonts w:asciiTheme="minorHAnsi" w:hAnsiTheme="minorHAnsi" w:cstheme="minorHAnsi"/>
                <w:b/>
                <w:szCs w:val="24"/>
              </w:rPr>
            </w:pPr>
            <w:r w:rsidRPr="004C18DB">
              <w:rPr>
                <w:rFonts w:asciiTheme="minorHAnsi" w:hAnsiTheme="minorHAnsi" w:cstheme="minorHAnsi"/>
                <w:b/>
                <w:szCs w:val="24"/>
              </w:rPr>
              <w:t>Section</w:t>
            </w:r>
          </w:p>
        </w:tc>
        <w:tc>
          <w:tcPr>
            <w:tcW w:w="1260" w:type="dxa"/>
          </w:tcPr>
          <w:p w:rsidR="002D3306" w:rsidRPr="004C18DB" w:rsidP="00D83E68" w14:paraId="44123E81" w14:textId="77777777">
            <w:pPr>
              <w:suppressAutoHyphens/>
              <w:rPr>
                <w:rFonts w:asciiTheme="minorHAnsi" w:hAnsiTheme="minorHAnsi" w:cstheme="minorHAnsi"/>
                <w:b/>
                <w:szCs w:val="24"/>
              </w:rPr>
            </w:pPr>
            <w:r w:rsidRPr="004C18DB">
              <w:rPr>
                <w:rFonts w:asciiTheme="minorHAnsi" w:hAnsiTheme="minorHAnsi" w:cstheme="minorHAnsi"/>
                <w:b/>
                <w:szCs w:val="24"/>
              </w:rPr>
              <w:t>Field</w:t>
            </w:r>
          </w:p>
        </w:tc>
        <w:tc>
          <w:tcPr>
            <w:tcW w:w="5654" w:type="dxa"/>
          </w:tcPr>
          <w:p w:rsidR="002D3306" w:rsidRPr="004C18DB" w:rsidP="00D83E68" w14:paraId="0AF4C245" w14:textId="77777777">
            <w:pPr>
              <w:suppressAutoHyphens/>
              <w:ind w:right="-162"/>
              <w:rPr>
                <w:rFonts w:asciiTheme="minorHAnsi" w:hAnsiTheme="minorHAnsi" w:cstheme="minorHAnsi"/>
                <w:b/>
                <w:szCs w:val="24"/>
              </w:rPr>
            </w:pPr>
            <w:r w:rsidRPr="004C18DB">
              <w:rPr>
                <w:rFonts w:asciiTheme="minorHAnsi" w:hAnsiTheme="minorHAnsi" w:cstheme="minorHAnsi"/>
                <w:b/>
                <w:szCs w:val="24"/>
              </w:rPr>
              <w:t>Change</w:t>
            </w:r>
          </w:p>
        </w:tc>
      </w:tr>
      <w:tr w14:paraId="6E5929ED" w14:textId="77777777" w:rsidTr="00D83E68">
        <w:tblPrEx>
          <w:tblW w:w="8894" w:type="dxa"/>
          <w:tblInd w:w="558" w:type="dxa"/>
          <w:tblLayout w:type="fixed"/>
          <w:tblLook w:val="04A0"/>
        </w:tblPrEx>
        <w:tc>
          <w:tcPr>
            <w:tcW w:w="990" w:type="dxa"/>
          </w:tcPr>
          <w:p w:rsidR="002D3306" w:rsidRPr="004C18DB" w:rsidP="00D83E68" w14:paraId="67743069" w14:textId="77777777">
            <w:pPr>
              <w:suppressAutoHyphens/>
              <w:rPr>
                <w:rFonts w:asciiTheme="minorHAnsi" w:hAnsiTheme="minorHAnsi" w:cstheme="minorHAnsi"/>
                <w:szCs w:val="24"/>
              </w:rPr>
            </w:pPr>
            <w:r w:rsidRPr="004C18DB">
              <w:rPr>
                <w:rFonts w:asciiTheme="minorHAnsi" w:hAnsiTheme="minorHAnsi" w:cstheme="minorHAnsi"/>
                <w:szCs w:val="24"/>
              </w:rPr>
              <w:t>All</w:t>
            </w:r>
          </w:p>
        </w:tc>
        <w:tc>
          <w:tcPr>
            <w:tcW w:w="990" w:type="dxa"/>
          </w:tcPr>
          <w:p w:rsidR="002D3306" w:rsidRPr="004C18DB" w:rsidP="00D83E68" w14:paraId="6F7217F7" w14:textId="77777777">
            <w:pPr>
              <w:suppressAutoHyphens/>
              <w:rPr>
                <w:rFonts w:asciiTheme="minorHAnsi" w:hAnsiTheme="minorHAnsi" w:cstheme="minorHAnsi"/>
                <w:szCs w:val="24"/>
              </w:rPr>
            </w:pPr>
            <w:r w:rsidRPr="004C18DB">
              <w:rPr>
                <w:rFonts w:asciiTheme="minorHAnsi" w:hAnsiTheme="minorHAnsi" w:cstheme="minorHAnsi"/>
                <w:szCs w:val="24"/>
              </w:rPr>
              <w:t>All</w:t>
            </w:r>
          </w:p>
        </w:tc>
        <w:tc>
          <w:tcPr>
            <w:tcW w:w="1260" w:type="dxa"/>
          </w:tcPr>
          <w:p w:rsidR="002D3306" w:rsidRPr="004C18DB" w:rsidP="00D83E68" w14:paraId="070E472F" w14:textId="77777777">
            <w:pPr>
              <w:suppressAutoHyphens/>
              <w:rPr>
                <w:rFonts w:asciiTheme="minorHAnsi" w:hAnsiTheme="minorHAnsi" w:cstheme="minorHAnsi"/>
                <w:szCs w:val="24"/>
              </w:rPr>
            </w:pPr>
          </w:p>
        </w:tc>
        <w:tc>
          <w:tcPr>
            <w:tcW w:w="5654" w:type="dxa"/>
          </w:tcPr>
          <w:p w:rsidR="002D3306" w:rsidRPr="004C18DB" w:rsidP="00D83E68" w14:paraId="49CD91A4" w14:textId="77777777">
            <w:pPr>
              <w:suppressAutoHyphens/>
              <w:rPr>
                <w:rFonts w:asciiTheme="minorHAnsi" w:hAnsiTheme="minorHAnsi" w:cstheme="minorHAnsi"/>
                <w:szCs w:val="24"/>
              </w:rPr>
            </w:pPr>
            <w:r w:rsidRPr="004C18DB">
              <w:rPr>
                <w:rFonts w:asciiTheme="minorHAnsi" w:hAnsiTheme="minorHAnsi" w:cstheme="minorHAnsi"/>
                <w:szCs w:val="24"/>
              </w:rPr>
              <w:t>Deadline dates and Award Year references updated.</w:t>
            </w:r>
          </w:p>
        </w:tc>
      </w:tr>
      <w:tr w14:paraId="113CD1CB" w14:textId="77777777" w:rsidTr="00D83E68">
        <w:tblPrEx>
          <w:tblW w:w="8894" w:type="dxa"/>
          <w:tblInd w:w="558" w:type="dxa"/>
          <w:tblLayout w:type="fixed"/>
          <w:tblLook w:val="04A0"/>
        </w:tblPrEx>
        <w:tc>
          <w:tcPr>
            <w:tcW w:w="990" w:type="dxa"/>
          </w:tcPr>
          <w:p w:rsidR="002D3306" w:rsidRPr="004C18DB" w:rsidP="00D83E68" w14:paraId="6DAA51C5" w14:textId="77777777">
            <w:pPr>
              <w:suppressAutoHyphens/>
              <w:rPr>
                <w:rFonts w:asciiTheme="minorHAnsi" w:hAnsiTheme="minorHAnsi" w:cstheme="minorHAnsi"/>
                <w:szCs w:val="24"/>
              </w:rPr>
            </w:pPr>
            <w:r w:rsidRPr="004C18DB">
              <w:rPr>
                <w:rFonts w:asciiTheme="minorHAnsi" w:hAnsiTheme="minorHAnsi" w:cstheme="minorHAnsi"/>
                <w:szCs w:val="24"/>
              </w:rPr>
              <w:t>All</w:t>
            </w:r>
          </w:p>
        </w:tc>
        <w:tc>
          <w:tcPr>
            <w:tcW w:w="990" w:type="dxa"/>
          </w:tcPr>
          <w:p w:rsidR="002D3306" w:rsidRPr="004C18DB" w:rsidP="00D83E68" w14:paraId="3A0FE954" w14:textId="77777777">
            <w:pPr>
              <w:suppressAutoHyphens/>
              <w:rPr>
                <w:rFonts w:asciiTheme="minorHAnsi" w:hAnsiTheme="minorHAnsi" w:cstheme="minorHAnsi"/>
                <w:szCs w:val="24"/>
              </w:rPr>
            </w:pPr>
            <w:r w:rsidRPr="004C18DB">
              <w:rPr>
                <w:rFonts w:asciiTheme="minorHAnsi" w:hAnsiTheme="minorHAnsi" w:cstheme="minorHAnsi"/>
                <w:szCs w:val="24"/>
              </w:rPr>
              <w:t>All</w:t>
            </w:r>
          </w:p>
        </w:tc>
        <w:tc>
          <w:tcPr>
            <w:tcW w:w="1260" w:type="dxa"/>
          </w:tcPr>
          <w:p w:rsidR="002D3306" w:rsidRPr="004C18DB" w:rsidP="00D83E68" w14:paraId="0F77119D" w14:textId="77777777">
            <w:pPr>
              <w:suppressAutoHyphens/>
              <w:rPr>
                <w:rFonts w:asciiTheme="minorHAnsi" w:hAnsiTheme="minorHAnsi" w:cstheme="minorHAnsi"/>
                <w:szCs w:val="24"/>
              </w:rPr>
            </w:pPr>
          </w:p>
        </w:tc>
        <w:tc>
          <w:tcPr>
            <w:tcW w:w="5654" w:type="dxa"/>
          </w:tcPr>
          <w:p w:rsidR="002D3306" w:rsidRPr="004C18DB" w:rsidP="00D83E68" w14:paraId="65EB5C32" w14:textId="77777777">
            <w:pPr>
              <w:suppressAutoHyphens/>
              <w:rPr>
                <w:rFonts w:asciiTheme="minorHAnsi" w:hAnsiTheme="minorHAnsi" w:cstheme="minorHAnsi"/>
                <w:szCs w:val="24"/>
              </w:rPr>
            </w:pPr>
            <w:r w:rsidRPr="004C18DB">
              <w:rPr>
                <w:rFonts w:asciiTheme="minorHAnsi" w:hAnsiTheme="minorHAnsi" w:cstheme="minorHAnsi"/>
                <w:szCs w:val="24"/>
              </w:rPr>
              <w:t>Hyperlinks validated and updated to reflect most current information.</w:t>
            </w:r>
          </w:p>
        </w:tc>
      </w:tr>
      <w:tr w14:paraId="75BC3CB6" w14:textId="77777777" w:rsidTr="00D83E68">
        <w:tblPrEx>
          <w:tblW w:w="8894" w:type="dxa"/>
          <w:tblInd w:w="558" w:type="dxa"/>
          <w:tblLayout w:type="fixed"/>
          <w:tblLook w:val="04A0"/>
        </w:tblPrEx>
        <w:tc>
          <w:tcPr>
            <w:tcW w:w="990" w:type="dxa"/>
          </w:tcPr>
          <w:p w:rsidR="002D3306" w:rsidRPr="004C18DB" w:rsidP="00D83E68" w14:paraId="6549143D" w14:textId="77777777">
            <w:pPr>
              <w:suppressAutoHyphens/>
              <w:rPr>
                <w:rFonts w:asciiTheme="minorHAnsi" w:hAnsiTheme="minorHAnsi" w:cstheme="minorHAnsi"/>
                <w:szCs w:val="24"/>
              </w:rPr>
            </w:pPr>
            <w:r w:rsidRPr="004C18DB">
              <w:rPr>
                <w:rFonts w:asciiTheme="minorHAnsi" w:hAnsiTheme="minorHAnsi" w:cstheme="minorHAnsi"/>
                <w:szCs w:val="24"/>
              </w:rPr>
              <w:t>All</w:t>
            </w:r>
          </w:p>
        </w:tc>
        <w:tc>
          <w:tcPr>
            <w:tcW w:w="990" w:type="dxa"/>
          </w:tcPr>
          <w:p w:rsidR="002D3306" w:rsidRPr="004C18DB" w:rsidP="00D83E68" w14:paraId="3F9A4A8B" w14:textId="77777777">
            <w:pPr>
              <w:suppressAutoHyphens/>
              <w:rPr>
                <w:rFonts w:asciiTheme="minorHAnsi" w:hAnsiTheme="minorHAnsi" w:cstheme="minorHAnsi"/>
                <w:szCs w:val="24"/>
              </w:rPr>
            </w:pPr>
            <w:r w:rsidRPr="004C18DB">
              <w:rPr>
                <w:rFonts w:asciiTheme="minorHAnsi" w:hAnsiTheme="minorHAnsi" w:cstheme="minorHAnsi"/>
                <w:szCs w:val="24"/>
              </w:rPr>
              <w:t>All</w:t>
            </w:r>
          </w:p>
        </w:tc>
        <w:tc>
          <w:tcPr>
            <w:tcW w:w="1260" w:type="dxa"/>
          </w:tcPr>
          <w:p w:rsidR="002D3306" w:rsidRPr="004C18DB" w:rsidP="00D83E68" w14:paraId="1D2A7CEE" w14:textId="77777777">
            <w:pPr>
              <w:suppressAutoHyphens/>
              <w:rPr>
                <w:rFonts w:asciiTheme="minorHAnsi" w:hAnsiTheme="minorHAnsi" w:cstheme="minorHAnsi"/>
                <w:szCs w:val="24"/>
              </w:rPr>
            </w:pPr>
          </w:p>
        </w:tc>
        <w:tc>
          <w:tcPr>
            <w:tcW w:w="5654" w:type="dxa"/>
          </w:tcPr>
          <w:p w:rsidR="002D3306" w:rsidRPr="004C18DB" w:rsidP="00D83E68" w14:paraId="0207866A" w14:textId="77777777">
            <w:pPr>
              <w:suppressAutoHyphens/>
              <w:rPr>
                <w:rFonts w:asciiTheme="minorHAnsi" w:hAnsiTheme="minorHAnsi" w:cstheme="minorHAnsi"/>
                <w:szCs w:val="24"/>
              </w:rPr>
            </w:pPr>
            <w:r w:rsidRPr="004C18DB">
              <w:rPr>
                <w:rFonts w:asciiTheme="minorHAnsi" w:hAnsiTheme="minorHAnsi" w:cstheme="minorHAnsi"/>
                <w:szCs w:val="24"/>
              </w:rPr>
              <w:t>Updated or removed, as applicable, all references to Campus-Based flexibilities extended through the CARES and HEROES Acts.</w:t>
            </w:r>
          </w:p>
        </w:tc>
      </w:tr>
      <w:tr w14:paraId="55A0C9A0" w14:textId="77777777" w:rsidTr="00D83E68">
        <w:tblPrEx>
          <w:tblW w:w="8894" w:type="dxa"/>
          <w:tblInd w:w="558" w:type="dxa"/>
          <w:tblLayout w:type="fixed"/>
          <w:tblLook w:val="04A0"/>
        </w:tblPrEx>
        <w:tc>
          <w:tcPr>
            <w:tcW w:w="990" w:type="dxa"/>
          </w:tcPr>
          <w:p w:rsidR="002D3306" w:rsidRPr="004C18DB" w:rsidP="00D83E68" w14:paraId="517218C4" w14:textId="77777777">
            <w:pPr>
              <w:suppressAutoHyphens/>
              <w:rPr>
                <w:rFonts w:asciiTheme="minorHAnsi" w:hAnsiTheme="minorHAnsi" w:cstheme="minorHAnsi"/>
                <w:szCs w:val="24"/>
              </w:rPr>
            </w:pPr>
            <w:r w:rsidRPr="004C18DB">
              <w:rPr>
                <w:rFonts w:asciiTheme="minorHAnsi" w:hAnsiTheme="minorHAnsi" w:cstheme="minorHAnsi"/>
                <w:szCs w:val="24"/>
              </w:rPr>
              <w:t>II</w:t>
            </w:r>
          </w:p>
        </w:tc>
        <w:tc>
          <w:tcPr>
            <w:tcW w:w="990" w:type="dxa"/>
          </w:tcPr>
          <w:p w:rsidR="002D3306" w:rsidRPr="004C18DB" w:rsidP="00D83E68" w14:paraId="212CF158" w14:textId="77777777">
            <w:pPr>
              <w:suppressAutoHyphens/>
              <w:rPr>
                <w:rFonts w:asciiTheme="minorHAnsi" w:hAnsiTheme="minorHAnsi" w:cstheme="minorHAnsi"/>
                <w:szCs w:val="24"/>
              </w:rPr>
            </w:pPr>
            <w:r w:rsidRPr="004C18DB">
              <w:rPr>
                <w:rFonts w:asciiTheme="minorHAnsi" w:hAnsiTheme="minorHAnsi" w:cstheme="minorHAnsi"/>
                <w:szCs w:val="24"/>
              </w:rPr>
              <w:t>D</w:t>
            </w:r>
          </w:p>
        </w:tc>
        <w:tc>
          <w:tcPr>
            <w:tcW w:w="1260" w:type="dxa"/>
          </w:tcPr>
          <w:p w:rsidR="002D3306" w:rsidRPr="004C18DB" w:rsidP="00D83E68" w14:paraId="54338426" w14:textId="77777777">
            <w:pPr>
              <w:suppressAutoHyphens/>
              <w:rPr>
                <w:rFonts w:asciiTheme="minorHAnsi" w:hAnsiTheme="minorHAnsi" w:cstheme="minorHAnsi"/>
                <w:szCs w:val="24"/>
              </w:rPr>
            </w:pPr>
            <w:r w:rsidRPr="004C18DB">
              <w:rPr>
                <w:rFonts w:asciiTheme="minorHAnsi" w:hAnsiTheme="minorHAnsi" w:cstheme="minorHAnsi"/>
                <w:szCs w:val="24"/>
              </w:rPr>
              <w:t>7</w:t>
            </w:r>
          </w:p>
        </w:tc>
        <w:tc>
          <w:tcPr>
            <w:tcW w:w="5654" w:type="dxa"/>
          </w:tcPr>
          <w:p w:rsidR="002D3306" w:rsidRPr="004C18DB" w:rsidP="00D83E68" w14:paraId="57619512" w14:textId="77777777">
            <w:pPr>
              <w:suppressAutoHyphens/>
              <w:rPr>
                <w:rFonts w:asciiTheme="minorHAnsi" w:hAnsiTheme="minorHAnsi" w:cstheme="minorHAnsi"/>
                <w:szCs w:val="24"/>
              </w:rPr>
            </w:pPr>
            <w:r w:rsidRPr="004C18DB">
              <w:rPr>
                <w:rFonts w:asciiTheme="minorHAnsi" w:hAnsiTheme="minorHAnsi" w:cstheme="minorHAnsi"/>
                <w:szCs w:val="24"/>
              </w:rPr>
              <w:t xml:space="preserve">Added clarification about enrollment reporting for traditional calendar schools. </w:t>
            </w:r>
          </w:p>
        </w:tc>
      </w:tr>
    </w:tbl>
    <w:p w:rsidR="002D3306" w:rsidRPr="004C18DB" w:rsidP="002D3306" w14:paraId="1463E328" w14:textId="77777777">
      <w:pPr>
        <w:tabs>
          <w:tab w:val="left" w:pos="720"/>
        </w:tabs>
        <w:suppressAutoHyphens/>
        <w:ind w:left="720"/>
        <w:rPr>
          <w:rFonts w:asciiTheme="minorHAnsi" w:hAnsiTheme="minorHAnsi" w:cstheme="minorHAnsi"/>
          <w:szCs w:val="24"/>
        </w:rPr>
      </w:pPr>
    </w:p>
    <w:p w:rsidR="002D3306" w:rsidRPr="004C18DB" w:rsidP="002D3306" w14:paraId="570E3BD0" w14:textId="77777777">
      <w:pPr>
        <w:tabs>
          <w:tab w:val="left" w:pos="720"/>
        </w:tabs>
        <w:suppressAutoHyphens/>
        <w:ind w:left="720"/>
        <w:jc w:val="center"/>
        <w:rPr>
          <w:rFonts w:asciiTheme="minorHAnsi" w:hAnsiTheme="minorHAnsi" w:cstheme="minorHAnsi"/>
          <w:szCs w:val="24"/>
          <w:u w:val="single"/>
        </w:rPr>
      </w:pPr>
    </w:p>
    <w:p w:rsidR="002D3306" w:rsidRPr="004C18DB" w:rsidP="002D3306" w14:paraId="581982F0" w14:textId="77777777">
      <w:pPr>
        <w:tabs>
          <w:tab w:val="left" w:pos="720"/>
        </w:tabs>
        <w:suppressAutoHyphens/>
        <w:ind w:left="720"/>
        <w:jc w:val="center"/>
        <w:rPr>
          <w:rFonts w:asciiTheme="minorHAnsi" w:hAnsiTheme="minorHAnsi" w:cstheme="minorHAnsi"/>
          <w:szCs w:val="24"/>
          <w:u w:val="single"/>
        </w:rPr>
      </w:pPr>
      <w:r w:rsidRPr="004C18DB">
        <w:rPr>
          <w:rFonts w:asciiTheme="minorHAnsi" w:hAnsiTheme="minorHAnsi" w:cstheme="minorHAnsi"/>
          <w:szCs w:val="24"/>
          <w:u w:val="single"/>
        </w:rPr>
        <w:t>Changes to the Reallocation Form and Instructions</w:t>
      </w:r>
    </w:p>
    <w:p w:rsidR="002D3306" w:rsidRPr="004C18DB" w:rsidP="002D3306" w14:paraId="65C10C00" w14:textId="77777777">
      <w:pPr>
        <w:suppressAutoHyphens/>
        <w:spacing w:line="288" w:lineRule="auto"/>
        <w:ind w:left="720"/>
        <w:rPr>
          <w:rFonts w:asciiTheme="minorHAnsi" w:hAnsiTheme="minorHAnsi" w:cstheme="minorHAnsi"/>
          <w:szCs w:val="24"/>
        </w:rPr>
      </w:pPr>
      <w:r w:rsidRPr="004C18DB">
        <w:rPr>
          <w:rFonts w:asciiTheme="minorHAnsi" w:hAnsiTheme="minorHAnsi" w:cstheme="minorHAnsi"/>
          <w:b/>
          <w:szCs w:val="24"/>
        </w:rPr>
        <w:t xml:space="preserve">Reallocation Form:  </w:t>
      </w:r>
    </w:p>
    <w:tbl>
      <w:tblPr>
        <w:tblStyle w:val="TableGrid"/>
        <w:tblW w:w="8910" w:type="dxa"/>
        <w:tblInd w:w="535" w:type="dxa"/>
        <w:tblLayout w:type="fixed"/>
        <w:tblLook w:val="04A0"/>
      </w:tblPr>
      <w:tblGrid>
        <w:gridCol w:w="1013"/>
        <w:gridCol w:w="1170"/>
        <w:gridCol w:w="1080"/>
        <w:gridCol w:w="5647"/>
      </w:tblGrid>
      <w:tr w14:paraId="481FB445" w14:textId="77777777" w:rsidTr="00D83E68">
        <w:tblPrEx>
          <w:tblW w:w="8910" w:type="dxa"/>
          <w:tblInd w:w="535" w:type="dxa"/>
          <w:tblLayout w:type="fixed"/>
          <w:tblLook w:val="04A0"/>
        </w:tblPrEx>
        <w:tc>
          <w:tcPr>
            <w:tcW w:w="1013" w:type="dxa"/>
          </w:tcPr>
          <w:p w:rsidR="002D3306" w:rsidRPr="004C18DB" w:rsidP="00D83E68" w14:paraId="39F63B89" w14:textId="77777777">
            <w:pPr>
              <w:suppressAutoHyphens/>
              <w:rPr>
                <w:rFonts w:asciiTheme="minorHAnsi" w:hAnsiTheme="minorHAnsi" w:cstheme="minorHAnsi"/>
                <w:b/>
                <w:szCs w:val="24"/>
              </w:rPr>
            </w:pPr>
            <w:r w:rsidRPr="004C18DB">
              <w:rPr>
                <w:rFonts w:asciiTheme="minorHAnsi" w:hAnsiTheme="minorHAnsi" w:cstheme="minorHAnsi"/>
                <w:b/>
                <w:szCs w:val="24"/>
              </w:rPr>
              <w:t>Part</w:t>
            </w:r>
          </w:p>
        </w:tc>
        <w:tc>
          <w:tcPr>
            <w:tcW w:w="1170" w:type="dxa"/>
          </w:tcPr>
          <w:p w:rsidR="002D3306" w:rsidRPr="004C18DB" w:rsidP="00D83E68" w14:paraId="3656C0F3" w14:textId="77777777">
            <w:pPr>
              <w:suppressAutoHyphens/>
              <w:rPr>
                <w:rFonts w:asciiTheme="minorHAnsi" w:hAnsiTheme="minorHAnsi" w:cstheme="minorHAnsi"/>
                <w:b/>
                <w:szCs w:val="24"/>
              </w:rPr>
            </w:pPr>
            <w:r w:rsidRPr="004C18DB">
              <w:rPr>
                <w:rFonts w:asciiTheme="minorHAnsi" w:hAnsiTheme="minorHAnsi" w:cstheme="minorHAnsi"/>
                <w:b/>
                <w:szCs w:val="24"/>
              </w:rPr>
              <w:t>Section</w:t>
            </w:r>
          </w:p>
        </w:tc>
        <w:tc>
          <w:tcPr>
            <w:tcW w:w="1080" w:type="dxa"/>
          </w:tcPr>
          <w:p w:rsidR="002D3306" w:rsidRPr="004C18DB" w:rsidP="00D83E68" w14:paraId="3934FD60" w14:textId="77777777">
            <w:pPr>
              <w:suppressAutoHyphens/>
              <w:rPr>
                <w:rFonts w:asciiTheme="minorHAnsi" w:hAnsiTheme="minorHAnsi" w:cstheme="minorHAnsi"/>
                <w:b/>
                <w:szCs w:val="24"/>
              </w:rPr>
            </w:pPr>
            <w:r w:rsidRPr="004C18DB">
              <w:rPr>
                <w:rFonts w:asciiTheme="minorHAnsi" w:hAnsiTheme="minorHAnsi" w:cstheme="minorHAnsi"/>
                <w:b/>
                <w:szCs w:val="24"/>
              </w:rPr>
              <w:t>Field</w:t>
            </w:r>
          </w:p>
        </w:tc>
        <w:tc>
          <w:tcPr>
            <w:tcW w:w="5647" w:type="dxa"/>
          </w:tcPr>
          <w:p w:rsidR="002D3306" w:rsidRPr="004C18DB" w:rsidP="00D83E68" w14:paraId="40E91036" w14:textId="77777777">
            <w:pPr>
              <w:suppressAutoHyphens/>
              <w:rPr>
                <w:rFonts w:asciiTheme="minorHAnsi" w:hAnsiTheme="minorHAnsi" w:cstheme="minorHAnsi"/>
                <w:b/>
                <w:szCs w:val="24"/>
              </w:rPr>
            </w:pPr>
            <w:r w:rsidRPr="004C18DB">
              <w:rPr>
                <w:rFonts w:asciiTheme="minorHAnsi" w:hAnsiTheme="minorHAnsi" w:cstheme="minorHAnsi"/>
                <w:b/>
                <w:szCs w:val="24"/>
              </w:rPr>
              <w:t>Change</w:t>
            </w:r>
          </w:p>
        </w:tc>
      </w:tr>
      <w:tr w14:paraId="647E7315" w14:textId="77777777" w:rsidTr="00D83E68">
        <w:tblPrEx>
          <w:tblW w:w="8910" w:type="dxa"/>
          <w:tblInd w:w="535" w:type="dxa"/>
          <w:tblLayout w:type="fixed"/>
          <w:tblLook w:val="04A0"/>
        </w:tblPrEx>
        <w:tc>
          <w:tcPr>
            <w:tcW w:w="1013" w:type="dxa"/>
          </w:tcPr>
          <w:p w:rsidR="002D3306" w:rsidRPr="004C18DB" w:rsidP="00D83E68" w14:paraId="03538DF1" w14:textId="77777777">
            <w:pPr>
              <w:suppressAutoHyphens/>
              <w:rPr>
                <w:rFonts w:asciiTheme="minorHAnsi" w:hAnsiTheme="minorHAnsi" w:cstheme="minorHAnsi"/>
                <w:szCs w:val="24"/>
              </w:rPr>
            </w:pPr>
            <w:r w:rsidRPr="004C18DB">
              <w:rPr>
                <w:rFonts w:asciiTheme="minorHAnsi" w:hAnsiTheme="minorHAnsi" w:cstheme="minorHAnsi"/>
                <w:szCs w:val="24"/>
              </w:rPr>
              <w:t xml:space="preserve"> </w:t>
            </w:r>
          </w:p>
        </w:tc>
        <w:tc>
          <w:tcPr>
            <w:tcW w:w="1170" w:type="dxa"/>
          </w:tcPr>
          <w:p w:rsidR="002D3306" w:rsidRPr="004C18DB" w:rsidP="00D83E68" w14:paraId="377905FB" w14:textId="77777777">
            <w:pPr>
              <w:suppressAutoHyphens/>
              <w:rPr>
                <w:rFonts w:asciiTheme="minorHAnsi" w:hAnsiTheme="minorHAnsi" w:cstheme="minorHAnsi"/>
                <w:szCs w:val="24"/>
              </w:rPr>
            </w:pPr>
            <w:r w:rsidRPr="004C18DB">
              <w:rPr>
                <w:rFonts w:asciiTheme="minorHAnsi" w:hAnsiTheme="minorHAnsi" w:cstheme="minorHAnsi"/>
                <w:szCs w:val="24"/>
              </w:rPr>
              <w:t xml:space="preserve"> </w:t>
            </w:r>
          </w:p>
        </w:tc>
        <w:tc>
          <w:tcPr>
            <w:tcW w:w="1080" w:type="dxa"/>
          </w:tcPr>
          <w:p w:rsidR="002D3306" w:rsidRPr="004C18DB" w:rsidP="00D83E68" w14:paraId="38E74734" w14:textId="77777777">
            <w:pPr>
              <w:suppressAutoHyphens/>
              <w:rPr>
                <w:rFonts w:asciiTheme="minorHAnsi" w:hAnsiTheme="minorHAnsi" w:cstheme="minorHAnsi"/>
                <w:szCs w:val="24"/>
              </w:rPr>
            </w:pPr>
            <w:r w:rsidRPr="004C18DB">
              <w:rPr>
                <w:rFonts w:asciiTheme="minorHAnsi" w:hAnsiTheme="minorHAnsi" w:cstheme="minorHAnsi"/>
                <w:szCs w:val="24"/>
              </w:rPr>
              <w:t>All</w:t>
            </w:r>
          </w:p>
        </w:tc>
        <w:tc>
          <w:tcPr>
            <w:tcW w:w="5647" w:type="dxa"/>
          </w:tcPr>
          <w:p w:rsidR="002D3306" w:rsidRPr="004C18DB" w:rsidP="00D83E68" w14:paraId="1BA35848" w14:textId="77777777">
            <w:pPr>
              <w:suppressAutoHyphens/>
              <w:rPr>
                <w:rFonts w:asciiTheme="minorHAnsi" w:hAnsiTheme="minorHAnsi" w:cstheme="minorHAnsi"/>
                <w:szCs w:val="24"/>
              </w:rPr>
            </w:pPr>
            <w:r w:rsidRPr="004C18DB">
              <w:rPr>
                <w:rFonts w:asciiTheme="minorHAnsi" w:hAnsiTheme="minorHAnsi" w:cstheme="minorHAnsi"/>
                <w:szCs w:val="24"/>
              </w:rPr>
              <w:t>Deadline date and Award Year references updated.</w:t>
            </w:r>
          </w:p>
        </w:tc>
      </w:tr>
      <w:tr w14:paraId="3D58F12A" w14:textId="77777777" w:rsidTr="00D83E68">
        <w:tblPrEx>
          <w:tblW w:w="8910" w:type="dxa"/>
          <w:tblInd w:w="535" w:type="dxa"/>
          <w:tblLayout w:type="fixed"/>
          <w:tblLook w:val="04A0"/>
        </w:tblPrEx>
        <w:tc>
          <w:tcPr>
            <w:tcW w:w="1013" w:type="dxa"/>
          </w:tcPr>
          <w:p w:rsidR="002D3306" w:rsidRPr="004C18DB" w:rsidP="00D83E68" w14:paraId="6211DDEB" w14:textId="77777777">
            <w:pPr>
              <w:suppressAutoHyphens/>
              <w:rPr>
                <w:rFonts w:asciiTheme="minorHAnsi" w:hAnsiTheme="minorHAnsi" w:cstheme="minorHAnsi"/>
                <w:szCs w:val="24"/>
              </w:rPr>
            </w:pPr>
            <w:r w:rsidRPr="004C18DB">
              <w:rPr>
                <w:rFonts w:asciiTheme="minorHAnsi" w:hAnsiTheme="minorHAnsi" w:cstheme="minorHAnsi"/>
                <w:szCs w:val="24"/>
              </w:rPr>
              <w:t xml:space="preserve"> NA</w:t>
            </w:r>
          </w:p>
        </w:tc>
        <w:tc>
          <w:tcPr>
            <w:tcW w:w="1170" w:type="dxa"/>
          </w:tcPr>
          <w:p w:rsidR="002D3306" w:rsidRPr="004C18DB" w:rsidP="00D83E68" w14:paraId="627B72C9" w14:textId="77777777">
            <w:pPr>
              <w:suppressAutoHyphens/>
              <w:rPr>
                <w:rFonts w:asciiTheme="minorHAnsi" w:hAnsiTheme="minorHAnsi" w:cstheme="minorHAnsi"/>
                <w:szCs w:val="24"/>
              </w:rPr>
            </w:pPr>
            <w:r w:rsidRPr="004C18DB">
              <w:rPr>
                <w:rFonts w:asciiTheme="minorHAnsi" w:hAnsiTheme="minorHAnsi" w:cstheme="minorHAnsi"/>
                <w:szCs w:val="24"/>
              </w:rPr>
              <w:t xml:space="preserve"> B</w:t>
            </w:r>
          </w:p>
        </w:tc>
        <w:tc>
          <w:tcPr>
            <w:tcW w:w="1080" w:type="dxa"/>
          </w:tcPr>
          <w:p w:rsidR="002D3306" w:rsidRPr="004C18DB" w:rsidP="00D83E68" w14:paraId="34EF70DF" w14:textId="77777777">
            <w:pPr>
              <w:suppressAutoHyphens/>
              <w:rPr>
                <w:rFonts w:asciiTheme="minorHAnsi" w:hAnsiTheme="minorHAnsi" w:cstheme="minorHAnsi"/>
                <w:szCs w:val="24"/>
              </w:rPr>
            </w:pPr>
            <w:r w:rsidRPr="004C18DB">
              <w:rPr>
                <w:rFonts w:asciiTheme="minorHAnsi" w:hAnsiTheme="minorHAnsi" w:cstheme="minorHAnsi"/>
                <w:szCs w:val="24"/>
              </w:rPr>
              <w:t>4</w:t>
            </w:r>
          </w:p>
        </w:tc>
        <w:tc>
          <w:tcPr>
            <w:tcW w:w="5647" w:type="dxa"/>
          </w:tcPr>
          <w:p w:rsidR="002D3306" w:rsidRPr="004C18DB" w:rsidP="00D83E68" w14:paraId="60C9EB68" w14:textId="77777777">
            <w:pPr>
              <w:suppressAutoHyphens/>
              <w:rPr>
                <w:rFonts w:asciiTheme="minorHAnsi" w:hAnsiTheme="minorHAnsi" w:cstheme="minorHAnsi"/>
                <w:szCs w:val="24"/>
              </w:rPr>
            </w:pPr>
            <w:r w:rsidRPr="004C18DB">
              <w:rPr>
                <w:rFonts w:asciiTheme="minorHAnsi" w:hAnsiTheme="minorHAnsi" w:cstheme="minorHAnsi"/>
                <w:szCs w:val="24"/>
              </w:rPr>
              <w:t xml:space="preserve">Field 4 remains disabled from data entry for the 2022–23 reporting year, due to extension of the waiver of the FWS community service requirements. </w:t>
            </w:r>
          </w:p>
        </w:tc>
      </w:tr>
    </w:tbl>
    <w:p w:rsidR="002D3306" w:rsidRPr="004C18DB" w:rsidP="002D3306" w14:paraId="18289FD1" w14:textId="77777777">
      <w:pPr>
        <w:pStyle w:val="ListParagraph"/>
        <w:suppressAutoHyphens/>
        <w:ind w:left="1440"/>
        <w:rPr>
          <w:rFonts w:asciiTheme="minorHAnsi" w:hAnsiTheme="minorHAnsi" w:cstheme="minorHAnsi"/>
          <w:szCs w:val="24"/>
        </w:rPr>
      </w:pPr>
    </w:p>
    <w:p w:rsidR="002D3306" w:rsidRPr="004C18DB" w:rsidP="002D3306" w14:paraId="6987DA4F" w14:textId="77777777">
      <w:pPr>
        <w:suppressAutoHyphens/>
        <w:spacing w:line="288" w:lineRule="auto"/>
        <w:ind w:left="720"/>
        <w:rPr>
          <w:rFonts w:asciiTheme="minorHAnsi" w:hAnsiTheme="minorHAnsi" w:cstheme="minorHAnsi"/>
          <w:szCs w:val="24"/>
        </w:rPr>
      </w:pPr>
      <w:r w:rsidRPr="004C18DB">
        <w:rPr>
          <w:rFonts w:asciiTheme="minorHAnsi" w:hAnsiTheme="minorHAnsi" w:cstheme="minorHAnsi"/>
          <w:b/>
          <w:szCs w:val="24"/>
        </w:rPr>
        <w:t>Reallocation Form Instructions:</w:t>
      </w:r>
      <w:r w:rsidRPr="004C18DB">
        <w:rPr>
          <w:rFonts w:asciiTheme="minorHAnsi" w:hAnsiTheme="minorHAnsi" w:cstheme="minorHAnsi"/>
          <w:szCs w:val="24"/>
        </w:rPr>
        <w:t xml:space="preserve">  </w:t>
      </w:r>
    </w:p>
    <w:tbl>
      <w:tblPr>
        <w:tblStyle w:val="TableGrid"/>
        <w:tblW w:w="9000" w:type="dxa"/>
        <w:tblInd w:w="535" w:type="dxa"/>
        <w:tblLook w:val="04A0"/>
      </w:tblPr>
      <w:tblGrid>
        <w:gridCol w:w="670"/>
        <w:gridCol w:w="1220"/>
        <w:gridCol w:w="1080"/>
        <w:gridCol w:w="6030"/>
      </w:tblGrid>
      <w:tr w14:paraId="3BB976DF" w14:textId="77777777" w:rsidTr="00F87BF7">
        <w:tblPrEx>
          <w:tblW w:w="9000" w:type="dxa"/>
          <w:tblInd w:w="535" w:type="dxa"/>
          <w:tblLook w:val="04A0"/>
        </w:tblPrEx>
        <w:tc>
          <w:tcPr>
            <w:tcW w:w="670" w:type="dxa"/>
          </w:tcPr>
          <w:p w:rsidR="002D3306" w:rsidRPr="004C18DB" w:rsidP="00D83E68" w14:paraId="1BCEEA2F" w14:textId="77777777">
            <w:pPr>
              <w:suppressAutoHyphens/>
              <w:rPr>
                <w:rFonts w:asciiTheme="minorHAnsi" w:hAnsiTheme="minorHAnsi" w:cstheme="minorHAnsi"/>
                <w:b/>
                <w:szCs w:val="24"/>
              </w:rPr>
            </w:pPr>
            <w:r w:rsidRPr="004C18DB">
              <w:rPr>
                <w:rFonts w:asciiTheme="minorHAnsi" w:hAnsiTheme="minorHAnsi" w:cstheme="minorHAnsi"/>
                <w:b/>
                <w:szCs w:val="24"/>
              </w:rPr>
              <w:t>Part</w:t>
            </w:r>
          </w:p>
        </w:tc>
        <w:tc>
          <w:tcPr>
            <w:tcW w:w="1220" w:type="dxa"/>
          </w:tcPr>
          <w:p w:rsidR="002D3306" w:rsidRPr="004C18DB" w:rsidP="00D83E68" w14:paraId="6BFACC9C" w14:textId="77777777">
            <w:pPr>
              <w:suppressAutoHyphens/>
              <w:rPr>
                <w:rFonts w:asciiTheme="minorHAnsi" w:hAnsiTheme="minorHAnsi" w:cstheme="minorHAnsi"/>
                <w:b/>
                <w:szCs w:val="24"/>
              </w:rPr>
            </w:pPr>
            <w:r w:rsidRPr="004C18DB">
              <w:rPr>
                <w:rFonts w:asciiTheme="minorHAnsi" w:hAnsiTheme="minorHAnsi" w:cstheme="minorHAnsi"/>
                <w:b/>
                <w:szCs w:val="24"/>
              </w:rPr>
              <w:t>Section</w:t>
            </w:r>
          </w:p>
        </w:tc>
        <w:tc>
          <w:tcPr>
            <w:tcW w:w="1080" w:type="dxa"/>
          </w:tcPr>
          <w:p w:rsidR="002D3306" w:rsidRPr="004C18DB" w:rsidP="00D83E68" w14:paraId="0F887E14" w14:textId="77777777">
            <w:pPr>
              <w:suppressAutoHyphens/>
              <w:rPr>
                <w:rFonts w:asciiTheme="minorHAnsi" w:hAnsiTheme="minorHAnsi" w:cstheme="minorHAnsi"/>
                <w:b/>
                <w:szCs w:val="24"/>
              </w:rPr>
            </w:pPr>
            <w:r w:rsidRPr="004C18DB">
              <w:rPr>
                <w:rFonts w:asciiTheme="minorHAnsi" w:hAnsiTheme="minorHAnsi" w:cstheme="minorHAnsi"/>
                <w:b/>
                <w:szCs w:val="24"/>
              </w:rPr>
              <w:t>Field</w:t>
            </w:r>
          </w:p>
        </w:tc>
        <w:tc>
          <w:tcPr>
            <w:tcW w:w="6030" w:type="dxa"/>
          </w:tcPr>
          <w:p w:rsidR="002D3306" w:rsidRPr="004C18DB" w:rsidP="00D83E68" w14:paraId="02596D0F" w14:textId="77777777">
            <w:pPr>
              <w:suppressAutoHyphens/>
              <w:rPr>
                <w:rFonts w:asciiTheme="minorHAnsi" w:hAnsiTheme="minorHAnsi" w:cstheme="minorHAnsi"/>
                <w:b/>
                <w:szCs w:val="24"/>
              </w:rPr>
            </w:pPr>
            <w:r w:rsidRPr="004C18DB">
              <w:rPr>
                <w:rFonts w:asciiTheme="minorHAnsi" w:hAnsiTheme="minorHAnsi" w:cstheme="minorHAnsi"/>
                <w:b/>
                <w:szCs w:val="24"/>
              </w:rPr>
              <w:t>Change</w:t>
            </w:r>
          </w:p>
        </w:tc>
      </w:tr>
      <w:tr w14:paraId="2F3F48F5" w14:textId="77777777" w:rsidTr="00F87BF7">
        <w:tblPrEx>
          <w:tblW w:w="9000" w:type="dxa"/>
          <w:tblInd w:w="535" w:type="dxa"/>
          <w:tblLook w:val="04A0"/>
        </w:tblPrEx>
        <w:tc>
          <w:tcPr>
            <w:tcW w:w="670" w:type="dxa"/>
          </w:tcPr>
          <w:p w:rsidR="002D3306" w:rsidRPr="004C18DB" w:rsidP="00D83E68" w14:paraId="5512191D" w14:textId="77777777">
            <w:pPr>
              <w:suppressAutoHyphens/>
              <w:rPr>
                <w:rFonts w:asciiTheme="minorHAnsi" w:hAnsiTheme="minorHAnsi" w:cstheme="minorHAnsi"/>
                <w:szCs w:val="24"/>
              </w:rPr>
            </w:pPr>
            <w:r w:rsidRPr="004C18DB">
              <w:rPr>
                <w:rFonts w:asciiTheme="minorHAnsi" w:hAnsiTheme="minorHAnsi" w:cstheme="minorHAnsi"/>
                <w:szCs w:val="24"/>
              </w:rPr>
              <w:t xml:space="preserve"> </w:t>
            </w:r>
          </w:p>
        </w:tc>
        <w:tc>
          <w:tcPr>
            <w:tcW w:w="1220" w:type="dxa"/>
          </w:tcPr>
          <w:p w:rsidR="002D3306" w:rsidRPr="004C18DB" w:rsidP="00D83E68" w14:paraId="325A3EAF" w14:textId="77777777">
            <w:pPr>
              <w:suppressAutoHyphens/>
              <w:rPr>
                <w:rFonts w:asciiTheme="minorHAnsi" w:hAnsiTheme="minorHAnsi" w:cstheme="minorHAnsi"/>
                <w:szCs w:val="24"/>
              </w:rPr>
            </w:pPr>
            <w:r w:rsidRPr="004C18DB">
              <w:rPr>
                <w:rFonts w:asciiTheme="minorHAnsi" w:hAnsiTheme="minorHAnsi" w:cstheme="minorHAnsi"/>
                <w:szCs w:val="24"/>
              </w:rPr>
              <w:t xml:space="preserve"> B</w:t>
            </w:r>
          </w:p>
        </w:tc>
        <w:tc>
          <w:tcPr>
            <w:tcW w:w="1080" w:type="dxa"/>
          </w:tcPr>
          <w:p w:rsidR="002D3306" w:rsidRPr="004C18DB" w:rsidP="00D83E68" w14:paraId="4B238E8C" w14:textId="77777777">
            <w:pPr>
              <w:suppressAutoHyphens/>
              <w:rPr>
                <w:rFonts w:asciiTheme="minorHAnsi" w:hAnsiTheme="minorHAnsi" w:cstheme="minorHAnsi"/>
                <w:szCs w:val="24"/>
              </w:rPr>
            </w:pPr>
            <w:r w:rsidRPr="004C18DB">
              <w:rPr>
                <w:rFonts w:asciiTheme="minorHAnsi" w:hAnsiTheme="minorHAnsi" w:cstheme="minorHAnsi"/>
                <w:szCs w:val="24"/>
              </w:rPr>
              <w:t>All</w:t>
            </w:r>
          </w:p>
        </w:tc>
        <w:tc>
          <w:tcPr>
            <w:tcW w:w="6030" w:type="dxa"/>
          </w:tcPr>
          <w:p w:rsidR="002D3306" w:rsidRPr="004C18DB" w:rsidP="00D83E68" w14:paraId="2E207BEF" w14:textId="77777777">
            <w:pPr>
              <w:suppressAutoHyphens/>
              <w:rPr>
                <w:rFonts w:asciiTheme="minorHAnsi" w:hAnsiTheme="minorHAnsi" w:cstheme="minorHAnsi"/>
                <w:szCs w:val="24"/>
              </w:rPr>
            </w:pPr>
            <w:r w:rsidRPr="004C18DB">
              <w:rPr>
                <w:rFonts w:asciiTheme="minorHAnsi" w:hAnsiTheme="minorHAnsi" w:cstheme="minorHAnsi"/>
                <w:szCs w:val="24"/>
              </w:rPr>
              <w:t>Deadline date and Award Year references updated.</w:t>
            </w:r>
          </w:p>
        </w:tc>
      </w:tr>
      <w:tr w14:paraId="2B528741" w14:textId="77777777" w:rsidTr="00F87BF7">
        <w:tblPrEx>
          <w:tblW w:w="9000" w:type="dxa"/>
          <w:tblInd w:w="535" w:type="dxa"/>
          <w:tblLook w:val="04A0"/>
        </w:tblPrEx>
        <w:tc>
          <w:tcPr>
            <w:tcW w:w="670" w:type="dxa"/>
          </w:tcPr>
          <w:p w:rsidR="002D3306" w:rsidRPr="004C18DB" w:rsidP="00D83E68" w14:paraId="29DE9D45" w14:textId="77777777">
            <w:pPr>
              <w:suppressAutoHyphens/>
              <w:rPr>
                <w:rFonts w:asciiTheme="minorHAnsi" w:hAnsiTheme="minorHAnsi" w:cstheme="minorHAnsi"/>
                <w:szCs w:val="24"/>
              </w:rPr>
            </w:pPr>
          </w:p>
        </w:tc>
        <w:tc>
          <w:tcPr>
            <w:tcW w:w="1220" w:type="dxa"/>
          </w:tcPr>
          <w:p w:rsidR="002D3306" w:rsidRPr="004C18DB" w:rsidP="00D83E68" w14:paraId="5C4437BB" w14:textId="77777777">
            <w:pPr>
              <w:suppressAutoHyphens/>
              <w:rPr>
                <w:rFonts w:asciiTheme="minorHAnsi" w:hAnsiTheme="minorHAnsi" w:cstheme="minorHAnsi"/>
                <w:szCs w:val="24"/>
              </w:rPr>
            </w:pPr>
            <w:r w:rsidRPr="004C18DB">
              <w:rPr>
                <w:rFonts w:asciiTheme="minorHAnsi" w:hAnsiTheme="minorHAnsi" w:cstheme="minorHAnsi"/>
                <w:szCs w:val="24"/>
              </w:rPr>
              <w:t xml:space="preserve"> B</w:t>
            </w:r>
          </w:p>
        </w:tc>
        <w:tc>
          <w:tcPr>
            <w:tcW w:w="1080" w:type="dxa"/>
          </w:tcPr>
          <w:p w:rsidR="002D3306" w:rsidRPr="004C18DB" w:rsidP="00D83E68" w14:paraId="401AEEB4" w14:textId="77777777">
            <w:pPr>
              <w:suppressAutoHyphens/>
              <w:rPr>
                <w:rFonts w:asciiTheme="minorHAnsi" w:hAnsiTheme="minorHAnsi" w:cstheme="minorHAnsi"/>
                <w:szCs w:val="24"/>
              </w:rPr>
            </w:pPr>
            <w:r w:rsidRPr="004C18DB">
              <w:rPr>
                <w:rFonts w:asciiTheme="minorHAnsi" w:hAnsiTheme="minorHAnsi" w:cstheme="minorHAnsi"/>
                <w:szCs w:val="24"/>
              </w:rPr>
              <w:t>4 &amp; 5</w:t>
            </w:r>
          </w:p>
        </w:tc>
        <w:tc>
          <w:tcPr>
            <w:tcW w:w="6030" w:type="dxa"/>
          </w:tcPr>
          <w:p w:rsidR="002D3306" w:rsidRPr="004C18DB" w:rsidP="00D83E68" w14:paraId="64444D33" w14:textId="77777777">
            <w:pPr>
              <w:suppressAutoHyphens/>
              <w:rPr>
                <w:rFonts w:asciiTheme="minorHAnsi" w:hAnsiTheme="minorHAnsi" w:cstheme="minorHAnsi"/>
                <w:szCs w:val="24"/>
              </w:rPr>
            </w:pPr>
            <w:r w:rsidRPr="004C18DB">
              <w:rPr>
                <w:rFonts w:asciiTheme="minorHAnsi" w:hAnsiTheme="minorHAnsi" w:cstheme="minorHAnsi"/>
                <w:szCs w:val="24"/>
              </w:rPr>
              <w:t xml:space="preserve">Kept clarification about the impacts to the supplemental awarding process due to the automatic waiver of the Federal Work Study (FWS) community service requirements for the 2022–23 award year for all schools. </w:t>
            </w:r>
          </w:p>
        </w:tc>
      </w:tr>
    </w:tbl>
    <w:p w:rsidR="002D3306" w:rsidRPr="004C18DB" w:rsidP="002D3306" w14:paraId="181B8768" w14:textId="77777777">
      <w:pPr>
        <w:tabs>
          <w:tab w:val="left" w:pos="720"/>
        </w:tabs>
        <w:suppressAutoHyphens/>
        <w:rPr>
          <w:rFonts w:asciiTheme="minorHAnsi" w:hAnsiTheme="minorHAnsi" w:cstheme="minorHAnsi"/>
          <w:szCs w:val="24"/>
        </w:rPr>
      </w:pPr>
    </w:p>
    <w:p w:rsidR="007C700A" w:rsidRPr="00AD381B" w:rsidP="00AD381B" w14:paraId="5182F308"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2D3306" w:rsidRPr="004C18DB" w:rsidP="002D3306" w14:paraId="14750EF2" w14:textId="77777777">
      <w:pPr>
        <w:pStyle w:val="ListParagraph"/>
        <w:rPr>
          <w:rFonts w:asciiTheme="minorHAnsi" w:hAnsiTheme="minorHAnsi" w:cstheme="minorHAnsi"/>
          <w:b/>
          <w:szCs w:val="24"/>
          <w:u w:val="single"/>
        </w:rPr>
      </w:pPr>
      <w:r w:rsidRPr="004C18DB">
        <w:rPr>
          <w:rFonts w:asciiTheme="minorHAnsi" w:hAnsiTheme="minorHAnsi" w:cstheme="minorHAnsi"/>
          <w:b/>
          <w:szCs w:val="24"/>
          <w:u w:val="single"/>
        </w:rPr>
        <w:t>FISAP Form</w:t>
      </w:r>
    </w:p>
    <w:p w:rsidR="002D3306" w:rsidRPr="004C18DB" w:rsidP="002D3306" w14:paraId="69CB17F4"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relative institutional financial need, which is the basis for computing by formula the amount of funds needed by each institution to operate one or more of the Campus-Based Programs during the application year, is determined by the data reported in the form.  The data is used by the Department to assess program effectiveness and accountability of fund expenditures under the previously cited authority.  In addition, the Department uses the data in conjunction with institutional program reviews to help assess the administrative capability of the applicant and enforce compliance.</w:t>
      </w:r>
    </w:p>
    <w:p w:rsidR="002D3306" w:rsidRPr="004C18DB" w:rsidP="002D3306" w14:paraId="2F62D4C4" w14:textId="77777777">
      <w:pPr>
        <w:tabs>
          <w:tab w:val="left" w:pos="-720"/>
        </w:tabs>
        <w:suppressAutoHyphens/>
        <w:rPr>
          <w:rFonts w:asciiTheme="minorHAnsi" w:hAnsiTheme="minorHAnsi" w:cstheme="minorHAnsi"/>
          <w:szCs w:val="24"/>
        </w:rPr>
      </w:pPr>
    </w:p>
    <w:p w:rsidR="002D3306" w:rsidRPr="004C18DB" w:rsidP="002D3306" w14:paraId="7D8936F8" w14:textId="77777777">
      <w:pPr>
        <w:numPr>
          <w:ilvl w:val="0"/>
          <w:numId w:val="6"/>
        </w:numPr>
        <w:tabs>
          <w:tab w:val="left" w:pos="-720"/>
        </w:tabs>
        <w:suppressAutoHyphens/>
        <w:ind w:left="1080"/>
        <w:rPr>
          <w:rFonts w:asciiTheme="minorHAnsi" w:hAnsiTheme="minorHAnsi" w:cstheme="minorHAnsi"/>
          <w:szCs w:val="24"/>
        </w:rPr>
      </w:pPr>
      <w:r w:rsidRPr="004C18DB">
        <w:rPr>
          <w:rFonts w:asciiTheme="minorHAnsi" w:hAnsiTheme="minorHAnsi" w:cstheme="minorHAnsi"/>
          <w:szCs w:val="24"/>
        </w:rPr>
        <w:t>Application data provides a standard measure of institutional need used to distribute a level of funds for institutions requesting participation in one or more of the Campus-Based Programs.</w:t>
      </w:r>
    </w:p>
    <w:p w:rsidR="002D3306" w:rsidRPr="004C18DB" w:rsidP="002D3306" w14:paraId="140ECB25" w14:textId="77777777">
      <w:pPr>
        <w:numPr>
          <w:ilvl w:val="0"/>
          <w:numId w:val="6"/>
        </w:numPr>
        <w:tabs>
          <w:tab w:val="left" w:pos="-720"/>
        </w:tabs>
        <w:suppressAutoHyphens/>
        <w:ind w:left="1080"/>
        <w:rPr>
          <w:rFonts w:asciiTheme="minorHAnsi" w:hAnsiTheme="minorHAnsi" w:cstheme="minorHAnsi"/>
          <w:szCs w:val="24"/>
        </w:rPr>
      </w:pPr>
      <w:r w:rsidRPr="004C18DB">
        <w:rPr>
          <w:rFonts w:asciiTheme="minorHAnsi" w:hAnsiTheme="minorHAnsi" w:cstheme="minorHAnsi"/>
          <w:szCs w:val="24"/>
        </w:rPr>
        <w:t>Application data provides base data that is sufficient, comprehensive and reliable to calculate annual funding formulas based on verifiable data input.</w:t>
      </w:r>
    </w:p>
    <w:p w:rsidR="002D3306" w:rsidRPr="004C18DB" w:rsidP="002D3306" w14:paraId="16941872" w14:textId="77777777">
      <w:pPr>
        <w:numPr>
          <w:ilvl w:val="0"/>
          <w:numId w:val="6"/>
        </w:numPr>
        <w:tabs>
          <w:tab w:val="left" w:pos="-720"/>
        </w:tabs>
        <w:suppressAutoHyphens/>
        <w:ind w:left="1080"/>
        <w:rPr>
          <w:rFonts w:asciiTheme="minorHAnsi" w:hAnsiTheme="minorHAnsi" w:cstheme="minorHAnsi"/>
          <w:szCs w:val="24"/>
        </w:rPr>
      </w:pPr>
      <w:r w:rsidRPr="004C18DB">
        <w:rPr>
          <w:rFonts w:asciiTheme="minorHAnsi" w:hAnsiTheme="minorHAnsi" w:cstheme="minorHAnsi"/>
          <w:szCs w:val="24"/>
        </w:rPr>
        <w:t>Expenditure data is used to calculate past utilization of funds awarded for assessment of penalties, recovery of unexpended funds, and close-out of awards.</w:t>
      </w:r>
    </w:p>
    <w:p w:rsidR="002D3306" w:rsidRPr="004C18DB" w:rsidP="002D3306" w14:paraId="4A7A8443" w14:textId="3A25245F">
      <w:pPr>
        <w:numPr>
          <w:ilvl w:val="0"/>
          <w:numId w:val="6"/>
        </w:numPr>
        <w:tabs>
          <w:tab w:val="left" w:pos="-720"/>
        </w:tabs>
        <w:suppressAutoHyphens/>
        <w:ind w:left="1080"/>
        <w:rPr>
          <w:rFonts w:asciiTheme="minorHAnsi" w:hAnsiTheme="minorHAnsi" w:cstheme="minorHAnsi"/>
          <w:szCs w:val="24"/>
        </w:rPr>
      </w:pPr>
      <w:r w:rsidRPr="004C18DB">
        <w:rPr>
          <w:rFonts w:asciiTheme="minorHAnsi" w:hAnsiTheme="minorHAnsi" w:cstheme="minorHAnsi"/>
          <w:szCs w:val="24"/>
        </w:rPr>
        <w:t xml:space="preserve">Data regarding Perkins Loan collection activities are used to compute institutional cohort default rates as well as the distribution of assets from the Fund, and to track issuance of Perkins Loan cancellations for teaching; military; volunteer; law enforcement and corrections officer; child, </w:t>
      </w:r>
      <w:r w:rsidRPr="004C18DB" w:rsidR="008729B3">
        <w:rPr>
          <w:rFonts w:asciiTheme="minorHAnsi" w:hAnsiTheme="minorHAnsi" w:cstheme="minorHAnsi"/>
          <w:szCs w:val="24"/>
        </w:rPr>
        <w:t>family,</w:t>
      </w:r>
      <w:r w:rsidRPr="004C18DB">
        <w:rPr>
          <w:rFonts w:asciiTheme="minorHAnsi" w:hAnsiTheme="minorHAnsi" w:cstheme="minorHAnsi"/>
          <w:szCs w:val="24"/>
        </w:rPr>
        <w:t xml:space="preserve"> and early intervention; nurse and medical technician; pre-K or </w:t>
      </w:r>
      <w:r w:rsidRPr="004C18DB" w:rsidR="008729B3">
        <w:rPr>
          <w:rFonts w:asciiTheme="minorHAnsi" w:hAnsiTheme="minorHAnsi" w:cstheme="minorHAnsi"/>
          <w:szCs w:val="24"/>
        </w:rPr>
        <w:t>childcare</w:t>
      </w:r>
      <w:r w:rsidRPr="004C18DB">
        <w:rPr>
          <w:rFonts w:asciiTheme="minorHAnsi" w:hAnsiTheme="minorHAnsi" w:cstheme="minorHAnsi"/>
          <w:szCs w:val="24"/>
        </w:rPr>
        <w:t>; public defender; fire fighter; Tribal College faculty; librarian; and speech pathology services.</w:t>
      </w:r>
    </w:p>
    <w:p w:rsidR="002D3306" w:rsidRPr="004C18DB" w:rsidP="002D3306" w14:paraId="5930D6AE" w14:textId="77777777">
      <w:pPr>
        <w:numPr>
          <w:ilvl w:val="0"/>
          <w:numId w:val="6"/>
        </w:numPr>
        <w:tabs>
          <w:tab w:val="left" w:pos="-720"/>
        </w:tabs>
        <w:suppressAutoHyphens/>
        <w:ind w:left="1080"/>
        <w:rPr>
          <w:rFonts w:asciiTheme="minorHAnsi" w:hAnsiTheme="minorHAnsi" w:cstheme="minorHAnsi"/>
          <w:szCs w:val="24"/>
        </w:rPr>
      </w:pPr>
      <w:r w:rsidRPr="004C18DB">
        <w:rPr>
          <w:rFonts w:asciiTheme="minorHAnsi" w:hAnsiTheme="minorHAnsi" w:cstheme="minorHAnsi"/>
          <w:szCs w:val="24"/>
        </w:rPr>
        <w:t>Data is maintained and made readily available to Department staff and other agencies for analysis, historical research, budget evaluations, audits, program reviews, and OIG inquiries.</w:t>
      </w:r>
    </w:p>
    <w:p w:rsidR="002D3306" w:rsidRPr="004C18DB" w:rsidP="002D3306" w14:paraId="41A8B0F8" w14:textId="77777777">
      <w:pPr>
        <w:numPr>
          <w:ilvl w:val="0"/>
          <w:numId w:val="6"/>
        </w:numPr>
        <w:tabs>
          <w:tab w:val="left" w:pos="-720"/>
        </w:tabs>
        <w:suppressAutoHyphens/>
        <w:ind w:left="1080"/>
        <w:rPr>
          <w:rFonts w:asciiTheme="minorHAnsi" w:hAnsiTheme="minorHAnsi" w:cstheme="minorHAnsi"/>
          <w:szCs w:val="24"/>
        </w:rPr>
      </w:pPr>
      <w:r w:rsidRPr="004C18DB">
        <w:rPr>
          <w:rFonts w:asciiTheme="minorHAnsi" w:hAnsiTheme="minorHAnsi" w:cstheme="minorHAnsi"/>
          <w:szCs w:val="24"/>
        </w:rPr>
        <w:t>The FISAP information is processed in real-time in the COD database. Institutions that have not submitted the required signatures are automatically identified to withhold funding until the forms have been received and validated.</w:t>
      </w:r>
    </w:p>
    <w:p w:rsidR="002D3306" w:rsidRPr="004C18DB" w:rsidP="002D3306" w14:paraId="7F99F92D" w14:textId="77777777">
      <w:pPr>
        <w:numPr>
          <w:ilvl w:val="0"/>
          <w:numId w:val="6"/>
        </w:numPr>
        <w:tabs>
          <w:tab w:val="left" w:pos="-720"/>
        </w:tabs>
        <w:suppressAutoHyphens/>
        <w:ind w:left="1080"/>
        <w:rPr>
          <w:rFonts w:asciiTheme="minorHAnsi" w:hAnsiTheme="minorHAnsi" w:cstheme="minorHAnsi"/>
          <w:szCs w:val="24"/>
        </w:rPr>
      </w:pPr>
      <w:r w:rsidRPr="004C18DB">
        <w:rPr>
          <w:rFonts w:asciiTheme="minorHAnsi" w:hAnsiTheme="minorHAnsi" w:cstheme="minorHAnsi"/>
          <w:szCs w:val="24"/>
        </w:rPr>
        <w:t>The data collected is used to identify poorly administered operations that may require on-site monitoring, additional training of staff, or termination of funding in extreme cases.</w:t>
      </w:r>
    </w:p>
    <w:p w:rsidR="002D3306" w:rsidRPr="004C18DB" w:rsidP="002D3306" w14:paraId="50F92071" w14:textId="77777777">
      <w:pPr>
        <w:numPr>
          <w:ilvl w:val="0"/>
          <w:numId w:val="6"/>
        </w:numPr>
        <w:tabs>
          <w:tab w:val="left" w:pos="-720"/>
        </w:tabs>
        <w:suppressAutoHyphens/>
        <w:ind w:left="1080"/>
        <w:rPr>
          <w:rFonts w:asciiTheme="minorHAnsi" w:hAnsiTheme="minorHAnsi" w:cstheme="minorHAnsi"/>
          <w:szCs w:val="24"/>
        </w:rPr>
      </w:pPr>
      <w:r w:rsidRPr="004C18DB">
        <w:rPr>
          <w:rFonts w:asciiTheme="minorHAnsi" w:hAnsiTheme="minorHAnsi" w:cstheme="minorHAnsi"/>
          <w:szCs w:val="24"/>
        </w:rPr>
        <w:t>The information collected in this submission enables the Department to comply with legislation that authorizes and appropriates funds for the Campus-Based Programs.</w:t>
      </w:r>
    </w:p>
    <w:p w:rsidR="002D3306" w:rsidRPr="004C18DB" w:rsidP="002D3306" w14:paraId="005E7AE0" w14:textId="77777777">
      <w:pPr>
        <w:pStyle w:val="ListParagraph"/>
        <w:rPr>
          <w:rFonts w:asciiTheme="minorHAnsi" w:hAnsiTheme="minorHAnsi" w:cstheme="minorHAnsi"/>
          <w:szCs w:val="24"/>
        </w:rPr>
      </w:pPr>
    </w:p>
    <w:p w:rsidR="002D3306" w:rsidRPr="004C18DB" w:rsidP="002D3306" w14:paraId="439CA576" w14:textId="77777777">
      <w:pPr>
        <w:pStyle w:val="ListParagraph"/>
        <w:rPr>
          <w:rFonts w:asciiTheme="minorHAnsi" w:hAnsiTheme="minorHAnsi" w:cstheme="minorHAnsi"/>
          <w:b/>
          <w:szCs w:val="24"/>
          <w:u w:val="single"/>
        </w:rPr>
      </w:pPr>
      <w:r w:rsidRPr="004C18DB">
        <w:rPr>
          <w:rFonts w:asciiTheme="minorHAnsi" w:hAnsiTheme="minorHAnsi" w:cstheme="minorHAnsi"/>
          <w:b/>
          <w:szCs w:val="24"/>
          <w:u w:val="single"/>
        </w:rPr>
        <w:t>Reallocation Form</w:t>
      </w:r>
    </w:p>
    <w:p w:rsidR="002D3306" w:rsidRPr="004C18DB" w:rsidP="002D3306" w14:paraId="6B8481A6"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 xml:space="preserve">The unexpended funds reported in the Reallocation Form are distributed by the Department as supplemental awards to qualifying institutions in accordance with provisions of the HEA. Ordinarily, supplemental FWS funds are awarded to eligible institutions that (1) used at least five percent of their total FWS funds to compensate students employed as reading tutors to children or in family literacy activities as part of </w:t>
      </w:r>
      <w:r w:rsidRPr="004C18DB">
        <w:rPr>
          <w:rFonts w:asciiTheme="minorHAnsi" w:hAnsiTheme="minorHAnsi" w:cstheme="minorHAnsi"/>
          <w:szCs w:val="24"/>
        </w:rPr>
        <w:t>their community-service activities, and (2) have a fair-share shortfall. For the 2022–23 award year, the FWS community service requirements are waived for all participating schools due to COVID-19, therefore only the second eligibility criteria must be met by schools to receive supplemental FWS. Institutions use the supplemental funds to compensate students employed in community service. Legislation requires the unexpended funds to be reported and redistributed. Collection of this information maximizes utilization of the appropriated funds, provides financial aid to needy students, and results in the Department’s compliance with the reallocation provisions of the HEA.</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2D3306" w:rsidRPr="004C18DB" w:rsidP="002D3306" w14:paraId="3E50036D"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 xml:space="preserve">For the upcoming award year, institutions will continue to use the Department’s electronic services to participate in the Title IV Programs. Institutions participating in the Campus-Based Programs must submit FISAP and campus-based funds reallocation data through COD at </w:t>
      </w:r>
      <w:hyperlink r:id="rId10" w:history="1">
        <w:r w:rsidRPr="004C18DB">
          <w:rPr>
            <w:rStyle w:val="Hyperlink"/>
            <w:rFonts w:asciiTheme="minorHAnsi" w:hAnsiTheme="minorHAnsi" w:cstheme="minorHAnsi"/>
            <w:szCs w:val="24"/>
          </w:rPr>
          <w:t>https://cod.ed.gov</w:t>
        </w:r>
      </w:hyperlink>
      <w:r w:rsidRPr="004C18DB">
        <w:rPr>
          <w:rFonts w:asciiTheme="minorHAnsi" w:hAnsiTheme="minorHAnsi" w:cstheme="minorHAnsi"/>
          <w:szCs w:val="24"/>
        </w:rPr>
        <w:t xml:space="preserve">. </w:t>
      </w:r>
    </w:p>
    <w:p w:rsidR="002D3306" w:rsidRPr="004C18DB" w:rsidP="002D3306" w14:paraId="1EA04C0F" w14:textId="77777777">
      <w:pPr>
        <w:tabs>
          <w:tab w:val="left" w:pos="-720"/>
        </w:tabs>
        <w:suppressAutoHyphens/>
        <w:ind w:left="720"/>
        <w:rPr>
          <w:rFonts w:asciiTheme="minorHAnsi" w:hAnsiTheme="minorHAnsi" w:cstheme="minorHAnsi"/>
          <w:szCs w:val="24"/>
        </w:rPr>
      </w:pPr>
    </w:p>
    <w:p w:rsidR="002D3306" w:rsidRPr="004C18DB" w:rsidP="002D3306" w14:paraId="06929EAA"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Electronic processing of both the FISAP and the Reallocation Form has eliminated printing costs, distribution, expense, data entry time, and reduced the cycle time and input errors. This process reduces institutional burden by using three years of information already contained in the database to provide institutional characteristics to verify funding levels and reduce the number of staff necessary to process the information.</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2D3306" w:rsidRPr="004C18DB" w:rsidP="002D3306" w14:paraId="1219684D" w14:textId="77777777">
      <w:pPr>
        <w:pStyle w:val="ListParagraph"/>
        <w:rPr>
          <w:rFonts w:asciiTheme="minorHAnsi" w:hAnsiTheme="minorHAnsi" w:cstheme="minorHAnsi"/>
          <w:b/>
          <w:szCs w:val="24"/>
          <w:u w:val="single"/>
        </w:rPr>
      </w:pPr>
      <w:r w:rsidRPr="004C18DB">
        <w:rPr>
          <w:rFonts w:asciiTheme="minorHAnsi" w:hAnsiTheme="minorHAnsi" w:cstheme="minorHAnsi"/>
          <w:b/>
          <w:szCs w:val="24"/>
          <w:u w:val="single"/>
        </w:rPr>
        <w:t>FISAP Form</w:t>
      </w:r>
    </w:p>
    <w:p w:rsidR="002D3306" w:rsidRPr="002D3306" w:rsidP="002D3306" w14:paraId="73C2FB55" w14:textId="77777777">
      <w:pPr>
        <w:pStyle w:val="ListParagraph"/>
        <w:tabs>
          <w:tab w:val="left" w:pos="-720"/>
        </w:tabs>
        <w:suppressAutoHyphens/>
        <w:rPr>
          <w:rFonts w:asciiTheme="minorHAnsi" w:hAnsiTheme="minorHAnsi" w:cstheme="minorHAnsi"/>
          <w:szCs w:val="24"/>
        </w:rPr>
      </w:pPr>
      <w:r w:rsidRPr="002D3306">
        <w:rPr>
          <w:rFonts w:asciiTheme="minorHAnsi" w:hAnsiTheme="minorHAnsi" w:cstheme="minorHAnsi"/>
          <w:szCs w:val="24"/>
        </w:rPr>
        <w:t xml:space="preserve">No other agency or system collects the information needed to determine the allocation of campus-based funds.  </w:t>
      </w:r>
    </w:p>
    <w:p w:rsidR="002D3306" w:rsidRPr="002D3306" w:rsidP="002D3306" w14:paraId="1A30CFE9" w14:textId="77777777">
      <w:pPr>
        <w:pStyle w:val="ListParagraph"/>
        <w:tabs>
          <w:tab w:val="left" w:pos="-720"/>
        </w:tabs>
        <w:suppressAutoHyphens/>
        <w:rPr>
          <w:rFonts w:asciiTheme="minorHAnsi" w:hAnsiTheme="minorHAnsi" w:cstheme="minorHAnsi"/>
          <w:szCs w:val="24"/>
        </w:rPr>
      </w:pPr>
    </w:p>
    <w:p w:rsidR="002D3306" w:rsidRPr="002D3306" w:rsidP="002D3306" w14:paraId="5DA4E400" w14:textId="77777777">
      <w:pPr>
        <w:pStyle w:val="ListParagraph"/>
        <w:tabs>
          <w:tab w:val="left" w:pos="-720"/>
        </w:tabs>
        <w:suppressAutoHyphens/>
        <w:rPr>
          <w:rFonts w:asciiTheme="minorHAnsi" w:hAnsiTheme="minorHAnsi" w:cstheme="minorHAnsi"/>
          <w:szCs w:val="24"/>
        </w:rPr>
      </w:pPr>
      <w:r w:rsidRPr="002D3306">
        <w:rPr>
          <w:rFonts w:asciiTheme="minorHAnsi" w:hAnsiTheme="minorHAnsi" w:cstheme="minorHAnsi"/>
          <w:szCs w:val="24"/>
        </w:rPr>
        <w:t xml:space="preserve">It had been anticipated that some Perkins data could be retrieved from NSLDS.  However, as currently designed, it does not collect Perkins interest data and the timing of the submission of Perkins data to the Department through NSLDS and the way it is collected limit its use as a substitute for Perkins reporting on the FISAP.   </w:t>
      </w:r>
    </w:p>
    <w:p w:rsidR="002D3306" w:rsidRPr="002D3306" w:rsidP="002D3306" w14:paraId="19CBC359" w14:textId="77777777">
      <w:pPr>
        <w:pStyle w:val="ListParagraph"/>
        <w:tabs>
          <w:tab w:val="left" w:pos="-720"/>
        </w:tabs>
        <w:suppressAutoHyphens/>
        <w:rPr>
          <w:rFonts w:asciiTheme="minorHAnsi" w:hAnsiTheme="minorHAnsi" w:cstheme="minorHAnsi"/>
          <w:szCs w:val="24"/>
        </w:rPr>
      </w:pPr>
    </w:p>
    <w:p w:rsidR="002D3306" w:rsidRPr="002D3306" w:rsidP="002D3306" w14:paraId="3911DDA9" w14:textId="77777777">
      <w:pPr>
        <w:pStyle w:val="ListParagraph"/>
        <w:tabs>
          <w:tab w:val="left" w:pos="-720"/>
        </w:tabs>
        <w:suppressAutoHyphens/>
        <w:rPr>
          <w:rFonts w:asciiTheme="minorHAnsi" w:hAnsiTheme="minorHAnsi" w:cstheme="minorHAnsi"/>
          <w:szCs w:val="24"/>
        </w:rPr>
      </w:pPr>
      <w:r w:rsidRPr="002D3306">
        <w:rPr>
          <w:rFonts w:asciiTheme="minorHAnsi" w:hAnsiTheme="minorHAnsi" w:cstheme="minorHAnsi"/>
          <w:szCs w:val="24"/>
        </w:rPr>
        <w:t xml:space="preserve">Section A of the Perkins Loan Report (FISAP, Part III) contains 89 cells of data. Section C contains 28 data cells. NSLDS does not contain sufficient historical information to populate the cells in these two sections which require data to be cumulative from the beginning of an institution’s participation in Perkins. Section B of the Perkins Loan Report has 10 data cells. Sections D and E contain Perkins cohort default rate data, which is not currently available from NSLDS. Review of the data needed for completion of the five sections of the Perkins Loan Report and the data available in NSLDS concludes that NSLDS data will not currently provide data that is compatible with either the historical or annual data collected on the FISAP.    </w:t>
      </w:r>
    </w:p>
    <w:p w:rsidR="002D3306" w:rsidRPr="002D3306" w:rsidP="002D3306" w14:paraId="7D717C4D" w14:textId="77777777">
      <w:pPr>
        <w:pStyle w:val="ListParagraph"/>
        <w:tabs>
          <w:tab w:val="left" w:pos="-720"/>
        </w:tabs>
        <w:suppressAutoHyphens/>
        <w:rPr>
          <w:rFonts w:asciiTheme="minorHAnsi" w:hAnsiTheme="minorHAnsi" w:cstheme="minorHAnsi"/>
          <w:szCs w:val="24"/>
        </w:rPr>
      </w:pPr>
    </w:p>
    <w:p w:rsidR="002D3306" w:rsidRPr="002D3306" w:rsidP="002D3306" w14:paraId="05BA82FF" w14:textId="77777777">
      <w:pPr>
        <w:pStyle w:val="ListParagraph"/>
        <w:tabs>
          <w:tab w:val="left" w:pos="-720"/>
        </w:tabs>
        <w:suppressAutoHyphens/>
        <w:rPr>
          <w:rFonts w:asciiTheme="minorHAnsi" w:hAnsiTheme="minorHAnsi" w:cstheme="minorHAnsi"/>
          <w:szCs w:val="24"/>
        </w:rPr>
      </w:pPr>
      <w:r w:rsidRPr="002D3306">
        <w:rPr>
          <w:rFonts w:asciiTheme="minorHAnsi" w:hAnsiTheme="minorHAnsi" w:cstheme="minorHAnsi"/>
          <w:szCs w:val="24"/>
        </w:rPr>
        <w:t xml:space="preserve">FSEOG overpayment data is collected in NSLDS, but no FSEOG disbursement data is collected. No FWS data is collected in NSLDS.  </w:t>
      </w:r>
    </w:p>
    <w:p w:rsidR="002D3306" w:rsidRPr="002D3306" w:rsidP="002D3306" w14:paraId="5F402F33" w14:textId="77777777">
      <w:pPr>
        <w:pStyle w:val="ListParagraph"/>
        <w:tabs>
          <w:tab w:val="left" w:pos="-720"/>
        </w:tabs>
        <w:suppressAutoHyphens/>
        <w:rPr>
          <w:rFonts w:asciiTheme="minorHAnsi" w:hAnsiTheme="minorHAnsi" w:cstheme="minorHAnsi"/>
          <w:szCs w:val="24"/>
        </w:rPr>
      </w:pPr>
    </w:p>
    <w:p w:rsidR="002D3306" w:rsidRPr="002D3306" w:rsidP="002D3306" w14:paraId="3C5FAB11" w14:textId="77777777">
      <w:pPr>
        <w:pStyle w:val="ListParagraph"/>
        <w:tabs>
          <w:tab w:val="left" w:pos="-720"/>
        </w:tabs>
        <w:suppressAutoHyphens/>
        <w:rPr>
          <w:rFonts w:asciiTheme="minorHAnsi" w:hAnsiTheme="minorHAnsi" w:cstheme="minorHAnsi"/>
          <w:szCs w:val="24"/>
        </w:rPr>
      </w:pPr>
      <w:r w:rsidRPr="002D3306">
        <w:rPr>
          <w:rFonts w:asciiTheme="minorHAnsi" w:hAnsiTheme="minorHAnsi" w:cstheme="minorHAnsi"/>
          <w:szCs w:val="24"/>
        </w:rPr>
        <w:t>NSLDS does not and cannot collect data that would sufficiently correspond to the type of data required from the FISAP for items such as annual award calculations, cohort default rate calculations, cumulative collections data, and prior year account reconciliation data. At this time, institutions will continue to be required to provide FISAP data in order for the Department to carry out required functions such as the calculation of allocations and Perkins cancellation reimbursements.</w:t>
      </w:r>
    </w:p>
    <w:p w:rsidR="002D3306" w:rsidRPr="002D3306" w:rsidP="002D3306" w14:paraId="3D328876" w14:textId="77777777">
      <w:pPr>
        <w:pStyle w:val="ListParagraph"/>
        <w:tabs>
          <w:tab w:val="left" w:pos="-720"/>
        </w:tabs>
        <w:suppressAutoHyphens/>
        <w:rPr>
          <w:rFonts w:asciiTheme="minorHAnsi" w:hAnsiTheme="minorHAnsi" w:cstheme="minorHAnsi"/>
          <w:szCs w:val="24"/>
        </w:rPr>
      </w:pPr>
    </w:p>
    <w:p w:rsidR="002D3306" w:rsidRPr="004C18DB" w:rsidP="002D3306" w14:paraId="56A9F62D" w14:textId="77777777">
      <w:pPr>
        <w:pStyle w:val="ListParagraph"/>
        <w:rPr>
          <w:rFonts w:asciiTheme="minorHAnsi" w:hAnsiTheme="minorHAnsi" w:cstheme="minorHAnsi"/>
          <w:b/>
          <w:szCs w:val="24"/>
          <w:u w:val="single"/>
        </w:rPr>
      </w:pPr>
      <w:r w:rsidRPr="004C18DB">
        <w:rPr>
          <w:rFonts w:asciiTheme="minorHAnsi" w:hAnsiTheme="minorHAnsi" w:cstheme="minorHAnsi"/>
          <w:b/>
          <w:szCs w:val="24"/>
          <w:u w:val="single"/>
        </w:rPr>
        <w:t>Reallocation Form</w:t>
      </w:r>
    </w:p>
    <w:p w:rsidR="002D3306" w:rsidRPr="004C18DB" w:rsidP="002D3306" w14:paraId="5155F7FC" w14:textId="77777777">
      <w:pPr>
        <w:pStyle w:val="ListParagraph"/>
        <w:rPr>
          <w:rFonts w:asciiTheme="minorHAnsi" w:hAnsiTheme="minorHAnsi" w:cstheme="minorHAnsi"/>
          <w:szCs w:val="24"/>
        </w:rPr>
      </w:pPr>
      <w:r w:rsidRPr="004C18DB">
        <w:rPr>
          <w:rFonts w:asciiTheme="minorHAnsi" w:hAnsiTheme="minorHAnsi" w:cstheme="minorHAnsi"/>
          <w:szCs w:val="24"/>
        </w:rPr>
        <w:t>Similar information as is collected on the Reallocation Form is not available at the time it is needed. The Department must rely on the information being required by institutions at the end of each award year (June 30). The reporting and redistribution must be complete prior to September 30, or the authority to obligate these funds will expire.</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2D3306" w:rsidRPr="004C18DB" w:rsidP="002D3306" w14:paraId="51BA2ACD"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collection of this information does not involve small businesses or other small entities. Information is collected only from Title IV eligible schools that participate in the Campus-Based programs.</w:t>
      </w:r>
    </w:p>
    <w:p w:rsidR="00F87BF7" w:rsidRPr="005F4E11" w:rsidP="00AD381B" w14:paraId="509AAD36"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2D3306" w:rsidRPr="004C18DB" w:rsidP="002D3306" w14:paraId="6A148CBC" w14:textId="77777777">
      <w:pPr>
        <w:pStyle w:val="ListParagraph"/>
        <w:rPr>
          <w:rFonts w:asciiTheme="minorHAnsi" w:hAnsiTheme="minorHAnsi" w:cstheme="minorHAnsi"/>
          <w:b/>
          <w:szCs w:val="24"/>
          <w:u w:val="single"/>
        </w:rPr>
      </w:pPr>
      <w:r w:rsidRPr="004C18DB">
        <w:rPr>
          <w:rFonts w:asciiTheme="minorHAnsi" w:hAnsiTheme="minorHAnsi" w:cstheme="minorHAnsi"/>
          <w:b/>
          <w:szCs w:val="24"/>
          <w:u w:val="single"/>
        </w:rPr>
        <w:t>FISAP Form</w:t>
      </w:r>
    </w:p>
    <w:p w:rsidR="002D3306" w:rsidRPr="004C18DB" w:rsidP="002D3306" w14:paraId="3167ED4D"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If the FISAP data collection were not conducted or conducted less frequently, the Department would not be in compliance with authorizing legislation or appropriation legislation which requires annual distribution of appropriated funds on the basis of an annual application from eligible institutions.</w:t>
      </w:r>
    </w:p>
    <w:p w:rsidR="002D3306" w:rsidRPr="004C18DB" w:rsidP="002D3306" w14:paraId="7B07771D" w14:textId="77777777">
      <w:pPr>
        <w:pStyle w:val="ListParagraph"/>
        <w:rPr>
          <w:rFonts w:asciiTheme="minorHAnsi" w:hAnsiTheme="minorHAnsi" w:cstheme="minorHAnsi"/>
          <w:szCs w:val="24"/>
        </w:rPr>
      </w:pPr>
    </w:p>
    <w:p w:rsidR="002D3306" w:rsidRPr="004C18DB" w:rsidP="002D3306" w14:paraId="68719310" w14:textId="77777777">
      <w:pPr>
        <w:pStyle w:val="ListParagraph"/>
        <w:rPr>
          <w:rFonts w:asciiTheme="minorHAnsi" w:hAnsiTheme="minorHAnsi" w:cstheme="minorHAnsi"/>
          <w:b/>
          <w:szCs w:val="24"/>
          <w:u w:val="single"/>
        </w:rPr>
      </w:pPr>
      <w:r w:rsidRPr="004C18DB">
        <w:rPr>
          <w:rFonts w:asciiTheme="minorHAnsi" w:hAnsiTheme="minorHAnsi" w:cstheme="minorHAnsi"/>
          <w:b/>
          <w:szCs w:val="24"/>
          <w:u w:val="single"/>
        </w:rPr>
        <w:t>Reallocation Form</w:t>
      </w:r>
    </w:p>
    <w:p w:rsidR="002D3306" w:rsidRPr="004C18DB" w:rsidP="002D3306" w14:paraId="6823ACA5"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If the data collection on the Reallocation Form were not conducted or conducted less frequently, the authority to redistribute the excess funds would expire on September 30 and the Department would not meet the legislative requirement to reallocate funds.</w:t>
      </w:r>
    </w:p>
    <w:p w:rsidR="002D3306" w:rsidRPr="004C18DB" w:rsidP="002D3306" w14:paraId="3BA31BFF" w14:textId="77777777">
      <w:pPr>
        <w:pStyle w:val="ListParagraph"/>
        <w:rPr>
          <w:rFonts w:asciiTheme="minorHAnsi" w:hAnsiTheme="minorHAnsi" w:cstheme="minorHAnsi"/>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2D3306" w:rsidRPr="004C18DB" w:rsidP="002D3306" w14:paraId="65525839" w14:textId="77777777">
      <w:pPr>
        <w:tabs>
          <w:tab w:val="left" w:pos="-720"/>
          <w:tab w:val="left" w:pos="1247"/>
        </w:tabs>
        <w:suppressAutoHyphens/>
        <w:ind w:left="720"/>
        <w:rPr>
          <w:rFonts w:asciiTheme="minorHAnsi" w:hAnsiTheme="minorHAnsi" w:cstheme="minorHAnsi"/>
          <w:szCs w:val="24"/>
        </w:rPr>
      </w:pPr>
      <w:r w:rsidRPr="004C18DB">
        <w:rPr>
          <w:rFonts w:asciiTheme="minorHAnsi" w:hAnsiTheme="minorHAnsi" w:cstheme="minorHAnsi"/>
          <w:szCs w:val="24"/>
        </w:rPr>
        <w:t>There are no special circumstances inconsistent with these guidelines.</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w:t>
      </w:r>
      <w:r w:rsidRPr="00D75313" w:rsidR="007C0A4C">
        <w:rPr>
          <w:rFonts w:ascii="Times New Roman" w:hAnsi="Times New Roman"/>
          <w:b/>
          <w:szCs w:val="24"/>
        </w:rPr>
        <w:t>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2D3306" w:rsidRPr="004C18DB" w:rsidP="002D3306" w14:paraId="12FEBBAC" w14:textId="77777777">
      <w:pPr>
        <w:tabs>
          <w:tab w:val="left" w:pos="-720"/>
        </w:tabs>
        <w:suppressAutoHyphens/>
        <w:ind w:left="720"/>
        <w:rPr>
          <w:rFonts w:asciiTheme="minorHAnsi" w:hAnsiTheme="minorHAnsi" w:cstheme="minorHAnsi"/>
          <w:b/>
          <w:szCs w:val="24"/>
          <w:u w:val="single"/>
        </w:rPr>
      </w:pPr>
      <w:r w:rsidRPr="004C18DB">
        <w:rPr>
          <w:rFonts w:asciiTheme="minorHAnsi" w:hAnsiTheme="minorHAnsi" w:cstheme="minorHAnsi"/>
          <w:b/>
          <w:szCs w:val="24"/>
          <w:u w:val="single"/>
        </w:rPr>
        <w:t>FISAP Form</w:t>
      </w:r>
    </w:p>
    <w:p w:rsidR="002D3306" w:rsidRPr="004C18DB" w:rsidP="002D3306" w14:paraId="517271BA"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Campus-Based staff members in both operations and policy areas provide presentations and support for national and regional conferences. During these activities, staff members take all comments, recommendations, and suggestions made by institutions for use in determining the need for improvement or change to existing policies and procedures.</w:t>
      </w:r>
    </w:p>
    <w:p w:rsidR="002D3306" w:rsidRPr="004C18DB" w:rsidP="002D3306" w14:paraId="2E81C7E9" w14:textId="77777777">
      <w:pPr>
        <w:tabs>
          <w:tab w:val="left" w:pos="-720"/>
        </w:tabs>
        <w:suppressAutoHyphens/>
        <w:ind w:left="720"/>
        <w:rPr>
          <w:rFonts w:asciiTheme="minorHAnsi" w:hAnsiTheme="minorHAnsi" w:cstheme="minorHAnsi"/>
          <w:szCs w:val="24"/>
        </w:rPr>
      </w:pPr>
    </w:p>
    <w:p w:rsidR="002D3306" w:rsidRPr="004C18DB" w:rsidP="002D3306" w14:paraId="43DEF93B"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Frequent communication with institutions by the FSA Partner and School Relations Center and Campus-Based staff provides additional information on the data being collected and on problems with electronic processing requirements. Comments from schools are shared with staff members and frequently included as possible improvements to existing procedures. Institutions continue to report favorably about the ease in completing and submitting the data electronically.</w:t>
      </w:r>
    </w:p>
    <w:p w:rsidR="002D3306" w:rsidRPr="004C18DB" w:rsidP="002D3306" w14:paraId="5C0C2021" w14:textId="77777777">
      <w:pPr>
        <w:tabs>
          <w:tab w:val="left" w:pos="-720"/>
        </w:tabs>
        <w:suppressAutoHyphens/>
        <w:ind w:left="720"/>
        <w:rPr>
          <w:rFonts w:asciiTheme="minorHAnsi" w:hAnsiTheme="minorHAnsi" w:cstheme="minorHAnsi"/>
          <w:szCs w:val="24"/>
        </w:rPr>
      </w:pPr>
    </w:p>
    <w:p w:rsidR="002D3306" w:rsidRPr="004C18DB" w:rsidP="002D3306" w14:paraId="583967B5"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Department’s OMB clearance process allows further opportunity for comment on the FISAP through an announcement in the Federal Register at the onset of the clearance process. The Department accepts public comments on the FISAP during a 60-day time period. Revisions are made to the documents as deemed necessary based on the comments. An additional 30-day comment period is provided through another announcement in the Federal Register. Historically, institutions rarely submit comments on the FISAP. The Campus-Based Programs have been in operation for more than 40 years, and completion of the annual FISAP is a common practice for institutions.</w:t>
      </w:r>
    </w:p>
    <w:p w:rsidR="002D3306" w:rsidRPr="004C18DB" w:rsidP="002D3306" w14:paraId="2D4C5CCD" w14:textId="77777777">
      <w:pPr>
        <w:tabs>
          <w:tab w:val="left" w:pos="-720"/>
        </w:tabs>
        <w:suppressAutoHyphens/>
        <w:ind w:left="720"/>
        <w:rPr>
          <w:rFonts w:asciiTheme="minorHAnsi" w:hAnsiTheme="minorHAnsi" w:cstheme="minorHAnsi"/>
          <w:szCs w:val="24"/>
        </w:rPr>
      </w:pPr>
    </w:p>
    <w:p w:rsidR="002D3306" w:rsidRPr="004C18DB" w:rsidP="002D3306" w14:paraId="6590FA57" w14:textId="77777777">
      <w:pPr>
        <w:tabs>
          <w:tab w:val="left" w:pos="-720"/>
        </w:tabs>
        <w:suppressAutoHyphens/>
        <w:ind w:left="720"/>
        <w:rPr>
          <w:rFonts w:asciiTheme="minorHAnsi" w:hAnsiTheme="minorHAnsi" w:cstheme="minorHAnsi"/>
          <w:b/>
          <w:szCs w:val="24"/>
          <w:u w:val="single"/>
        </w:rPr>
      </w:pPr>
      <w:r w:rsidRPr="004C18DB">
        <w:rPr>
          <w:rFonts w:asciiTheme="minorHAnsi" w:hAnsiTheme="minorHAnsi" w:cstheme="minorHAnsi"/>
          <w:b/>
          <w:szCs w:val="24"/>
          <w:u w:val="single"/>
        </w:rPr>
        <w:t>Reallocation Form</w:t>
      </w:r>
    </w:p>
    <w:p w:rsidR="002D3306" w:rsidP="002D3306" w14:paraId="05E0BB98" w14:textId="07AFFF9F">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 xml:space="preserve">The reporting of unexpended funds by institutions participating in the Campus-Based Program is required by the HEA. Institutions submit part of this information annually in the FISAP at a later date. The collection of this data is frequently discussed at financial aid conferences, and the financial aid community provides unsolicited comments </w:t>
      </w:r>
      <w:r w:rsidRPr="004C18DB">
        <w:rPr>
          <w:rFonts w:asciiTheme="minorHAnsi" w:hAnsiTheme="minorHAnsi" w:cstheme="minorHAnsi"/>
          <w:szCs w:val="24"/>
        </w:rPr>
        <w:t>through their contacts with our Call Center and Campus-Based staff members. Historically, institutions rarely submit comments on the Reallocation form.</w:t>
      </w:r>
    </w:p>
    <w:p w:rsidR="003945D3" w:rsidP="002D3306" w14:paraId="05EE37E1" w14:textId="1EE26BCC">
      <w:pPr>
        <w:tabs>
          <w:tab w:val="left" w:pos="-720"/>
        </w:tabs>
        <w:suppressAutoHyphens/>
        <w:ind w:left="720"/>
        <w:rPr>
          <w:rFonts w:asciiTheme="minorHAnsi" w:hAnsiTheme="minorHAnsi" w:cstheme="minorHAnsi"/>
          <w:szCs w:val="24"/>
        </w:rPr>
      </w:pPr>
    </w:p>
    <w:p w:rsidR="003945D3" w:rsidP="002D3306" w14:paraId="6F4E4404" w14:textId="3C9A3FFE">
      <w:pPr>
        <w:tabs>
          <w:tab w:val="left" w:pos="-720"/>
        </w:tabs>
        <w:suppressAutoHyphens/>
        <w:ind w:left="720"/>
        <w:rPr>
          <w:rFonts w:asciiTheme="minorHAnsi" w:hAnsiTheme="minorHAnsi" w:cstheme="minorHAnsi"/>
          <w:szCs w:val="24"/>
        </w:rPr>
      </w:pPr>
      <w:r>
        <w:rPr>
          <w:rFonts w:asciiTheme="minorHAnsi" w:hAnsiTheme="minorHAnsi" w:cstheme="minorHAnsi"/>
          <w:szCs w:val="24"/>
        </w:rPr>
        <w:t>On December 2, 2022 a notice was published in the Federal Register (Vol. 87, No. 231, pages 74135-74136) inviting the public to comment on the burden estimates for this collection.  One comment was received that was outside the scope of the collection.  No changes to the respondents/responses/burden assessment is being made based on the comment received.</w:t>
      </w:r>
    </w:p>
    <w:p w:rsidR="002D3306" w:rsidRPr="004C18DB" w:rsidP="002D3306" w14:paraId="19895D7C" w14:textId="77777777">
      <w:pPr>
        <w:tabs>
          <w:tab w:val="left" w:pos="-720"/>
        </w:tabs>
        <w:suppressAutoHyphens/>
        <w:ind w:left="720"/>
        <w:rPr>
          <w:rFonts w:asciiTheme="minorHAnsi" w:hAnsiTheme="minorHAnsi" w:cstheme="minorHAnsi"/>
          <w:szCs w:val="24"/>
        </w:rPr>
      </w:pPr>
    </w:p>
    <w:p w:rsidR="002D3306" w:rsidRPr="004C18DB" w:rsidP="002D3306" w14:paraId="45D4186A" w14:textId="433510E2">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 xml:space="preserve">There has been no change to the regulations.  We are </w:t>
      </w:r>
      <w:r w:rsidR="003945D3">
        <w:rPr>
          <w:rFonts w:asciiTheme="minorHAnsi" w:hAnsiTheme="minorHAnsi" w:cstheme="minorHAnsi"/>
          <w:szCs w:val="24"/>
        </w:rPr>
        <w:t xml:space="preserve">now </w:t>
      </w:r>
      <w:r w:rsidRPr="004C18DB">
        <w:rPr>
          <w:rFonts w:asciiTheme="minorHAnsi" w:hAnsiTheme="minorHAnsi" w:cstheme="minorHAnsi"/>
          <w:szCs w:val="24"/>
        </w:rPr>
        <w:t>requesting a 30-day public comment period</w:t>
      </w:r>
      <w:r w:rsidR="003945D3">
        <w:rPr>
          <w:rFonts w:asciiTheme="minorHAnsi" w:hAnsiTheme="minorHAnsi" w:cstheme="minorHAnsi"/>
          <w:szCs w:val="24"/>
        </w:rPr>
        <w:t xml:space="preserve"> for this collection.</w:t>
      </w:r>
    </w:p>
    <w:p w:rsidR="005F4E11" w:rsidP="00AD381B" w14:paraId="477C84F0"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A47AA2" w:rsidRPr="00B87844" w:rsidP="00A47AA2" w14:paraId="754FA719" w14:textId="77777777">
      <w:pPr>
        <w:pStyle w:val="ListParagraph"/>
        <w:tabs>
          <w:tab w:val="left" w:pos="-720"/>
        </w:tabs>
        <w:suppressAutoHyphens/>
        <w:contextualSpacing w:val="0"/>
        <w:rPr>
          <w:rFonts w:asciiTheme="minorHAnsi" w:hAnsiTheme="minorHAnsi" w:cstheme="minorHAnsi"/>
          <w:szCs w:val="24"/>
        </w:rPr>
      </w:pPr>
      <w:r w:rsidRPr="00B87844">
        <w:rPr>
          <w:rFonts w:asciiTheme="minorHAnsi" w:hAnsiTheme="minorHAnsi" w:cstheme="minorHAnsi"/>
          <w:szCs w:val="24"/>
        </w:rPr>
        <w:t>There are no payments or gifts to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2D3306" w:rsidRPr="004C18DB" w:rsidP="002D3306" w14:paraId="6D24FCBE"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Department makes no pledge about the confidentiality of the data.</w:t>
      </w:r>
    </w:p>
    <w:p w:rsidR="007C700A" w:rsidRPr="005F4E11" w:rsidP="005F4E11" w14:paraId="7A4EA0F0"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 xml:space="preserve">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w:t>
      </w:r>
      <w:r w:rsidRPr="00920F63">
        <w:rPr>
          <w:rFonts w:ascii="Times New Roman" w:hAnsi="Times New Roman"/>
          <w:b/>
          <w:szCs w:val="24"/>
        </w:rPr>
        <w:t>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2D3306" w:rsidP="002D3306" w14:paraId="1B633151" w14:textId="1A5A834F">
      <w:pPr>
        <w:pStyle w:val="ListParagraph"/>
        <w:tabs>
          <w:tab w:val="left" w:pos="-720"/>
        </w:tabs>
        <w:suppressAutoHyphens/>
        <w:rPr>
          <w:rFonts w:asciiTheme="minorHAnsi" w:hAnsiTheme="minorHAnsi" w:cstheme="minorHAnsi"/>
          <w:szCs w:val="24"/>
        </w:rPr>
      </w:pPr>
      <w:r w:rsidRPr="002D3306">
        <w:rPr>
          <w:rFonts w:asciiTheme="minorHAnsi" w:hAnsiTheme="minorHAnsi" w:cstheme="minorHAnsi"/>
          <w:szCs w:val="24"/>
        </w:rPr>
        <w:t>No questions of a sensitive nature are asked.</w:t>
      </w:r>
    </w:p>
    <w:p w:rsidR="002D3306" w:rsidRPr="002D3306" w:rsidP="002D3306" w14:paraId="1D6C3F13" w14:textId="77777777">
      <w:pPr>
        <w:pStyle w:val="ListParagraph"/>
        <w:tabs>
          <w:tab w:val="left" w:pos="-720"/>
        </w:tabs>
        <w:suppressAutoHyphens/>
        <w:rPr>
          <w:rFonts w:asciiTheme="minorHAnsi" w:hAnsiTheme="minorHAnsi" w:cstheme="minorHAnsi"/>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1"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2D3306" w:rsidRPr="004C18DB" w:rsidP="002D3306" w14:paraId="0948F0A7" w14:textId="77777777">
      <w:pPr>
        <w:tabs>
          <w:tab w:val="left" w:pos="-720"/>
        </w:tabs>
        <w:suppressAutoHyphens/>
        <w:ind w:left="720"/>
        <w:rPr>
          <w:rFonts w:asciiTheme="minorHAnsi" w:hAnsiTheme="minorHAnsi" w:cstheme="minorHAnsi"/>
          <w:b/>
          <w:szCs w:val="24"/>
          <w:u w:val="single"/>
        </w:rPr>
      </w:pPr>
      <w:r w:rsidRPr="004C18DB">
        <w:rPr>
          <w:rFonts w:asciiTheme="minorHAnsi" w:hAnsiTheme="minorHAnsi" w:cstheme="minorHAnsi"/>
          <w:b/>
          <w:szCs w:val="24"/>
          <w:u w:val="single"/>
        </w:rPr>
        <w:t>FISAP Form</w:t>
      </w:r>
    </w:p>
    <w:p w:rsidR="002D3306" w:rsidP="002D3306" w14:paraId="4E44FE60" w14:textId="334CA6FC">
      <w:pPr>
        <w:suppressAutoHyphens/>
        <w:ind w:left="720"/>
        <w:rPr>
          <w:rFonts w:asciiTheme="minorHAnsi" w:hAnsiTheme="minorHAnsi" w:cstheme="minorHAnsi"/>
          <w:szCs w:val="24"/>
        </w:rPr>
      </w:pPr>
      <w:r w:rsidRPr="004C18DB">
        <w:rPr>
          <w:rFonts w:asciiTheme="minorHAnsi" w:hAnsiTheme="minorHAnsi" w:cstheme="minorHAnsi"/>
          <w:szCs w:val="24"/>
        </w:rPr>
        <w:t xml:space="preserve">The FISAP data collection is composed of six parts. Part I is the institution’s identification. Part II is the application for funds. Part III is the Federal Perkins Loan Report. Part IV is the FSEOG Report. Part V is the FWS Report. Part VI is the Program Summary. The amount of time required to complete the various parts of the form depends on: (1) the number of programs in which respondents are currently participating; (2) whether the respondent is a “first-time” or “continuing” applicant; and (3) the type of institution. However, we are confident in the assumption of hours stated in the matrix below. In general, institutions have structured their data collection processes so that information is readily accessible to complete the FISAP electronically. Identifying information is pre-populated on the FISAP from prior year data and common mathematical computations are automatically displayed, which reduces institutional </w:t>
      </w:r>
      <w:r w:rsidRPr="004C18DB">
        <w:rPr>
          <w:rFonts w:asciiTheme="minorHAnsi" w:hAnsiTheme="minorHAnsi" w:cstheme="minorHAnsi"/>
          <w:szCs w:val="24"/>
        </w:rPr>
        <w:t>burden. Data entry and process edits notify users of erroneous data entry or potential data issues. This assists with data entry, reduces review time, and reduces institutional burden.</w:t>
      </w:r>
    </w:p>
    <w:p w:rsidR="00F87BF7" w:rsidRPr="004C18DB" w:rsidP="002D3306" w14:paraId="1EAECF71" w14:textId="77777777">
      <w:pPr>
        <w:suppressAutoHyphens/>
        <w:ind w:left="720"/>
        <w:rPr>
          <w:rFonts w:asciiTheme="minorHAnsi" w:hAnsiTheme="minorHAnsi" w:cstheme="minorHAnsi"/>
          <w:szCs w:val="24"/>
        </w:rPr>
      </w:pPr>
    </w:p>
    <w:p w:rsidR="002D3306" w:rsidRPr="004C18DB" w:rsidP="002D3306" w14:paraId="47DF7C32" w14:textId="77777777">
      <w:pPr>
        <w:suppressAutoHyphens/>
        <w:ind w:left="720"/>
        <w:rPr>
          <w:rFonts w:asciiTheme="minorHAnsi" w:hAnsiTheme="minorHAnsi" w:cstheme="minorHAnsi"/>
          <w:szCs w:val="24"/>
        </w:rPr>
      </w:pPr>
      <w:r w:rsidRPr="004C18DB">
        <w:rPr>
          <w:rFonts w:asciiTheme="minorHAnsi" w:hAnsiTheme="minorHAnsi" w:cstheme="minorHAnsi"/>
          <w:szCs w:val="24"/>
        </w:rPr>
        <w:t>The matrix below shows the respondent participation from the most recent FISAP submission available (October 1, 2021) in the various parts of the submission. The total amounts shown by institution type are unduplicated counts. The part breakdowns under each category of Institution are duplicated counts.</w:t>
      </w:r>
    </w:p>
    <w:p w:rsidR="002D3306" w:rsidRPr="004C18DB" w:rsidP="002D3306" w14:paraId="63AC6367" w14:textId="77777777">
      <w:pPr>
        <w:suppressAutoHyphens/>
        <w:ind w:left="720"/>
        <w:rPr>
          <w:rFonts w:asciiTheme="minorHAnsi" w:hAnsiTheme="minorHAnsi" w:cstheme="minorHAnsi"/>
          <w:szCs w:val="24"/>
        </w:rPr>
      </w:pPr>
    </w:p>
    <w:tbl>
      <w:tblPr>
        <w:tblStyle w:val="TableGrid"/>
        <w:tblW w:w="8435" w:type="dxa"/>
        <w:tblInd w:w="720" w:type="dxa"/>
        <w:tblLook w:val="04A0"/>
      </w:tblPr>
      <w:tblGrid>
        <w:gridCol w:w="1679"/>
        <w:gridCol w:w="1512"/>
        <w:gridCol w:w="1416"/>
        <w:gridCol w:w="1435"/>
        <w:gridCol w:w="1168"/>
        <w:gridCol w:w="1225"/>
      </w:tblGrid>
      <w:tr w14:paraId="0AF3491B" w14:textId="77777777" w:rsidTr="00D83E68">
        <w:tblPrEx>
          <w:tblW w:w="8435" w:type="dxa"/>
          <w:tblInd w:w="720" w:type="dxa"/>
          <w:tblLook w:val="04A0"/>
        </w:tblPrEx>
        <w:trPr>
          <w:trHeight w:val="1143"/>
        </w:trPr>
        <w:tc>
          <w:tcPr>
            <w:tcW w:w="1706" w:type="dxa"/>
          </w:tcPr>
          <w:p w:rsidR="002D3306" w:rsidRPr="004C18DB" w:rsidP="00D83E68" w14:paraId="676E4D11" w14:textId="77777777">
            <w:pPr>
              <w:suppressAutoHyphens/>
              <w:rPr>
                <w:rFonts w:asciiTheme="minorHAnsi" w:hAnsiTheme="minorHAnsi" w:cstheme="minorHAnsi"/>
                <w:b/>
                <w:szCs w:val="24"/>
              </w:rPr>
            </w:pPr>
            <w:r w:rsidRPr="004C18DB">
              <w:rPr>
                <w:rFonts w:asciiTheme="minorHAnsi" w:hAnsiTheme="minorHAnsi" w:cstheme="minorHAnsi"/>
                <w:b/>
                <w:szCs w:val="24"/>
              </w:rPr>
              <w:t>FISAP Respondent Type by Part (duplicated count)</w:t>
            </w:r>
          </w:p>
        </w:tc>
        <w:tc>
          <w:tcPr>
            <w:tcW w:w="1306" w:type="dxa"/>
          </w:tcPr>
          <w:p w:rsidR="002D3306" w:rsidRPr="004C18DB" w:rsidP="00D83E68" w14:paraId="0D8F7F89" w14:textId="77777777">
            <w:pPr>
              <w:suppressAutoHyphens/>
              <w:rPr>
                <w:rFonts w:asciiTheme="minorHAnsi" w:hAnsiTheme="minorHAnsi" w:cstheme="minorHAnsi"/>
                <w:b/>
                <w:szCs w:val="24"/>
              </w:rPr>
            </w:pPr>
            <w:r w:rsidRPr="004C18DB">
              <w:rPr>
                <w:rFonts w:asciiTheme="minorHAnsi" w:hAnsiTheme="minorHAnsi" w:cstheme="minorHAnsi"/>
                <w:b/>
                <w:szCs w:val="24"/>
              </w:rPr>
              <w:t>Estimated Number of Respondents</w:t>
            </w:r>
          </w:p>
        </w:tc>
        <w:tc>
          <w:tcPr>
            <w:tcW w:w="1416" w:type="dxa"/>
          </w:tcPr>
          <w:p w:rsidR="002D3306" w:rsidRPr="004C18DB" w:rsidP="00D83E68" w14:paraId="551C75FF"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Reporting</w:t>
            </w:r>
          </w:p>
        </w:tc>
        <w:tc>
          <w:tcPr>
            <w:tcW w:w="1440" w:type="dxa"/>
          </w:tcPr>
          <w:p w:rsidR="002D3306" w:rsidRPr="004C18DB" w:rsidP="00D83E68" w14:paraId="3FE79F90"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Record-Keeping</w:t>
            </w:r>
          </w:p>
        </w:tc>
        <w:tc>
          <w:tcPr>
            <w:tcW w:w="1258" w:type="dxa"/>
          </w:tcPr>
          <w:p w:rsidR="002D3306" w:rsidRPr="004C18DB" w:rsidP="00D83E68" w14:paraId="33E12EAE" w14:textId="77777777">
            <w:pPr>
              <w:suppressAutoHyphens/>
              <w:rPr>
                <w:rFonts w:asciiTheme="minorHAnsi" w:hAnsiTheme="minorHAnsi" w:cstheme="minorHAnsi"/>
                <w:b/>
                <w:szCs w:val="24"/>
              </w:rPr>
            </w:pPr>
            <w:r w:rsidRPr="004C18DB">
              <w:rPr>
                <w:rFonts w:asciiTheme="minorHAnsi" w:hAnsiTheme="minorHAnsi" w:cstheme="minorHAnsi"/>
                <w:b/>
                <w:szCs w:val="24"/>
              </w:rPr>
              <w:t>Total Hours</w:t>
            </w:r>
          </w:p>
        </w:tc>
        <w:tc>
          <w:tcPr>
            <w:tcW w:w="1309" w:type="dxa"/>
          </w:tcPr>
          <w:p w:rsidR="002D3306" w:rsidRPr="004C18DB" w:rsidP="00D83E68" w14:paraId="60C89B1B" w14:textId="77777777">
            <w:pPr>
              <w:suppressAutoHyphens/>
              <w:rPr>
                <w:rFonts w:asciiTheme="minorHAnsi" w:hAnsiTheme="minorHAnsi" w:cstheme="minorHAnsi"/>
                <w:szCs w:val="24"/>
              </w:rPr>
            </w:pPr>
          </w:p>
        </w:tc>
      </w:tr>
      <w:tr w14:paraId="41DD00E7" w14:textId="77777777" w:rsidTr="00D83E68">
        <w:tblPrEx>
          <w:tblW w:w="8435" w:type="dxa"/>
          <w:tblInd w:w="720" w:type="dxa"/>
          <w:tblLook w:val="04A0"/>
        </w:tblPrEx>
        <w:trPr>
          <w:trHeight w:val="229"/>
        </w:trPr>
        <w:tc>
          <w:tcPr>
            <w:tcW w:w="1706" w:type="dxa"/>
          </w:tcPr>
          <w:p w:rsidR="002D3306" w:rsidRPr="004C18DB" w:rsidP="00D83E68" w14:paraId="324852AC" w14:textId="77777777">
            <w:pPr>
              <w:suppressAutoHyphens/>
              <w:rPr>
                <w:rFonts w:asciiTheme="minorHAnsi" w:hAnsiTheme="minorHAnsi" w:cstheme="minorHAnsi"/>
                <w:b/>
                <w:i/>
                <w:szCs w:val="24"/>
              </w:rPr>
            </w:pPr>
            <w:r w:rsidRPr="004C18DB">
              <w:rPr>
                <w:rFonts w:asciiTheme="minorHAnsi" w:hAnsiTheme="minorHAnsi" w:cstheme="minorHAnsi"/>
                <w:b/>
                <w:i/>
                <w:szCs w:val="24"/>
              </w:rPr>
              <w:t>Public</w:t>
            </w:r>
          </w:p>
        </w:tc>
        <w:tc>
          <w:tcPr>
            <w:tcW w:w="1306" w:type="dxa"/>
          </w:tcPr>
          <w:p w:rsidR="002D3306" w:rsidRPr="004C18DB" w:rsidP="00D83E68" w14:paraId="1B985D5D" w14:textId="77777777">
            <w:pPr>
              <w:suppressAutoHyphens/>
              <w:rPr>
                <w:rFonts w:asciiTheme="minorHAnsi" w:hAnsiTheme="minorHAnsi" w:cstheme="minorHAnsi"/>
                <w:szCs w:val="24"/>
              </w:rPr>
            </w:pPr>
          </w:p>
        </w:tc>
        <w:tc>
          <w:tcPr>
            <w:tcW w:w="1416" w:type="dxa"/>
          </w:tcPr>
          <w:p w:rsidR="002D3306" w:rsidRPr="004C18DB" w:rsidP="00D83E68" w14:paraId="3F427A33" w14:textId="77777777">
            <w:pPr>
              <w:suppressAutoHyphens/>
              <w:rPr>
                <w:rFonts w:asciiTheme="minorHAnsi" w:hAnsiTheme="minorHAnsi" w:cstheme="minorHAnsi"/>
                <w:szCs w:val="24"/>
              </w:rPr>
            </w:pPr>
          </w:p>
        </w:tc>
        <w:tc>
          <w:tcPr>
            <w:tcW w:w="1440" w:type="dxa"/>
          </w:tcPr>
          <w:p w:rsidR="002D3306" w:rsidRPr="004C18DB" w:rsidP="00D83E68" w14:paraId="7456BFF4" w14:textId="77777777">
            <w:pPr>
              <w:suppressAutoHyphens/>
              <w:rPr>
                <w:rFonts w:asciiTheme="minorHAnsi" w:hAnsiTheme="minorHAnsi" w:cstheme="minorHAnsi"/>
                <w:szCs w:val="24"/>
              </w:rPr>
            </w:pPr>
          </w:p>
        </w:tc>
        <w:tc>
          <w:tcPr>
            <w:tcW w:w="1258" w:type="dxa"/>
          </w:tcPr>
          <w:p w:rsidR="002D3306" w:rsidRPr="004C18DB" w:rsidP="00D83E68" w14:paraId="3F0EF425" w14:textId="77777777">
            <w:pPr>
              <w:suppressAutoHyphens/>
              <w:rPr>
                <w:rFonts w:asciiTheme="minorHAnsi" w:hAnsiTheme="minorHAnsi" w:cstheme="minorHAnsi"/>
                <w:szCs w:val="24"/>
              </w:rPr>
            </w:pPr>
          </w:p>
        </w:tc>
        <w:tc>
          <w:tcPr>
            <w:tcW w:w="1309" w:type="dxa"/>
          </w:tcPr>
          <w:p w:rsidR="002D3306" w:rsidRPr="004C18DB" w:rsidP="00D83E68" w14:paraId="3BB8F6B3" w14:textId="77777777">
            <w:pPr>
              <w:suppressAutoHyphens/>
              <w:rPr>
                <w:rFonts w:asciiTheme="minorHAnsi" w:hAnsiTheme="minorHAnsi" w:cstheme="minorHAnsi"/>
                <w:szCs w:val="24"/>
              </w:rPr>
            </w:pPr>
          </w:p>
        </w:tc>
      </w:tr>
      <w:tr w14:paraId="51D7707F" w14:textId="77777777" w:rsidTr="00D83E68">
        <w:tblPrEx>
          <w:tblW w:w="8435" w:type="dxa"/>
          <w:tblInd w:w="720" w:type="dxa"/>
          <w:tblLook w:val="04A0"/>
        </w:tblPrEx>
        <w:trPr>
          <w:trHeight w:val="461"/>
        </w:trPr>
        <w:tc>
          <w:tcPr>
            <w:tcW w:w="1706" w:type="dxa"/>
          </w:tcPr>
          <w:p w:rsidR="002D3306" w:rsidRPr="004C18DB" w:rsidP="00D83E68" w14:paraId="56786985" w14:textId="77777777">
            <w:pPr>
              <w:suppressAutoHyphens/>
              <w:rPr>
                <w:rFonts w:asciiTheme="minorHAnsi" w:hAnsiTheme="minorHAnsi" w:cstheme="minorHAnsi"/>
                <w:szCs w:val="24"/>
              </w:rPr>
            </w:pPr>
            <w:r w:rsidRPr="004C18DB">
              <w:rPr>
                <w:rFonts w:asciiTheme="minorHAnsi" w:hAnsiTheme="minorHAnsi" w:cstheme="minorHAnsi"/>
                <w:szCs w:val="24"/>
              </w:rPr>
              <w:t>Parts I &amp; II – Application</w:t>
            </w:r>
          </w:p>
        </w:tc>
        <w:tc>
          <w:tcPr>
            <w:tcW w:w="1306" w:type="dxa"/>
          </w:tcPr>
          <w:p w:rsidR="002D3306" w:rsidRPr="004C18DB" w:rsidP="00D83E68" w14:paraId="6474F7B8" w14:textId="77777777">
            <w:pPr>
              <w:suppressAutoHyphens/>
              <w:jc w:val="right"/>
              <w:rPr>
                <w:rFonts w:asciiTheme="minorHAnsi" w:hAnsiTheme="minorHAnsi" w:cstheme="minorHAnsi"/>
                <w:szCs w:val="24"/>
              </w:rPr>
            </w:pPr>
            <w:r w:rsidRPr="004C18DB">
              <w:rPr>
                <w:rFonts w:asciiTheme="minorHAnsi" w:hAnsiTheme="minorHAnsi" w:cstheme="minorHAnsi"/>
                <w:szCs w:val="24"/>
              </w:rPr>
              <w:t>1,563</w:t>
            </w:r>
          </w:p>
        </w:tc>
        <w:tc>
          <w:tcPr>
            <w:tcW w:w="1416" w:type="dxa"/>
          </w:tcPr>
          <w:p w:rsidR="002D3306" w:rsidRPr="004C18DB" w:rsidP="00D83E68" w14:paraId="765036F7"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7E599BDC"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4EBD4A1F"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4ED16333" w14:textId="77777777">
            <w:pPr>
              <w:suppressAutoHyphens/>
              <w:rPr>
                <w:rFonts w:asciiTheme="minorHAnsi" w:hAnsiTheme="minorHAnsi" w:cstheme="minorHAnsi"/>
                <w:szCs w:val="24"/>
              </w:rPr>
            </w:pPr>
          </w:p>
        </w:tc>
      </w:tr>
      <w:tr w14:paraId="3BD9E81E" w14:textId="77777777" w:rsidTr="00D83E68">
        <w:tblPrEx>
          <w:tblW w:w="8435" w:type="dxa"/>
          <w:tblInd w:w="720" w:type="dxa"/>
          <w:tblLook w:val="04A0"/>
        </w:tblPrEx>
        <w:trPr>
          <w:trHeight w:val="690"/>
        </w:trPr>
        <w:tc>
          <w:tcPr>
            <w:tcW w:w="1706" w:type="dxa"/>
          </w:tcPr>
          <w:p w:rsidR="002D3306" w:rsidRPr="004C18DB" w:rsidP="00D83E68" w14:paraId="5103913A" w14:textId="77777777">
            <w:pPr>
              <w:suppressAutoHyphens/>
              <w:rPr>
                <w:rFonts w:asciiTheme="minorHAnsi" w:hAnsiTheme="minorHAnsi" w:cstheme="minorHAnsi"/>
                <w:szCs w:val="24"/>
              </w:rPr>
            </w:pPr>
            <w:r w:rsidRPr="004C18DB">
              <w:rPr>
                <w:rFonts w:asciiTheme="minorHAnsi" w:hAnsiTheme="minorHAnsi" w:cstheme="minorHAnsi"/>
                <w:szCs w:val="24"/>
              </w:rPr>
              <w:t>Part III – Federal Perkins Loan</w:t>
            </w:r>
          </w:p>
        </w:tc>
        <w:tc>
          <w:tcPr>
            <w:tcW w:w="1306" w:type="dxa"/>
          </w:tcPr>
          <w:p w:rsidR="002D3306" w:rsidRPr="004C18DB" w:rsidP="00D83E68" w14:paraId="10E736CA" w14:textId="77777777">
            <w:pPr>
              <w:suppressAutoHyphens/>
              <w:jc w:val="right"/>
              <w:rPr>
                <w:rFonts w:asciiTheme="minorHAnsi" w:hAnsiTheme="minorHAnsi" w:cstheme="minorHAnsi"/>
                <w:szCs w:val="24"/>
              </w:rPr>
            </w:pPr>
            <w:r w:rsidRPr="004C18DB">
              <w:rPr>
                <w:rFonts w:asciiTheme="minorHAnsi" w:hAnsiTheme="minorHAnsi" w:cstheme="minorHAnsi"/>
                <w:szCs w:val="24"/>
              </w:rPr>
              <w:t>513</w:t>
            </w:r>
          </w:p>
        </w:tc>
        <w:tc>
          <w:tcPr>
            <w:tcW w:w="1416" w:type="dxa"/>
          </w:tcPr>
          <w:p w:rsidR="002D3306" w:rsidRPr="004C18DB" w:rsidP="00D83E68" w14:paraId="112D9942"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440" w:type="dxa"/>
          </w:tcPr>
          <w:p w:rsidR="002D3306" w:rsidRPr="004C18DB" w:rsidP="00D83E68" w14:paraId="1D5D4375"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258" w:type="dxa"/>
          </w:tcPr>
          <w:p w:rsidR="002D3306" w:rsidRPr="004C18DB" w:rsidP="00D83E68" w14:paraId="1DF1A81D" w14:textId="77777777">
            <w:pPr>
              <w:suppressAutoHyphens/>
              <w:jc w:val="right"/>
              <w:rPr>
                <w:rFonts w:asciiTheme="minorHAnsi" w:hAnsiTheme="minorHAnsi" w:cstheme="minorHAnsi"/>
                <w:szCs w:val="24"/>
              </w:rPr>
            </w:pPr>
            <w:r w:rsidRPr="004C18DB">
              <w:rPr>
                <w:rFonts w:asciiTheme="minorHAnsi" w:hAnsiTheme="minorHAnsi" w:cstheme="minorHAnsi"/>
                <w:szCs w:val="24"/>
              </w:rPr>
              <w:t>8</w:t>
            </w:r>
          </w:p>
        </w:tc>
        <w:tc>
          <w:tcPr>
            <w:tcW w:w="1309" w:type="dxa"/>
          </w:tcPr>
          <w:p w:rsidR="002D3306" w:rsidRPr="004C18DB" w:rsidP="00D83E68" w14:paraId="5ACB1462" w14:textId="77777777">
            <w:pPr>
              <w:suppressAutoHyphens/>
              <w:rPr>
                <w:rFonts w:asciiTheme="minorHAnsi" w:hAnsiTheme="minorHAnsi" w:cstheme="minorHAnsi"/>
                <w:szCs w:val="24"/>
              </w:rPr>
            </w:pPr>
          </w:p>
        </w:tc>
      </w:tr>
      <w:tr w14:paraId="2C805F4D" w14:textId="77777777" w:rsidTr="00D83E68">
        <w:tblPrEx>
          <w:tblW w:w="8435" w:type="dxa"/>
          <w:tblInd w:w="720" w:type="dxa"/>
          <w:tblLook w:val="04A0"/>
        </w:tblPrEx>
        <w:trPr>
          <w:trHeight w:val="452"/>
        </w:trPr>
        <w:tc>
          <w:tcPr>
            <w:tcW w:w="1706" w:type="dxa"/>
          </w:tcPr>
          <w:p w:rsidR="002D3306" w:rsidRPr="004C18DB" w:rsidP="00D83E68" w14:paraId="31AA8BAF" w14:textId="77777777">
            <w:pPr>
              <w:suppressAutoHyphens/>
              <w:rPr>
                <w:rFonts w:asciiTheme="minorHAnsi" w:hAnsiTheme="minorHAnsi" w:cstheme="minorHAnsi"/>
                <w:szCs w:val="24"/>
              </w:rPr>
            </w:pPr>
            <w:r w:rsidRPr="004C18DB">
              <w:rPr>
                <w:rFonts w:asciiTheme="minorHAnsi" w:hAnsiTheme="minorHAnsi" w:cstheme="minorHAnsi"/>
                <w:szCs w:val="24"/>
              </w:rPr>
              <w:t>Part IV – FSEOG</w:t>
            </w:r>
          </w:p>
        </w:tc>
        <w:tc>
          <w:tcPr>
            <w:tcW w:w="1306" w:type="dxa"/>
          </w:tcPr>
          <w:p w:rsidR="002D3306" w:rsidRPr="004C18DB" w:rsidP="00D83E68" w14:paraId="76BD88AB" w14:textId="77777777">
            <w:pPr>
              <w:suppressAutoHyphens/>
              <w:jc w:val="right"/>
              <w:rPr>
                <w:rFonts w:asciiTheme="minorHAnsi" w:hAnsiTheme="minorHAnsi" w:cstheme="minorHAnsi"/>
                <w:szCs w:val="24"/>
              </w:rPr>
            </w:pPr>
            <w:r w:rsidRPr="004C18DB">
              <w:rPr>
                <w:rFonts w:asciiTheme="minorHAnsi" w:hAnsiTheme="minorHAnsi" w:cstheme="minorHAnsi"/>
                <w:szCs w:val="24"/>
              </w:rPr>
              <w:t>1,537</w:t>
            </w:r>
          </w:p>
        </w:tc>
        <w:tc>
          <w:tcPr>
            <w:tcW w:w="1416" w:type="dxa"/>
          </w:tcPr>
          <w:p w:rsidR="002D3306" w:rsidRPr="004C18DB" w:rsidP="00D83E68" w14:paraId="60310EFE"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5518FE50"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3AE12D50"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6B941F44" w14:textId="77777777">
            <w:pPr>
              <w:suppressAutoHyphens/>
              <w:rPr>
                <w:rFonts w:asciiTheme="minorHAnsi" w:hAnsiTheme="minorHAnsi" w:cstheme="minorHAnsi"/>
                <w:szCs w:val="24"/>
              </w:rPr>
            </w:pPr>
          </w:p>
        </w:tc>
      </w:tr>
      <w:tr w14:paraId="1E678596" w14:textId="77777777" w:rsidTr="00D83E68">
        <w:tblPrEx>
          <w:tblW w:w="8435" w:type="dxa"/>
          <w:tblInd w:w="720" w:type="dxa"/>
          <w:tblLook w:val="04A0"/>
        </w:tblPrEx>
        <w:trPr>
          <w:trHeight w:val="229"/>
        </w:trPr>
        <w:tc>
          <w:tcPr>
            <w:tcW w:w="1706" w:type="dxa"/>
          </w:tcPr>
          <w:p w:rsidR="002D3306" w:rsidRPr="004C18DB" w:rsidP="00D83E68" w14:paraId="53D4E084" w14:textId="77777777">
            <w:pPr>
              <w:suppressAutoHyphens/>
              <w:rPr>
                <w:rFonts w:asciiTheme="minorHAnsi" w:hAnsiTheme="minorHAnsi" w:cstheme="minorHAnsi"/>
                <w:szCs w:val="24"/>
              </w:rPr>
            </w:pPr>
            <w:r w:rsidRPr="004C18DB">
              <w:rPr>
                <w:rFonts w:asciiTheme="minorHAnsi" w:hAnsiTheme="minorHAnsi" w:cstheme="minorHAnsi"/>
                <w:szCs w:val="24"/>
              </w:rPr>
              <w:t>Part V – FWS</w:t>
            </w:r>
          </w:p>
        </w:tc>
        <w:tc>
          <w:tcPr>
            <w:tcW w:w="1306" w:type="dxa"/>
          </w:tcPr>
          <w:p w:rsidR="002D3306" w:rsidRPr="004C18DB" w:rsidP="00D83E68" w14:paraId="28B61619" w14:textId="77777777">
            <w:pPr>
              <w:suppressAutoHyphens/>
              <w:jc w:val="right"/>
              <w:rPr>
                <w:rFonts w:asciiTheme="minorHAnsi" w:hAnsiTheme="minorHAnsi" w:cstheme="minorHAnsi"/>
                <w:szCs w:val="24"/>
              </w:rPr>
            </w:pPr>
            <w:r w:rsidRPr="004C18DB">
              <w:rPr>
                <w:rFonts w:asciiTheme="minorHAnsi" w:hAnsiTheme="minorHAnsi" w:cstheme="minorHAnsi"/>
                <w:szCs w:val="24"/>
              </w:rPr>
              <w:t>1,239</w:t>
            </w:r>
          </w:p>
        </w:tc>
        <w:tc>
          <w:tcPr>
            <w:tcW w:w="1416" w:type="dxa"/>
          </w:tcPr>
          <w:p w:rsidR="002D3306" w:rsidRPr="004C18DB" w:rsidP="00D83E68" w14:paraId="6C7A975E"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360DECA2"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4F3BC384"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42C86F6D" w14:textId="77777777">
            <w:pPr>
              <w:suppressAutoHyphens/>
              <w:rPr>
                <w:rFonts w:asciiTheme="minorHAnsi" w:hAnsiTheme="minorHAnsi" w:cstheme="minorHAnsi"/>
                <w:szCs w:val="24"/>
              </w:rPr>
            </w:pPr>
          </w:p>
        </w:tc>
      </w:tr>
      <w:tr w14:paraId="4240CF70" w14:textId="77777777" w:rsidTr="00D83E68">
        <w:tblPrEx>
          <w:tblW w:w="8435" w:type="dxa"/>
          <w:tblInd w:w="720" w:type="dxa"/>
          <w:tblLook w:val="04A0"/>
        </w:tblPrEx>
        <w:trPr>
          <w:trHeight w:val="461"/>
        </w:trPr>
        <w:tc>
          <w:tcPr>
            <w:tcW w:w="1706" w:type="dxa"/>
          </w:tcPr>
          <w:p w:rsidR="002D3306" w:rsidRPr="004C18DB" w:rsidP="00D83E68" w14:paraId="047C8EEE" w14:textId="77777777">
            <w:pPr>
              <w:suppressAutoHyphens/>
              <w:rPr>
                <w:rFonts w:asciiTheme="minorHAnsi" w:hAnsiTheme="minorHAnsi" w:cstheme="minorHAnsi"/>
                <w:szCs w:val="24"/>
              </w:rPr>
            </w:pPr>
            <w:r w:rsidRPr="004C18DB">
              <w:rPr>
                <w:rFonts w:asciiTheme="minorHAnsi" w:hAnsiTheme="minorHAnsi" w:cstheme="minorHAnsi"/>
                <w:szCs w:val="24"/>
              </w:rPr>
              <w:t>Part VI – Summary</w:t>
            </w:r>
          </w:p>
        </w:tc>
        <w:tc>
          <w:tcPr>
            <w:tcW w:w="1306" w:type="dxa"/>
          </w:tcPr>
          <w:p w:rsidR="002D3306" w:rsidRPr="004C18DB" w:rsidP="00D83E68" w14:paraId="39840638" w14:textId="77777777">
            <w:pPr>
              <w:suppressAutoHyphens/>
              <w:jc w:val="right"/>
              <w:rPr>
                <w:rFonts w:asciiTheme="minorHAnsi" w:hAnsiTheme="minorHAnsi" w:cstheme="minorHAnsi"/>
                <w:szCs w:val="24"/>
              </w:rPr>
            </w:pPr>
            <w:r w:rsidRPr="004C18DB">
              <w:rPr>
                <w:rFonts w:asciiTheme="minorHAnsi" w:hAnsiTheme="minorHAnsi" w:cstheme="minorHAnsi"/>
                <w:szCs w:val="24"/>
              </w:rPr>
              <w:t>1,557</w:t>
            </w:r>
          </w:p>
        </w:tc>
        <w:tc>
          <w:tcPr>
            <w:tcW w:w="1416" w:type="dxa"/>
          </w:tcPr>
          <w:p w:rsidR="002D3306" w:rsidRPr="004C18DB" w:rsidP="00D83E68" w14:paraId="18EF704E"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34B431A2"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7FE0F0C2"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73814BAB" w14:textId="77777777">
            <w:pPr>
              <w:suppressAutoHyphens/>
              <w:rPr>
                <w:rFonts w:asciiTheme="minorHAnsi" w:hAnsiTheme="minorHAnsi" w:cstheme="minorHAnsi"/>
                <w:szCs w:val="24"/>
              </w:rPr>
            </w:pPr>
          </w:p>
        </w:tc>
      </w:tr>
      <w:tr w14:paraId="14C6A8AD" w14:textId="77777777" w:rsidTr="00D83E68">
        <w:tblPrEx>
          <w:tblW w:w="8435" w:type="dxa"/>
          <w:tblInd w:w="720" w:type="dxa"/>
          <w:tblLook w:val="04A0"/>
        </w:tblPrEx>
        <w:trPr>
          <w:trHeight w:val="1143"/>
        </w:trPr>
        <w:tc>
          <w:tcPr>
            <w:tcW w:w="1706" w:type="dxa"/>
          </w:tcPr>
          <w:p w:rsidR="002D3306" w:rsidRPr="004C18DB" w:rsidP="00D83E68" w14:paraId="4B62E051" w14:textId="77777777">
            <w:pPr>
              <w:suppressAutoHyphens/>
              <w:rPr>
                <w:rFonts w:asciiTheme="minorHAnsi" w:hAnsiTheme="minorHAnsi" w:cstheme="minorHAnsi"/>
                <w:szCs w:val="24"/>
              </w:rPr>
            </w:pPr>
            <w:r w:rsidRPr="004C18DB">
              <w:rPr>
                <w:rFonts w:asciiTheme="minorHAnsi" w:hAnsiTheme="minorHAnsi" w:cstheme="minorHAnsi"/>
                <w:b/>
                <w:szCs w:val="24"/>
              </w:rPr>
              <w:t xml:space="preserve">Total for FISAP Respondents – Public Schools </w:t>
            </w:r>
            <w:r w:rsidRPr="004C18DB">
              <w:rPr>
                <w:rFonts w:asciiTheme="minorHAnsi" w:hAnsiTheme="minorHAnsi" w:cstheme="minorHAnsi"/>
                <w:szCs w:val="24"/>
              </w:rPr>
              <w:t>(unduplicated count)</w:t>
            </w:r>
          </w:p>
        </w:tc>
        <w:tc>
          <w:tcPr>
            <w:tcW w:w="1306" w:type="dxa"/>
          </w:tcPr>
          <w:p w:rsidR="002D3306" w:rsidRPr="004C18DB" w:rsidP="00D83E68" w14:paraId="2B445B18"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1,563</w:t>
            </w:r>
          </w:p>
        </w:tc>
        <w:tc>
          <w:tcPr>
            <w:tcW w:w="1416" w:type="dxa"/>
          </w:tcPr>
          <w:p w:rsidR="002D3306" w:rsidRPr="004C18DB" w:rsidP="00D83E68" w14:paraId="78676F1F"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12</w:t>
            </w:r>
          </w:p>
        </w:tc>
        <w:tc>
          <w:tcPr>
            <w:tcW w:w="1440" w:type="dxa"/>
          </w:tcPr>
          <w:p w:rsidR="002D3306" w:rsidRPr="004C18DB" w:rsidP="00D83E68" w14:paraId="331EFC70"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12</w:t>
            </w:r>
          </w:p>
        </w:tc>
        <w:tc>
          <w:tcPr>
            <w:tcW w:w="1258" w:type="dxa"/>
          </w:tcPr>
          <w:p w:rsidR="002D3306" w:rsidRPr="004C18DB" w:rsidP="00D83E68" w14:paraId="46C7180C"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24</w:t>
            </w:r>
          </w:p>
        </w:tc>
        <w:tc>
          <w:tcPr>
            <w:tcW w:w="1309" w:type="dxa"/>
          </w:tcPr>
          <w:p w:rsidR="002D3306" w:rsidRPr="004C18DB" w:rsidP="00D83E68" w14:paraId="5EF26983"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37,512</w:t>
            </w:r>
          </w:p>
        </w:tc>
      </w:tr>
      <w:tr w14:paraId="6F7995F8" w14:textId="77777777" w:rsidTr="00D83E68">
        <w:tblPrEx>
          <w:tblW w:w="8435" w:type="dxa"/>
          <w:tblInd w:w="720" w:type="dxa"/>
          <w:tblLook w:val="04A0"/>
        </w:tblPrEx>
        <w:trPr>
          <w:trHeight w:val="1143"/>
        </w:trPr>
        <w:tc>
          <w:tcPr>
            <w:tcW w:w="1706" w:type="dxa"/>
          </w:tcPr>
          <w:p w:rsidR="002D3306" w:rsidRPr="004C18DB" w:rsidP="00D83E68" w14:paraId="24419F69" w14:textId="77777777">
            <w:pPr>
              <w:suppressAutoHyphens/>
              <w:rPr>
                <w:rFonts w:asciiTheme="minorHAnsi" w:hAnsiTheme="minorHAnsi" w:cstheme="minorHAnsi"/>
                <w:b/>
                <w:szCs w:val="24"/>
              </w:rPr>
            </w:pPr>
            <w:r w:rsidRPr="004C18DB">
              <w:rPr>
                <w:rFonts w:asciiTheme="minorHAnsi" w:hAnsiTheme="minorHAnsi" w:cstheme="minorHAnsi"/>
                <w:b/>
                <w:szCs w:val="24"/>
              </w:rPr>
              <w:t>FISAP Respondent Type by Part (duplicated count)</w:t>
            </w:r>
          </w:p>
        </w:tc>
        <w:tc>
          <w:tcPr>
            <w:tcW w:w="1306" w:type="dxa"/>
          </w:tcPr>
          <w:p w:rsidR="002D3306" w:rsidRPr="004C18DB" w:rsidP="00D83E68" w14:paraId="048D3938" w14:textId="77777777">
            <w:pPr>
              <w:suppressAutoHyphens/>
              <w:rPr>
                <w:rFonts w:asciiTheme="minorHAnsi" w:hAnsiTheme="minorHAnsi" w:cstheme="minorHAnsi"/>
                <w:b/>
                <w:szCs w:val="24"/>
              </w:rPr>
            </w:pPr>
            <w:r w:rsidRPr="004C18DB">
              <w:rPr>
                <w:rFonts w:asciiTheme="minorHAnsi" w:hAnsiTheme="minorHAnsi" w:cstheme="minorHAnsi"/>
                <w:b/>
                <w:szCs w:val="24"/>
              </w:rPr>
              <w:t>Estimated Number of Respondents</w:t>
            </w:r>
          </w:p>
        </w:tc>
        <w:tc>
          <w:tcPr>
            <w:tcW w:w="1416" w:type="dxa"/>
          </w:tcPr>
          <w:p w:rsidR="002D3306" w:rsidRPr="004C18DB" w:rsidP="00D83E68" w14:paraId="38D8C40E"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Reporting</w:t>
            </w:r>
          </w:p>
        </w:tc>
        <w:tc>
          <w:tcPr>
            <w:tcW w:w="1440" w:type="dxa"/>
          </w:tcPr>
          <w:p w:rsidR="002D3306" w:rsidRPr="004C18DB" w:rsidP="00D83E68" w14:paraId="6EE61517"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Record-Keeping</w:t>
            </w:r>
          </w:p>
        </w:tc>
        <w:tc>
          <w:tcPr>
            <w:tcW w:w="1258" w:type="dxa"/>
          </w:tcPr>
          <w:p w:rsidR="002D3306" w:rsidRPr="004C18DB" w:rsidP="00D83E68" w14:paraId="0BC4028D" w14:textId="77777777">
            <w:pPr>
              <w:suppressAutoHyphens/>
              <w:rPr>
                <w:rFonts w:asciiTheme="minorHAnsi" w:hAnsiTheme="minorHAnsi" w:cstheme="minorHAnsi"/>
                <w:b/>
                <w:szCs w:val="24"/>
              </w:rPr>
            </w:pPr>
            <w:r w:rsidRPr="004C18DB">
              <w:rPr>
                <w:rFonts w:asciiTheme="minorHAnsi" w:hAnsiTheme="minorHAnsi" w:cstheme="minorHAnsi"/>
                <w:b/>
                <w:szCs w:val="24"/>
              </w:rPr>
              <w:t>Total Hours</w:t>
            </w:r>
          </w:p>
        </w:tc>
        <w:tc>
          <w:tcPr>
            <w:tcW w:w="1309" w:type="dxa"/>
          </w:tcPr>
          <w:p w:rsidR="002D3306" w:rsidRPr="004C18DB" w:rsidP="00D83E68" w14:paraId="79A2A3FA" w14:textId="77777777">
            <w:pPr>
              <w:suppressAutoHyphens/>
              <w:rPr>
                <w:rFonts w:asciiTheme="minorHAnsi" w:hAnsiTheme="minorHAnsi" w:cstheme="minorHAnsi"/>
                <w:szCs w:val="24"/>
              </w:rPr>
            </w:pPr>
          </w:p>
        </w:tc>
      </w:tr>
      <w:tr w14:paraId="24873CCD" w14:textId="77777777" w:rsidTr="00D83E68">
        <w:tblPrEx>
          <w:tblW w:w="8435" w:type="dxa"/>
          <w:tblInd w:w="720" w:type="dxa"/>
          <w:tblLook w:val="04A0"/>
        </w:tblPrEx>
        <w:trPr>
          <w:trHeight w:val="229"/>
        </w:trPr>
        <w:tc>
          <w:tcPr>
            <w:tcW w:w="1706" w:type="dxa"/>
          </w:tcPr>
          <w:p w:rsidR="002D3306" w:rsidRPr="004C18DB" w:rsidP="00D83E68" w14:paraId="267B3784" w14:textId="77777777">
            <w:pPr>
              <w:suppressAutoHyphens/>
              <w:rPr>
                <w:rFonts w:asciiTheme="minorHAnsi" w:hAnsiTheme="minorHAnsi" w:cstheme="minorHAnsi"/>
                <w:b/>
                <w:i/>
                <w:szCs w:val="24"/>
              </w:rPr>
            </w:pPr>
            <w:r w:rsidRPr="004C18DB">
              <w:rPr>
                <w:rFonts w:asciiTheme="minorHAnsi" w:hAnsiTheme="minorHAnsi" w:cstheme="minorHAnsi"/>
                <w:b/>
                <w:i/>
                <w:szCs w:val="24"/>
              </w:rPr>
              <w:t>Proprietary</w:t>
            </w:r>
          </w:p>
        </w:tc>
        <w:tc>
          <w:tcPr>
            <w:tcW w:w="1306" w:type="dxa"/>
          </w:tcPr>
          <w:p w:rsidR="002D3306" w:rsidRPr="004C18DB" w:rsidP="00D83E68" w14:paraId="600D967F" w14:textId="77777777">
            <w:pPr>
              <w:suppressAutoHyphens/>
              <w:rPr>
                <w:rFonts w:asciiTheme="minorHAnsi" w:hAnsiTheme="minorHAnsi" w:cstheme="minorHAnsi"/>
                <w:szCs w:val="24"/>
              </w:rPr>
            </w:pPr>
          </w:p>
        </w:tc>
        <w:tc>
          <w:tcPr>
            <w:tcW w:w="1416" w:type="dxa"/>
          </w:tcPr>
          <w:p w:rsidR="002D3306" w:rsidRPr="004C18DB" w:rsidP="00D83E68" w14:paraId="04537449" w14:textId="77777777">
            <w:pPr>
              <w:suppressAutoHyphens/>
              <w:rPr>
                <w:rFonts w:asciiTheme="minorHAnsi" w:hAnsiTheme="minorHAnsi" w:cstheme="minorHAnsi"/>
                <w:szCs w:val="24"/>
              </w:rPr>
            </w:pPr>
          </w:p>
        </w:tc>
        <w:tc>
          <w:tcPr>
            <w:tcW w:w="1440" w:type="dxa"/>
          </w:tcPr>
          <w:p w:rsidR="002D3306" w:rsidRPr="004C18DB" w:rsidP="00D83E68" w14:paraId="10A0C873" w14:textId="77777777">
            <w:pPr>
              <w:suppressAutoHyphens/>
              <w:rPr>
                <w:rFonts w:asciiTheme="minorHAnsi" w:hAnsiTheme="minorHAnsi" w:cstheme="minorHAnsi"/>
                <w:szCs w:val="24"/>
              </w:rPr>
            </w:pPr>
          </w:p>
        </w:tc>
        <w:tc>
          <w:tcPr>
            <w:tcW w:w="1258" w:type="dxa"/>
          </w:tcPr>
          <w:p w:rsidR="002D3306" w:rsidRPr="004C18DB" w:rsidP="00D83E68" w14:paraId="03369289" w14:textId="77777777">
            <w:pPr>
              <w:suppressAutoHyphens/>
              <w:rPr>
                <w:rFonts w:asciiTheme="minorHAnsi" w:hAnsiTheme="minorHAnsi" w:cstheme="minorHAnsi"/>
                <w:szCs w:val="24"/>
              </w:rPr>
            </w:pPr>
          </w:p>
        </w:tc>
        <w:tc>
          <w:tcPr>
            <w:tcW w:w="1309" w:type="dxa"/>
          </w:tcPr>
          <w:p w:rsidR="002D3306" w:rsidRPr="004C18DB" w:rsidP="00D83E68" w14:paraId="5FA0526E" w14:textId="77777777">
            <w:pPr>
              <w:suppressAutoHyphens/>
              <w:rPr>
                <w:rFonts w:asciiTheme="minorHAnsi" w:hAnsiTheme="minorHAnsi" w:cstheme="minorHAnsi"/>
                <w:szCs w:val="24"/>
              </w:rPr>
            </w:pPr>
          </w:p>
        </w:tc>
      </w:tr>
      <w:tr w14:paraId="608BBC40" w14:textId="77777777" w:rsidTr="00D83E68">
        <w:tblPrEx>
          <w:tblW w:w="8435" w:type="dxa"/>
          <w:tblInd w:w="720" w:type="dxa"/>
          <w:tblLook w:val="04A0"/>
        </w:tblPrEx>
        <w:trPr>
          <w:trHeight w:val="461"/>
        </w:trPr>
        <w:tc>
          <w:tcPr>
            <w:tcW w:w="1706" w:type="dxa"/>
          </w:tcPr>
          <w:p w:rsidR="002D3306" w:rsidRPr="004C18DB" w:rsidP="00D83E68" w14:paraId="73345218" w14:textId="77777777">
            <w:pPr>
              <w:suppressAutoHyphens/>
              <w:rPr>
                <w:rFonts w:asciiTheme="minorHAnsi" w:hAnsiTheme="minorHAnsi" w:cstheme="minorHAnsi"/>
                <w:szCs w:val="24"/>
              </w:rPr>
            </w:pPr>
            <w:r w:rsidRPr="004C18DB">
              <w:rPr>
                <w:rFonts w:asciiTheme="minorHAnsi" w:hAnsiTheme="minorHAnsi" w:cstheme="minorHAnsi"/>
                <w:szCs w:val="24"/>
              </w:rPr>
              <w:t>Parts I &amp; II – Application</w:t>
            </w:r>
          </w:p>
        </w:tc>
        <w:tc>
          <w:tcPr>
            <w:tcW w:w="1306" w:type="dxa"/>
          </w:tcPr>
          <w:p w:rsidR="002D3306" w:rsidRPr="004C18DB" w:rsidP="00D83E68" w14:paraId="393E69D1" w14:textId="77777777">
            <w:pPr>
              <w:suppressAutoHyphens/>
              <w:jc w:val="right"/>
              <w:rPr>
                <w:rFonts w:asciiTheme="minorHAnsi" w:hAnsiTheme="minorHAnsi" w:cstheme="minorHAnsi"/>
                <w:szCs w:val="24"/>
              </w:rPr>
            </w:pPr>
            <w:r w:rsidRPr="004C18DB">
              <w:rPr>
                <w:rFonts w:asciiTheme="minorHAnsi" w:hAnsiTheme="minorHAnsi" w:cstheme="minorHAnsi"/>
                <w:szCs w:val="24"/>
              </w:rPr>
              <w:t>679</w:t>
            </w:r>
          </w:p>
        </w:tc>
        <w:tc>
          <w:tcPr>
            <w:tcW w:w="1416" w:type="dxa"/>
          </w:tcPr>
          <w:p w:rsidR="002D3306" w:rsidRPr="004C18DB" w:rsidP="00D83E68" w14:paraId="2A6E3D96"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623D61FB"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67E4C6C1"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4EA9BB85" w14:textId="77777777">
            <w:pPr>
              <w:suppressAutoHyphens/>
              <w:rPr>
                <w:rFonts w:asciiTheme="minorHAnsi" w:hAnsiTheme="minorHAnsi" w:cstheme="minorHAnsi"/>
                <w:szCs w:val="24"/>
              </w:rPr>
            </w:pPr>
          </w:p>
        </w:tc>
      </w:tr>
      <w:tr w14:paraId="14274E44" w14:textId="77777777" w:rsidTr="00D83E68">
        <w:tblPrEx>
          <w:tblW w:w="8435" w:type="dxa"/>
          <w:tblInd w:w="720" w:type="dxa"/>
          <w:tblLook w:val="04A0"/>
        </w:tblPrEx>
        <w:trPr>
          <w:trHeight w:val="690"/>
        </w:trPr>
        <w:tc>
          <w:tcPr>
            <w:tcW w:w="1706" w:type="dxa"/>
          </w:tcPr>
          <w:p w:rsidR="002D3306" w:rsidRPr="004C18DB" w:rsidP="00D83E68" w14:paraId="6BC1C268" w14:textId="77777777">
            <w:pPr>
              <w:suppressAutoHyphens/>
              <w:rPr>
                <w:rFonts w:asciiTheme="minorHAnsi" w:hAnsiTheme="minorHAnsi" w:cstheme="minorHAnsi"/>
                <w:szCs w:val="24"/>
              </w:rPr>
            </w:pPr>
            <w:r w:rsidRPr="004C18DB">
              <w:rPr>
                <w:rFonts w:asciiTheme="minorHAnsi" w:hAnsiTheme="minorHAnsi" w:cstheme="minorHAnsi"/>
                <w:szCs w:val="24"/>
              </w:rPr>
              <w:t>Part III – Federal Perkins Loan</w:t>
            </w:r>
          </w:p>
        </w:tc>
        <w:tc>
          <w:tcPr>
            <w:tcW w:w="1306" w:type="dxa"/>
          </w:tcPr>
          <w:p w:rsidR="002D3306" w:rsidRPr="004C18DB" w:rsidP="00D83E68" w14:paraId="034C03D9" w14:textId="77777777">
            <w:pPr>
              <w:suppressAutoHyphens/>
              <w:jc w:val="right"/>
              <w:rPr>
                <w:rFonts w:asciiTheme="minorHAnsi" w:hAnsiTheme="minorHAnsi" w:cstheme="minorHAnsi"/>
                <w:szCs w:val="24"/>
              </w:rPr>
            </w:pPr>
            <w:r w:rsidRPr="004C18DB">
              <w:rPr>
                <w:rFonts w:asciiTheme="minorHAnsi" w:hAnsiTheme="minorHAnsi" w:cstheme="minorHAnsi"/>
                <w:szCs w:val="24"/>
              </w:rPr>
              <w:t>46</w:t>
            </w:r>
          </w:p>
        </w:tc>
        <w:tc>
          <w:tcPr>
            <w:tcW w:w="1416" w:type="dxa"/>
          </w:tcPr>
          <w:p w:rsidR="002D3306" w:rsidRPr="004C18DB" w:rsidP="00D83E68" w14:paraId="163C5D3F"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440" w:type="dxa"/>
          </w:tcPr>
          <w:p w:rsidR="002D3306" w:rsidRPr="004C18DB" w:rsidP="00D83E68" w14:paraId="24D20352"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258" w:type="dxa"/>
          </w:tcPr>
          <w:p w:rsidR="002D3306" w:rsidRPr="004C18DB" w:rsidP="00D83E68" w14:paraId="27D62B92" w14:textId="77777777">
            <w:pPr>
              <w:suppressAutoHyphens/>
              <w:jc w:val="right"/>
              <w:rPr>
                <w:rFonts w:asciiTheme="minorHAnsi" w:hAnsiTheme="minorHAnsi" w:cstheme="minorHAnsi"/>
                <w:szCs w:val="24"/>
              </w:rPr>
            </w:pPr>
            <w:r w:rsidRPr="004C18DB">
              <w:rPr>
                <w:rFonts w:asciiTheme="minorHAnsi" w:hAnsiTheme="minorHAnsi" w:cstheme="minorHAnsi"/>
                <w:szCs w:val="24"/>
              </w:rPr>
              <w:t>8</w:t>
            </w:r>
          </w:p>
        </w:tc>
        <w:tc>
          <w:tcPr>
            <w:tcW w:w="1309" w:type="dxa"/>
          </w:tcPr>
          <w:p w:rsidR="002D3306" w:rsidRPr="004C18DB" w:rsidP="00D83E68" w14:paraId="5E523E27" w14:textId="77777777">
            <w:pPr>
              <w:suppressAutoHyphens/>
              <w:rPr>
                <w:rFonts w:asciiTheme="minorHAnsi" w:hAnsiTheme="minorHAnsi" w:cstheme="minorHAnsi"/>
                <w:szCs w:val="24"/>
              </w:rPr>
            </w:pPr>
          </w:p>
        </w:tc>
      </w:tr>
      <w:tr w14:paraId="03A001BC" w14:textId="77777777" w:rsidTr="00D83E68">
        <w:tblPrEx>
          <w:tblW w:w="8435" w:type="dxa"/>
          <w:tblInd w:w="720" w:type="dxa"/>
          <w:tblLook w:val="04A0"/>
        </w:tblPrEx>
        <w:trPr>
          <w:trHeight w:val="452"/>
        </w:trPr>
        <w:tc>
          <w:tcPr>
            <w:tcW w:w="1706" w:type="dxa"/>
          </w:tcPr>
          <w:p w:rsidR="002D3306" w:rsidRPr="004C18DB" w:rsidP="00D83E68" w14:paraId="42F22FFD" w14:textId="77777777">
            <w:pPr>
              <w:suppressAutoHyphens/>
              <w:rPr>
                <w:rFonts w:asciiTheme="minorHAnsi" w:hAnsiTheme="minorHAnsi" w:cstheme="minorHAnsi"/>
                <w:szCs w:val="24"/>
              </w:rPr>
            </w:pPr>
            <w:r w:rsidRPr="004C18DB">
              <w:rPr>
                <w:rFonts w:asciiTheme="minorHAnsi" w:hAnsiTheme="minorHAnsi" w:cstheme="minorHAnsi"/>
                <w:szCs w:val="24"/>
              </w:rPr>
              <w:t>Part IV – FSEOG</w:t>
            </w:r>
          </w:p>
        </w:tc>
        <w:tc>
          <w:tcPr>
            <w:tcW w:w="1306" w:type="dxa"/>
          </w:tcPr>
          <w:p w:rsidR="002D3306" w:rsidRPr="004C18DB" w:rsidP="00D83E68" w14:paraId="6027D9F8" w14:textId="77777777">
            <w:pPr>
              <w:suppressAutoHyphens/>
              <w:jc w:val="right"/>
              <w:rPr>
                <w:rFonts w:asciiTheme="minorHAnsi" w:hAnsiTheme="minorHAnsi" w:cstheme="minorHAnsi"/>
                <w:szCs w:val="24"/>
              </w:rPr>
            </w:pPr>
            <w:r w:rsidRPr="004C18DB">
              <w:rPr>
                <w:rFonts w:asciiTheme="minorHAnsi" w:hAnsiTheme="minorHAnsi" w:cstheme="minorHAnsi"/>
                <w:szCs w:val="24"/>
              </w:rPr>
              <w:t>623</w:t>
            </w:r>
          </w:p>
        </w:tc>
        <w:tc>
          <w:tcPr>
            <w:tcW w:w="1416" w:type="dxa"/>
          </w:tcPr>
          <w:p w:rsidR="002D3306" w:rsidRPr="004C18DB" w:rsidP="00D83E68" w14:paraId="73E1EFDC"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3DBBB2EC"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64CBE611"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7D460E50" w14:textId="77777777">
            <w:pPr>
              <w:suppressAutoHyphens/>
              <w:rPr>
                <w:rFonts w:asciiTheme="minorHAnsi" w:hAnsiTheme="minorHAnsi" w:cstheme="minorHAnsi"/>
                <w:szCs w:val="24"/>
              </w:rPr>
            </w:pPr>
          </w:p>
        </w:tc>
      </w:tr>
      <w:tr w14:paraId="4D514210" w14:textId="77777777" w:rsidTr="00D83E68">
        <w:tblPrEx>
          <w:tblW w:w="8435" w:type="dxa"/>
          <w:tblInd w:w="720" w:type="dxa"/>
          <w:tblLook w:val="04A0"/>
        </w:tblPrEx>
        <w:trPr>
          <w:trHeight w:val="229"/>
        </w:trPr>
        <w:tc>
          <w:tcPr>
            <w:tcW w:w="1706" w:type="dxa"/>
          </w:tcPr>
          <w:p w:rsidR="002D3306" w:rsidRPr="004C18DB" w:rsidP="00D83E68" w14:paraId="2C6F47B7" w14:textId="77777777">
            <w:pPr>
              <w:suppressAutoHyphens/>
              <w:rPr>
                <w:rFonts w:asciiTheme="minorHAnsi" w:hAnsiTheme="minorHAnsi" w:cstheme="minorHAnsi"/>
                <w:szCs w:val="24"/>
              </w:rPr>
            </w:pPr>
            <w:r w:rsidRPr="004C18DB">
              <w:rPr>
                <w:rFonts w:asciiTheme="minorHAnsi" w:hAnsiTheme="minorHAnsi" w:cstheme="minorHAnsi"/>
                <w:szCs w:val="24"/>
              </w:rPr>
              <w:t>Part V – FWS</w:t>
            </w:r>
          </w:p>
        </w:tc>
        <w:tc>
          <w:tcPr>
            <w:tcW w:w="1306" w:type="dxa"/>
          </w:tcPr>
          <w:p w:rsidR="002D3306" w:rsidRPr="004C18DB" w:rsidP="00D83E68" w14:paraId="441EF6B8" w14:textId="77777777">
            <w:pPr>
              <w:suppressAutoHyphens/>
              <w:jc w:val="right"/>
              <w:rPr>
                <w:rFonts w:asciiTheme="minorHAnsi" w:hAnsiTheme="minorHAnsi" w:cstheme="minorHAnsi"/>
                <w:szCs w:val="24"/>
              </w:rPr>
            </w:pPr>
            <w:r w:rsidRPr="004C18DB">
              <w:rPr>
                <w:rFonts w:asciiTheme="minorHAnsi" w:hAnsiTheme="minorHAnsi" w:cstheme="minorHAnsi"/>
                <w:szCs w:val="24"/>
              </w:rPr>
              <w:t>645</w:t>
            </w:r>
          </w:p>
        </w:tc>
        <w:tc>
          <w:tcPr>
            <w:tcW w:w="1416" w:type="dxa"/>
          </w:tcPr>
          <w:p w:rsidR="002D3306" w:rsidRPr="004C18DB" w:rsidP="00D83E68" w14:paraId="72EBD65E"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5C8BD912"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7C136A5E"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0FE48865" w14:textId="77777777">
            <w:pPr>
              <w:suppressAutoHyphens/>
              <w:rPr>
                <w:rFonts w:asciiTheme="minorHAnsi" w:hAnsiTheme="minorHAnsi" w:cstheme="minorHAnsi"/>
                <w:szCs w:val="24"/>
              </w:rPr>
            </w:pPr>
          </w:p>
        </w:tc>
      </w:tr>
      <w:tr w14:paraId="7B78AC02" w14:textId="77777777" w:rsidTr="00D83E68">
        <w:tblPrEx>
          <w:tblW w:w="8435" w:type="dxa"/>
          <w:tblInd w:w="720" w:type="dxa"/>
          <w:tblLook w:val="04A0"/>
        </w:tblPrEx>
        <w:trPr>
          <w:trHeight w:val="461"/>
        </w:trPr>
        <w:tc>
          <w:tcPr>
            <w:tcW w:w="1706" w:type="dxa"/>
          </w:tcPr>
          <w:p w:rsidR="002D3306" w:rsidRPr="004C18DB" w:rsidP="00D83E68" w14:paraId="41604291" w14:textId="77777777">
            <w:pPr>
              <w:suppressAutoHyphens/>
              <w:rPr>
                <w:rFonts w:asciiTheme="minorHAnsi" w:hAnsiTheme="minorHAnsi" w:cstheme="minorHAnsi"/>
                <w:szCs w:val="24"/>
              </w:rPr>
            </w:pPr>
            <w:r w:rsidRPr="004C18DB">
              <w:rPr>
                <w:rFonts w:asciiTheme="minorHAnsi" w:hAnsiTheme="minorHAnsi" w:cstheme="minorHAnsi"/>
                <w:szCs w:val="24"/>
              </w:rPr>
              <w:t>Part VI – Summary</w:t>
            </w:r>
          </w:p>
        </w:tc>
        <w:tc>
          <w:tcPr>
            <w:tcW w:w="1306" w:type="dxa"/>
          </w:tcPr>
          <w:p w:rsidR="002D3306" w:rsidRPr="004C18DB" w:rsidP="00D83E68" w14:paraId="24E69DF4" w14:textId="77777777">
            <w:pPr>
              <w:suppressAutoHyphens/>
              <w:jc w:val="right"/>
              <w:rPr>
                <w:rFonts w:asciiTheme="minorHAnsi" w:hAnsiTheme="minorHAnsi" w:cstheme="minorHAnsi"/>
                <w:szCs w:val="24"/>
              </w:rPr>
            </w:pPr>
            <w:r w:rsidRPr="004C18DB">
              <w:rPr>
                <w:rFonts w:asciiTheme="minorHAnsi" w:hAnsiTheme="minorHAnsi" w:cstheme="minorHAnsi"/>
                <w:szCs w:val="24"/>
              </w:rPr>
              <w:t>654</w:t>
            </w:r>
          </w:p>
        </w:tc>
        <w:tc>
          <w:tcPr>
            <w:tcW w:w="1416" w:type="dxa"/>
          </w:tcPr>
          <w:p w:rsidR="002D3306" w:rsidRPr="004C18DB" w:rsidP="00D83E68" w14:paraId="3E4654FC"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2B371BFE"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7C39ADF2"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4BD3127A" w14:textId="77777777">
            <w:pPr>
              <w:suppressAutoHyphens/>
              <w:rPr>
                <w:rFonts w:asciiTheme="minorHAnsi" w:hAnsiTheme="minorHAnsi" w:cstheme="minorHAnsi"/>
                <w:szCs w:val="24"/>
              </w:rPr>
            </w:pPr>
          </w:p>
        </w:tc>
      </w:tr>
      <w:tr w14:paraId="475799EC" w14:textId="77777777" w:rsidTr="00D83E68">
        <w:tblPrEx>
          <w:tblW w:w="8435" w:type="dxa"/>
          <w:tblInd w:w="720" w:type="dxa"/>
          <w:tblLook w:val="04A0"/>
        </w:tblPrEx>
        <w:trPr>
          <w:trHeight w:val="1143"/>
        </w:trPr>
        <w:tc>
          <w:tcPr>
            <w:tcW w:w="1706" w:type="dxa"/>
          </w:tcPr>
          <w:p w:rsidR="002D3306" w:rsidRPr="004C18DB" w:rsidP="00D83E68" w14:paraId="5F6BB2D3" w14:textId="77777777">
            <w:pPr>
              <w:suppressAutoHyphens/>
              <w:rPr>
                <w:rFonts w:asciiTheme="minorHAnsi" w:hAnsiTheme="minorHAnsi" w:cstheme="minorHAnsi"/>
                <w:szCs w:val="24"/>
              </w:rPr>
            </w:pPr>
            <w:r w:rsidRPr="004C18DB">
              <w:rPr>
                <w:rFonts w:asciiTheme="minorHAnsi" w:hAnsiTheme="minorHAnsi" w:cstheme="minorHAnsi"/>
                <w:b/>
                <w:szCs w:val="24"/>
              </w:rPr>
              <w:t xml:space="preserve">Total for FISAP Respondents – Proprietary Schools </w:t>
            </w:r>
            <w:r w:rsidRPr="004C18DB">
              <w:rPr>
                <w:rFonts w:asciiTheme="minorHAnsi" w:hAnsiTheme="minorHAnsi" w:cstheme="minorHAnsi"/>
                <w:szCs w:val="24"/>
              </w:rPr>
              <w:t>(unduplicated count)</w:t>
            </w:r>
          </w:p>
        </w:tc>
        <w:tc>
          <w:tcPr>
            <w:tcW w:w="1306" w:type="dxa"/>
          </w:tcPr>
          <w:p w:rsidR="002D3306" w:rsidRPr="004C18DB" w:rsidP="00D83E68" w14:paraId="41B82A49"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679</w:t>
            </w:r>
          </w:p>
        </w:tc>
        <w:tc>
          <w:tcPr>
            <w:tcW w:w="1416" w:type="dxa"/>
          </w:tcPr>
          <w:p w:rsidR="002D3306" w:rsidRPr="004C18DB" w:rsidP="00D83E68" w14:paraId="513AFFFF"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12</w:t>
            </w:r>
          </w:p>
        </w:tc>
        <w:tc>
          <w:tcPr>
            <w:tcW w:w="1440" w:type="dxa"/>
          </w:tcPr>
          <w:p w:rsidR="002D3306" w:rsidRPr="004C18DB" w:rsidP="00D83E68" w14:paraId="5F7BAC6E"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12</w:t>
            </w:r>
          </w:p>
        </w:tc>
        <w:tc>
          <w:tcPr>
            <w:tcW w:w="1258" w:type="dxa"/>
          </w:tcPr>
          <w:p w:rsidR="002D3306" w:rsidRPr="004C18DB" w:rsidP="00D83E68" w14:paraId="2692ED27"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24</w:t>
            </w:r>
          </w:p>
        </w:tc>
        <w:tc>
          <w:tcPr>
            <w:tcW w:w="1309" w:type="dxa"/>
          </w:tcPr>
          <w:p w:rsidR="002D3306" w:rsidRPr="004C18DB" w:rsidP="00D83E68" w14:paraId="6DA0A7F0"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16,296</w:t>
            </w:r>
          </w:p>
        </w:tc>
      </w:tr>
      <w:tr w14:paraId="4CC7D7CF" w14:textId="77777777" w:rsidTr="00D83E68">
        <w:tblPrEx>
          <w:tblW w:w="8435" w:type="dxa"/>
          <w:tblInd w:w="720" w:type="dxa"/>
          <w:tblLook w:val="04A0"/>
        </w:tblPrEx>
        <w:trPr>
          <w:trHeight w:val="1143"/>
        </w:trPr>
        <w:tc>
          <w:tcPr>
            <w:tcW w:w="1706" w:type="dxa"/>
          </w:tcPr>
          <w:p w:rsidR="002D3306" w:rsidRPr="004C18DB" w:rsidP="00D83E68" w14:paraId="06B8D6C4" w14:textId="77777777">
            <w:pPr>
              <w:suppressAutoHyphens/>
              <w:rPr>
                <w:rFonts w:asciiTheme="minorHAnsi" w:hAnsiTheme="minorHAnsi" w:cstheme="minorHAnsi"/>
                <w:b/>
                <w:szCs w:val="24"/>
              </w:rPr>
            </w:pPr>
            <w:r w:rsidRPr="004C18DB">
              <w:rPr>
                <w:rFonts w:asciiTheme="minorHAnsi" w:hAnsiTheme="minorHAnsi" w:cstheme="minorHAnsi"/>
                <w:b/>
                <w:szCs w:val="24"/>
              </w:rPr>
              <w:t>FISAP Respondent Type by Part (duplicated count)</w:t>
            </w:r>
          </w:p>
        </w:tc>
        <w:tc>
          <w:tcPr>
            <w:tcW w:w="1306" w:type="dxa"/>
          </w:tcPr>
          <w:p w:rsidR="002D3306" w:rsidRPr="004C18DB" w:rsidP="00D83E68" w14:paraId="7C13E37C" w14:textId="77777777">
            <w:pPr>
              <w:suppressAutoHyphens/>
              <w:rPr>
                <w:rFonts w:asciiTheme="minorHAnsi" w:hAnsiTheme="minorHAnsi" w:cstheme="minorHAnsi"/>
                <w:b/>
                <w:szCs w:val="24"/>
              </w:rPr>
            </w:pPr>
            <w:r w:rsidRPr="004C18DB">
              <w:rPr>
                <w:rFonts w:asciiTheme="minorHAnsi" w:hAnsiTheme="minorHAnsi" w:cstheme="minorHAnsi"/>
                <w:b/>
                <w:szCs w:val="24"/>
              </w:rPr>
              <w:t>Estimated Number of Respondents</w:t>
            </w:r>
          </w:p>
        </w:tc>
        <w:tc>
          <w:tcPr>
            <w:tcW w:w="1416" w:type="dxa"/>
          </w:tcPr>
          <w:p w:rsidR="002D3306" w:rsidRPr="004C18DB" w:rsidP="00D83E68" w14:paraId="220AF46D"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Reporting</w:t>
            </w:r>
          </w:p>
        </w:tc>
        <w:tc>
          <w:tcPr>
            <w:tcW w:w="1440" w:type="dxa"/>
          </w:tcPr>
          <w:p w:rsidR="002D3306" w:rsidRPr="004C18DB" w:rsidP="00D83E68" w14:paraId="194FAE20"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Record-Keeping</w:t>
            </w:r>
          </w:p>
        </w:tc>
        <w:tc>
          <w:tcPr>
            <w:tcW w:w="1258" w:type="dxa"/>
          </w:tcPr>
          <w:p w:rsidR="002D3306" w:rsidRPr="004C18DB" w:rsidP="00D83E68" w14:paraId="20D7C1C4" w14:textId="77777777">
            <w:pPr>
              <w:suppressAutoHyphens/>
              <w:rPr>
                <w:rFonts w:asciiTheme="minorHAnsi" w:hAnsiTheme="minorHAnsi" w:cstheme="minorHAnsi"/>
                <w:b/>
                <w:szCs w:val="24"/>
              </w:rPr>
            </w:pPr>
            <w:r w:rsidRPr="004C18DB">
              <w:rPr>
                <w:rFonts w:asciiTheme="minorHAnsi" w:hAnsiTheme="minorHAnsi" w:cstheme="minorHAnsi"/>
                <w:b/>
                <w:szCs w:val="24"/>
              </w:rPr>
              <w:t>Total Hours</w:t>
            </w:r>
          </w:p>
        </w:tc>
        <w:tc>
          <w:tcPr>
            <w:tcW w:w="1309" w:type="dxa"/>
          </w:tcPr>
          <w:p w:rsidR="002D3306" w:rsidRPr="004C18DB" w:rsidP="00D83E68" w14:paraId="10314244" w14:textId="77777777">
            <w:pPr>
              <w:suppressAutoHyphens/>
              <w:rPr>
                <w:rFonts w:asciiTheme="minorHAnsi" w:hAnsiTheme="minorHAnsi" w:cstheme="minorHAnsi"/>
                <w:szCs w:val="24"/>
              </w:rPr>
            </w:pPr>
          </w:p>
        </w:tc>
      </w:tr>
      <w:tr w14:paraId="5CB12EB7" w14:textId="77777777" w:rsidTr="00D83E68">
        <w:tblPrEx>
          <w:tblW w:w="8435" w:type="dxa"/>
          <w:tblInd w:w="720" w:type="dxa"/>
          <w:tblLook w:val="04A0"/>
        </w:tblPrEx>
        <w:trPr>
          <w:trHeight w:val="229"/>
        </w:trPr>
        <w:tc>
          <w:tcPr>
            <w:tcW w:w="1706" w:type="dxa"/>
          </w:tcPr>
          <w:p w:rsidR="002D3306" w:rsidRPr="004C18DB" w:rsidP="00D83E68" w14:paraId="29AF0761" w14:textId="77777777">
            <w:pPr>
              <w:suppressAutoHyphens/>
              <w:rPr>
                <w:rFonts w:asciiTheme="minorHAnsi" w:hAnsiTheme="minorHAnsi" w:cstheme="minorHAnsi"/>
                <w:b/>
                <w:i/>
                <w:szCs w:val="24"/>
              </w:rPr>
            </w:pPr>
            <w:r w:rsidRPr="004C18DB">
              <w:rPr>
                <w:rFonts w:asciiTheme="minorHAnsi" w:hAnsiTheme="minorHAnsi" w:cstheme="minorHAnsi"/>
                <w:b/>
                <w:i/>
                <w:szCs w:val="24"/>
              </w:rPr>
              <w:t>Private (Non-Profit)</w:t>
            </w:r>
          </w:p>
        </w:tc>
        <w:tc>
          <w:tcPr>
            <w:tcW w:w="1306" w:type="dxa"/>
          </w:tcPr>
          <w:p w:rsidR="002D3306" w:rsidRPr="004C18DB" w:rsidP="00D83E68" w14:paraId="3ABACC49" w14:textId="77777777">
            <w:pPr>
              <w:suppressAutoHyphens/>
              <w:rPr>
                <w:rFonts w:asciiTheme="minorHAnsi" w:hAnsiTheme="minorHAnsi" w:cstheme="minorHAnsi"/>
                <w:szCs w:val="24"/>
              </w:rPr>
            </w:pPr>
          </w:p>
        </w:tc>
        <w:tc>
          <w:tcPr>
            <w:tcW w:w="1416" w:type="dxa"/>
          </w:tcPr>
          <w:p w:rsidR="002D3306" w:rsidRPr="004C18DB" w:rsidP="00D83E68" w14:paraId="2B3BE144" w14:textId="77777777">
            <w:pPr>
              <w:suppressAutoHyphens/>
              <w:rPr>
                <w:rFonts w:asciiTheme="minorHAnsi" w:hAnsiTheme="minorHAnsi" w:cstheme="minorHAnsi"/>
                <w:szCs w:val="24"/>
              </w:rPr>
            </w:pPr>
          </w:p>
        </w:tc>
        <w:tc>
          <w:tcPr>
            <w:tcW w:w="1440" w:type="dxa"/>
          </w:tcPr>
          <w:p w:rsidR="002D3306" w:rsidRPr="004C18DB" w:rsidP="00D83E68" w14:paraId="333DB1E4" w14:textId="77777777">
            <w:pPr>
              <w:suppressAutoHyphens/>
              <w:rPr>
                <w:rFonts w:asciiTheme="minorHAnsi" w:hAnsiTheme="minorHAnsi" w:cstheme="minorHAnsi"/>
                <w:szCs w:val="24"/>
              </w:rPr>
            </w:pPr>
          </w:p>
        </w:tc>
        <w:tc>
          <w:tcPr>
            <w:tcW w:w="1258" w:type="dxa"/>
          </w:tcPr>
          <w:p w:rsidR="002D3306" w:rsidRPr="004C18DB" w:rsidP="00D83E68" w14:paraId="60DE368B" w14:textId="77777777">
            <w:pPr>
              <w:suppressAutoHyphens/>
              <w:rPr>
                <w:rFonts w:asciiTheme="minorHAnsi" w:hAnsiTheme="minorHAnsi" w:cstheme="minorHAnsi"/>
                <w:szCs w:val="24"/>
              </w:rPr>
            </w:pPr>
          </w:p>
        </w:tc>
        <w:tc>
          <w:tcPr>
            <w:tcW w:w="1309" w:type="dxa"/>
          </w:tcPr>
          <w:p w:rsidR="002D3306" w:rsidRPr="004C18DB" w:rsidP="00D83E68" w14:paraId="47DF4D9C" w14:textId="77777777">
            <w:pPr>
              <w:suppressAutoHyphens/>
              <w:rPr>
                <w:rFonts w:asciiTheme="minorHAnsi" w:hAnsiTheme="minorHAnsi" w:cstheme="minorHAnsi"/>
                <w:szCs w:val="24"/>
              </w:rPr>
            </w:pPr>
          </w:p>
        </w:tc>
      </w:tr>
      <w:tr w14:paraId="1BF39927" w14:textId="77777777" w:rsidTr="00D83E68">
        <w:tblPrEx>
          <w:tblW w:w="8435" w:type="dxa"/>
          <w:tblInd w:w="720" w:type="dxa"/>
          <w:tblLook w:val="04A0"/>
        </w:tblPrEx>
        <w:trPr>
          <w:trHeight w:val="461"/>
        </w:trPr>
        <w:tc>
          <w:tcPr>
            <w:tcW w:w="1706" w:type="dxa"/>
          </w:tcPr>
          <w:p w:rsidR="002D3306" w:rsidRPr="004C18DB" w:rsidP="00D83E68" w14:paraId="145A028B" w14:textId="77777777">
            <w:pPr>
              <w:suppressAutoHyphens/>
              <w:rPr>
                <w:rFonts w:asciiTheme="minorHAnsi" w:hAnsiTheme="minorHAnsi" w:cstheme="minorHAnsi"/>
                <w:szCs w:val="24"/>
              </w:rPr>
            </w:pPr>
            <w:r w:rsidRPr="004C18DB">
              <w:rPr>
                <w:rFonts w:asciiTheme="minorHAnsi" w:hAnsiTheme="minorHAnsi" w:cstheme="minorHAnsi"/>
                <w:szCs w:val="24"/>
              </w:rPr>
              <w:t>Parts I &amp; II – Application</w:t>
            </w:r>
          </w:p>
        </w:tc>
        <w:tc>
          <w:tcPr>
            <w:tcW w:w="1306" w:type="dxa"/>
          </w:tcPr>
          <w:p w:rsidR="002D3306" w:rsidRPr="004C18DB" w:rsidP="00D83E68" w14:paraId="5C203CBA" w14:textId="77777777">
            <w:pPr>
              <w:suppressAutoHyphens/>
              <w:jc w:val="right"/>
              <w:rPr>
                <w:rFonts w:asciiTheme="minorHAnsi" w:hAnsiTheme="minorHAnsi" w:cstheme="minorHAnsi"/>
                <w:szCs w:val="24"/>
              </w:rPr>
            </w:pPr>
            <w:r w:rsidRPr="004C18DB">
              <w:rPr>
                <w:rFonts w:asciiTheme="minorHAnsi" w:hAnsiTheme="minorHAnsi" w:cstheme="minorHAnsi"/>
                <w:szCs w:val="24"/>
              </w:rPr>
              <w:t>1,443</w:t>
            </w:r>
          </w:p>
        </w:tc>
        <w:tc>
          <w:tcPr>
            <w:tcW w:w="1416" w:type="dxa"/>
          </w:tcPr>
          <w:p w:rsidR="002D3306" w:rsidRPr="004C18DB" w:rsidP="00D83E68" w14:paraId="5BC6882E"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6A633A07"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7BB61F44"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14DA7628" w14:textId="77777777">
            <w:pPr>
              <w:suppressAutoHyphens/>
              <w:rPr>
                <w:rFonts w:asciiTheme="minorHAnsi" w:hAnsiTheme="minorHAnsi" w:cstheme="minorHAnsi"/>
                <w:szCs w:val="24"/>
              </w:rPr>
            </w:pPr>
          </w:p>
        </w:tc>
      </w:tr>
      <w:tr w14:paraId="6D74DB8E" w14:textId="77777777" w:rsidTr="00D83E68">
        <w:tblPrEx>
          <w:tblW w:w="8435" w:type="dxa"/>
          <w:tblInd w:w="720" w:type="dxa"/>
          <w:tblLook w:val="04A0"/>
        </w:tblPrEx>
        <w:trPr>
          <w:trHeight w:val="690"/>
        </w:trPr>
        <w:tc>
          <w:tcPr>
            <w:tcW w:w="1706" w:type="dxa"/>
          </w:tcPr>
          <w:p w:rsidR="002D3306" w:rsidRPr="004C18DB" w:rsidP="00D83E68" w14:paraId="6B471E9E" w14:textId="77777777">
            <w:pPr>
              <w:suppressAutoHyphens/>
              <w:rPr>
                <w:rFonts w:asciiTheme="minorHAnsi" w:hAnsiTheme="minorHAnsi" w:cstheme="minorHAnsi"/>
                <w:szCs w:val="24"/>
              </w:rPr>
            </w:pPr>
            <w:r w:rsidRPr="004C18DB">
              <w:rPr>
                <w:rFonts w:asciiTheme="minorHAnsi" w:hAnsiTheme="minorHAnsi" w:cstheme="minorHAnsi"/>
                <w:szCs w:val="24"/>
              </w:rPr>
              <w:t>Part III – Federal Perkins Loan</w:t>
            </w:r>
          </w:p>
        </w:tc>
        <w:tc>
          <w:tcPr>
            <w:tcW w:w="1306" w:type="dxa"/>
          </w:tcPr>
          <w:p w:rsidR="002D3306" w:rsidRPr="004C18DB" w:rsidP="00D83E68" w14:paraId="226E8F1B" w14:textId="77777777">
            <w:pPr>
              <w:suppressAutoHyphens/>
              <w:jc w:val="right"/>
              <w:rPr>
                <w:rFonts w:asciiTheme="minorHAnsi" w:hAnsiTheme="minorHAnsi" w:cstheme="minorHAnsi"/>
                <w:szCs w:val="24"/>
              </w:rPr>
            </w:pPr>
            <w:r w:rsidRPr="004C18DB">
              <w:rPr>
                <w:rFonts w:asciiTheme="minorHAnsi" w:hAnsiTheme="minorHAnsi" w:cstheme="minorHAnsi"/>
                <w:szCs w:val="24"/>
              </w:rPr>
              <w:t>821</w:t>
            </w:r>
          </w:p>
        </w:tc>
        <w:tc>
          <w:tcPr>
            <w:tcW w:w="1416" w:type="dxa"/>
          </w:tcPr>
          <w:p w:rsidR="002D3306" w:rsidRPr="004C18DB" w:rsidP="00D83E68" w14:paraId="0674D475"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440" w:type="dxa"/>
          </w:tcPr>
          <w:p w:rsidR="002D3306" w:rsidRPr="004C18DB" w:rsidP="00D83E68" w14:paraId="4B073138"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258" w:type="dxa"/>
          </w:tcPr>
          <w:p w:rsidR="002D3306" w:rsidRPr="004C18DB" w:rsidP="00D83E68" w14:paraId="6DF80B55" w14:textId="77777777">
            <w:pPr>
              <w:suppressAutoHyphens/>
              <w:jc w:val="right"/>
              <w:rPr>
                <w:rFonts w:asciiTheme="minorHAnsi" w:hAnsiTheme="minorHAnsi" w:cstheme="minorHAnsi"/>
                <w:szCs w:val="24"/>
              </w:rPr>
            </w:pPr>
            <w:r w:rsidRPr="004C18DB">
              <w:rPr>
                <w:rFonts w:asciiTheme="minorHAnsi" w:hAnsiTheme="minorHAnsi" w:cstheme="minorHAnsi"/>
                <w:szCs w:val="24"/>
              </w:rPr>
              <w:t>8</w:t>
            </w:r>
          </w:p>
        </w:tc>
        <w:tc>
          <w:tcPr>
            <w:tcW w:w="1309" w:type="dxa"/>
          </w:tcPr>
          <w:p w:rsidR="002D3306" w:rsidRPr="004C18DB" w:rsidP="00D83E68" w14:paraId="5FD79B7C" w14:textId="77777777">
            <w:pPr>
              <w:suppressAutoHyphens/>
              <w:rPr>
                <w:rFonts w:asciiTheme="minorHAnsi" w:hAnsiTheme="minorHAnsi" w:cstheme="minorHAnsi"/>
                <w:szCs w:val="24"/>
              </w:rPr>
            </w:pPr>
          </w:p>
        </w:tc>
      </w:tr>
      <w:tr w14:paraId="42EF3B48" w14:textId="77777777" w:rsidTr="00D83E68">
        <w:tblPrEx>
          <w:tblW w:w="8435" w:type="dxa"/>
          <w:tblInd w:w="720" w:type="dxa"/>
          <w:tblLook w:val="04A0"/>
        </w:tblPrEx>
        <w:trPr>
          <w:trHeight w:val="452"/>
        </w:trPr>
        <w:tc>
          <w:tcPr>
            <w:tcW w:w="1706" w:type="dxa"/>
          </w:tcPr>
          <w:p w:rsidR="002D3306" w:rsidRPr="004C18DB" w:rsidP="00D83E68" w14:paraId="3717CBED" w14:textId="77777777">
            <w:pPr>
              <w:suppressAutoHyphens/>
              <w:rPr>
                <w:rFonts w:asciiTheme="minorHAnsi" w:hAnsiTheme="minorHAnsi" w:cstheme="minorHAnsi"/>
                <w:szCs w:val="24"/>
              </w:rPr>
            </w:pPr>
            <w:r w:rsidRPr="004C18DB">
              <w:rPr>
                <w:rFonts w:asciiTheme="minorHAnsi" w:hAnsiTheme="minorHAnsi" w:cstheme="minorHAnsi"/>
                <w:szCs w:val="24"/>
              </w:rPr>
              <w:t>Part IV – FSEOG</w:t>
            </w:r>
          </w:p>
        </w:tc>
        <w:tc>
          <w:tcPr>
            <w:tcW w:w="1306" w:type="dxa"/>
          </w:tcPr>
          <w:p w:rsidR="002D3306" w:rsidRPr="004C18DB" w:rsidP="00D83E68" w14:paraId="26F707F5" w14:textId="77777777">
            <w:pPr>
              <w:suppressAutoHyphens/>
              <w:jc w:val="right"/>
              <w:rPr>
                <w:rFonts w:asciiTheme="minorHAnsi" w:hAnsiTheme="minorHAnsi" w:cstheme="minorHAnsi"/>
                <w:szCs w:val="24"/>
              </w:rPr>
            </w:pPr>
            <w:r w:rsidRPr="004C18DB">
              <w:rPr>
                <w:rFonts w:asciiTheme="minorHAnsi" w:hAnsiTheme="minorHAnsi" w:cstheme="minorHAnsi"/>
                <w:szCs w:val="24"/>
              </w:rPr>
              <w:t>1,307</w:t>
            </w:r>
          </w:p>
        </w:tc>
        <w:tc>
          <w:tcPr>
            <w:tcW w:w="1416" w:type="dxa"/>
          </w:tcPr>
          <w:p w:rsidR="002D3306" w:rsidRPr="004C18DB" w:rsidP="00D83E68" w14:paraId="6DF91911"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0843A3EE"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25F49397"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32CECF30" w14:textId="77777777">
            <w:pPr>
              <w:suppressAutoHyphens/>
              <w:rPr>
                <w:rFonts w:asciiTheme="minorHAnsi" w:hAnsiTheme="minorHAnsi" w:cstheme="minorHAnsi"/>
                <w:szCs w:val="24"/>
              </w:rPr>
            </w:pPr>
          </w:p>
        </w:tc>
      </w:tr>
      <w:tr w14:paraId="7A7604AC" w14:textId="77777777" w:rsidTr="00D83E68">
        <w:tblPrEx>
          <w:tblW w:w="8435" w:type="dxa"/>
          <w:tblInd w:w="720" w:type="dxa"/>
          <w:tblLook w:val="04A0"/>
        </w:tblPrEx>
        <w:trPr>
          <w:trHeight w:val="229"/>
        </w:trPr>
        <w:tc>
          <w:tcPr>
            <w:tcW w:w="1706" w:type="dxa"/>
          </w:tcPr>
          <w:p w:rsidR="002D3306" w:rsidRPr="004C18DB" w:rsidP="00D83E68" w14:paraId="6EC200A3" w14:textId="77777777">
            <w:pPr>
              <w:suppressAutoHyphens/>
              <w:rPr>
                <w:rFonts w:asciiTheme="minorHAnsi" w:hAnsiTheme="minorHAnsi" w:cstheme="minorHAnsi"/>
                <w:szCs w:val="24"/>
              </w:rPr>
            </w:pPr>
            <w:r w:rsidRPr="004C18DB">
              <w:rPr>
                <w:rFonts w:asciiTheme="minorHAnsi" w:hAnsiTheme="minorHAnsi" w:cstheme="minorHAnsi"/>
                <w:szCs w:val="24"/>
              </w:rPr>
              <w:t>Part V – FWS</w:t>
            </w:r>
          </w:p>
        </w:tc>
        <w:tc>
          <w:tcPr>
            <w:tcW w:w="1306" w:type="dxa"/>
          </w:tcPr>
          <w:p w:rsidR="002D3306" w:rsidRPr="004C18DB" w:rsidP="00D83E68" w14:paraId="239F51FF" w14:textId="77777777">
            <w:pPr>
              <w:suppressAutoHyphens/>
              <w:jc w:val="right"/>
              <w:rPr>
                <w:rFonts w:asciiTheme="minorHAnsi" w:hAnsiTheme="minorHAnsi" w:cstheme="minorHAnsi"/>
                <w:szCs w:val="24"/>
              </w:rPr>
            </w:pPr>
            <w:r w:rsidRPr="004C18DB">
              <w:rPr>
                <w:rFonts w:asciiTheme="minorHAnsi" w:hAnsiTheme="minorHAnsi" w:cstheme="minorHAnsi"/>
                <w:szCs w:val="24"/>
              </w:rPr>
              <w:t>1,162</w:t>
            </w:r>
          </w:p>
        </w:tc>
        <w:tc>
          <w:tcPr>
            <w:tcW w:w="1416" w:type="dxa"/>
          </w:tcPr>
          <w:p w:rsidR="002D3306" w:rsidRPr="004C18DB" w:rsidP="00D83E68" w14:paraId="321962F4"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12F5F0C7"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0022B65F"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4EBB1734" w14:textId="77777777">
            <w:pPr>
              <w:suppressAutoHyphens/>
              <w:rPr>
                <w:rFonts w:asciiTheme="minorHAnsi" w:hAnsiTheme="minorHAnsi" w:cstheme="minorHAnsi"/>
                <w:szCs w:val="24"/>
              </w:rPr>
            </w:pPr>
          </w:p>
        </w:tc>
      </w:tr>
      <w:tr w14:paraId="503C2FBB" w14:textId="77777777" w:rsidTr="00D83E68">
        <w:tblPrEx>
          <w:tblW w:w="8435" w:type="dxa"/>
          <w:tblInd w:w="720" w:type="dxa"/>
          <w:tblLook w:val="04A0"/>
        </w:tblPrEx>
        <w:trPr>
          <w:trHeight w:val="461"/>
        </w:trPr>
        <w:tc>
          <w:tcPr>
            <w:tcW w:w="1706" w:type="dxa"/>
          </w:tcPr>
          <w:p w:rsidR="002D3306" w:rsidRPr="004C18DB" w:rsidP="00D83E68" w14:paraId="1C9E4075" w14:textId="77777777">
            <w:pPr>
              <w:suppressAutoHyphens/>
              <w:rPr>
                <w:rFonts w:asciiTheme="minorHAnsi" w:hAnsiTheme="minorHAnsi" w:cstheme="minorHAnsi"/>
                <w:szCs w:val="24"/>
              </w:rPr>
            </w:pPr>
            <w:r w:rsidRPr="004C18DB">
              <w:rPr>
                <w:rFonts w:asciiTheme="minorHAnsi" w:hAnsiTheme="minorHAnsi" w:cstheme="minorHAnsi"/>
                <w:szCs w:val="24"/>
              </w:rPr>
              <w:t>Part VI – Summary</w:t>
            </w:r>
          </w:p>
        </w:tc>
        <w:tc>
          <w:tcPr>
            <w:tcW w:w="1306" w:type="dxa"/>
          </w:tcPr>
          <w:p w:rsidR="002D3306" w:rsidRPr="004C18DB" w:rsidP="00D83E68" w14:paraId="7E1B99A6" w14:textId="77777777">
            <w:pPr>
              <w:suppressAutoHyphens/>
              <w:jc w:val="right"/>
              <w:rPr>
                <w:rFonts w:asciiTheme="minorHAnsi" w:hAnsiTheme="minorHAnsi" w:cstheme="minorHAnsi"/>
                <w:szCs w:val="24"/>
              </w:rPr>
            </w:pPr>
            <w:r w:rsidRPr="004C18DB">
              <w:rPr>
                <w:rFonts w:asciiTheme="minorHAnsi" w:hAnsiTheme="minorHAnsi" w:cstheme="minorHAnsi"/>
                <w:szCs w:val="24"/>
              </w:rPr>
              <w:t>1,440</w:t>
            </w:r>
          </w:p>
        </w:tc>
        <w:tc>
          <w:tcPr>
            <w:tcW w:w="1416" w:type="dxa"/>
          </w:tcPr>
          <w:p w:rsidR="002D3306" w:rsidRPr="004C18DB" w:rsidP="00D83E68" w14:paraId="03E26AA5"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440" w:type="dxa"/>
          </w:tcPr>
          <w:p w:rsidR="002D3306" w:rsidRPr="004C18DB" w:rsidP="00D83E68" w14:paraId="202200CE" w14:textId="77777777">
            <w:pPr>
              <w:suppressAutoHyphens/>
              <w:jc w:val="right"/>
              <w:rPr>
                <w:rFonts w:asciiTheme="minorHAnsi" w:hAnsiTheme="minorHAnsi" w:cstheme="minorHAnsi"/>
                <w:szCs w:val="24"/>
              </w:rPr>
            </w:pPr>
            <w:r w:rsidRPr="004C18DB">
              <w:rPr>
                <w:rFonts w:asciiTheme="minorHAnsi" w:hAnsiTheme="minorHAnsi" w:cstheme="minorHAnsi"/>
                <w:szCs w:val="24"/>
              </w:rPr>
              <w:t>2</w:t>
            </w:r>
          </w:p>
        </w:tc>
        <w:tc>
          <w:tcPr>
            <w:tcW w:w="1258" w:type="dxa"/>
          </w:tcPr>
          <w:p w:rsidR="002D3306" w:rsidRPr="004C18DB" w:rsidP="00D83E68" w14:paraId="53858F8A" w14:textId="77777777">
            <w:pPr>
              <w:suppressAutoHyphens/>
              <w:jc w:val="right"/>
              <w:rPr>
                <w:rFonts w:asciiTheme="minorHAnsi" w:hAnsiTheme="minorHAnsi" w:cstheme="minorHAnsi"/>
                <w:szCs w:val="24"/>
              </w:rPr>
            </w:pPr>
            <w:r w:rsidRPr="004C18DB">
              <w:rPr>
                <w:rFonts w:asciiTheme="minorHAnsi" w:hAnsiTheme="minorHAnsi" w:cstheme="minorHAnsi"/>
                <w:szCs w:val="24"/>
              </w:rPr>
              <w:t>4</w:t>
            </w:r>
          </w:p>
        </w:tc>
        <w:tc>
          <w:tcPr>
            <w:tcW w:w="1309" w:type="dxa"/>
          </w:tcPr>
          <w:p w:rsidR="002D3306" w:rsidRPr="004C18DB" w:rsidP="00D83E68" w14:paraId="45E07D85" w14:textId="77777777">
            <w:pPr>
              <w:suppressAutoHyphens/>
              <w:rPr>
                <w:rFonts w:asciiTheme="minorHAnsi" w:hAnsiTheme="minorHAnsi" w:cstheme="minorHAnsi"/>
                <w:szCs w:val="24"/>
              </w:rPr>
            </w:pPr>
          </w:p>
        </w:tc>
      </w:tr>
      <w:tr w14:paraId="6BE1B825" w14:textId="77777777" w:rsidTr="00D83E68">
        <w:tblPrEx>
          <w:tblW w:w="8435" w:type="dxa"/>
          <w:tblInd w:w="720" w:type="dxa"/>
          <w:tblLook w:val="04A0"/>
        </w:tblPrEx>
        <w:trPr>
          <w:trHeight w:val="1143"/>
        </w:trPr>
        <w:tc>
          <w:tcPr>
            <w:tcW w:w="1706" w:type="dxa"/>
          </w:tcPr>
          <w:p w:rsidR="002D3306" w:rsidRPr="004C18DB" w:rsidP="00D83E68" w14:paraId="2FFFFFA9" w14:textId="77777777">
            <w:pPr>
              <w:suppressAutoHyphens/>
              <w:rPr>
                <w:rFonts w:asciiTheme="minorHAnsi" w:hAnsiTheme="minorHAnsi" w:cstheme="minorHAnsi"/>
                <w:szCs w:val="24"/>
              </w:rPr>
            </w:pPr>
            <w:r w:rsidRPr="004C18DB">
              <w:rPr>
                <w:rFonts w:asciiTheme="minorHAnsi" w:hAnsiTheme="minorHAnsi" w:cstheme="minorHAnsi"/>
                <w:b/>
                <w:szCs w:val="24"/>
              </w:rPr>
              <w:t xml:space="preserve">Total for FISAP Respondents – Private (Non-Profit) Schools </w:t>
            </w:r>
            <w:r w:rsidRPr="004C18DB">
              <w:rPr>
                <w:rFonts w:asciiTheme="minorHAnsi" w:hAnsiTheme="minorHAnsi" w:cstheme="minorHAnsi"/>
                <w:szCs w:val="24"/>
              </w:rPr>
              <w:t>(unduplicated count)</w:t>
            </w:r>
          </w:p>
        </w:tc>
        <w:tc>
          <w:tcPr>
            <w:tcW w:w="1306" w:type="dxa"/>
          </w:tcPr>
          <w:p w:rsidR="002D3306" w:rsidRPr="004C18DB" w:rsidP="00D83E68" w14:paraId="0AFFD15C"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1,443</w:t>
            </w:r>
          </w:p>
        </w:tc>
        <w:tc>
          <w:tcPr>
            <w:tcW w:w="1416" w:type="dxa"/>
          </w:tcPr>
          <w:p w:rsidR="002D3306" w:rsidRPr="004C18DB" w:rsidP="00D83E68" w14:paraId="130F7D88"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12</w:t>
            </w:r>
          </w:p>
        </w:tc>
        <w:tc>
          <w:tcPr>
            <w:tcW w:w="1440" w:type="dxa"/>
          </w:tcPr>
          <w:p w:rsidR="002D3306" w:rsidRPr="004C18DB" w:rsidP="00D83E68" w14:paraId="544F8C58"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12</w:t>
            </w:r>
          </w:p>
        </w:tc>
        <w:tc>
          <w:tcPr>
            <w:tcW w:w="1258" w:type="dxa"/>
          </w:tcPr>
          <w:p w:rsidR="002D3306" w:rsidRPr="004C18DB" w:rsidP="00D83E68" w14:paraId="0AC7DFD1"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24</w:t>
            </w:r>
          </w:p>
        </w:tc>
        <w:tc>
          <w:tcPr>
            <w:tcW w:w="1309" w:type="dxa"/>
          </w:tcPr>
          <w:p w:rsidR="002D3306" w:rsidRPr="004C18DB" w:rsidP="00D83E68" w14:paraId="30E21238"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34,632</w:t>
            </w:r>
          </w:p>
        </w:tc>
      </w:tr>
    </w:tbl>
    <w:p w:rsidR="002D3306" w:rsidRPr="004C18DB" w:rsidP="002D3306" w14:paraId="4D62606C" w14:textId="77777777">
      <w:pPr>
        <w:suppressAutoHyphens/>
        <w:ind w:left="720"/>
        <w:rPr>
          <w:rFonts w:asciiTheme="minorHAnsi" w:hAnsiTheme="minorHAnsi" w:cstheme="minorHAnsi"/>
          <w:szCs w:val="24"/>
        </w:rPr>
      </w:pPr>
    </w:p>
    <w:p w:rsidR="002D3306" w:rsidRPr="004C18DB" w:rsidP="002D3306" w14:paraId="5219E82C" w14:textId="77777777">
      <w:pPr>
        <w:ind w:left="720"/>
        <w:rPr>
          <w:rFonts w:asciiTheme="minorHAnsi" w:hAnsiTheme="minorHAnsi" w:cstheme="minorHAnsi"/>
          <w:szCs w:val="24"/>
        </w:rPr>
      </w:pPr>
      <w:r w:rsidRPr="004C18DB">
        <w:rPr>
          <w:rFonts w:asciiTheme="minorHAnsi" w:hAnsiTheme="minorHAnsi" w:cstheme="minorHAnsi"/>
          <w:szCs w:val="24"/>
        </w:rPr>
        <w:t xml:space="preserve">The FISAP and the Reallocation form contain separate Paperwork Burden Statements that contain an estimated average number of hours for completion.  To determine the total burden hours for each respondent, the total annual burden hours for all respondents for all institution types has been divided by the total number of respondents for all institution types. The estimated average number of hours for completion of the FISAP has been calculated to be 24 hours per respondent.  </w:t>
      </w:r>
    </w:p>
    <w:p w:rsidR="002D3306" w:rsidRPr="004C18DB" w:rsidP="002D3306" w14:paraId="46ECD120" w14:textId="77777777">
      <w:pPr>
        <w:tabs>
          <w:tab w:val="left" w:pos="-720"/>
        </w:tabs>
        <w:suppressAutoHyphens/>
        <w:rPr>
          <w:rFonts w:asciiTheme="minorHAnsi" w:hAnsiTheme="minorHAnsi" w:cstheme="minorHAnsi"/>
          <w:szCs w:val="24"/>
        </w:rPr>
      </w:pPr>
    </w:p>
    <w:tbl>
      <w:tblPr>
        <w:tblStyle w:val="TableGrid"/>
        <w:tblW w:w="8640" w:type="dxa"/>
        <w:tblInd w:w="738" w:type="dxa"/>
        <w:tblLook w:val="04A0"/>
      </w:tblPr>
      <w:tblGrid>
        <w:gridCol w:w="2394"/>
        <w:gridCol w:w="2394"/>
        <w:gridCol w:w="2394"/>
        <w:gridCol w:w="1458"/>
      </w:tblGrid>
      <w:tr w14:paraId="33A03940" w14:textId="77777777" w:rsidTr="00D83E68">
        <w:tblPrEx>
          <w:tblW w:w="8640" w:type="dxa"/>
          <w:tblInd w:w="738" w:type="dxa"/>
          <w:tblLook w:val="04A0"/>
        </w:tblPrEx>
        <w:tc>
          <w:tcPr>
            <w:tcW w:w="2394" w:type="dxa"/>
          </w:tcPr>
          <w:p w:rsidR="002D3306" w:rsidRPr="004C18DB" w:rsidP="00D83E68" w14:paraId="061F9D1C" w14:textId="77777777">
            <w:pPr>
              <w:tabs>
                <w:tab w:val="left" w:pos="-720"/>
              </w:tabs>
              <w:suppressAutoHyphens/>
              <w:rPr>
                <w:rFonts w:asciiTheme="minorHAnsi" w:hAnsiTheme="minorHAnsi" w:cstheme="minorHAnsi"/>
                <w:szCs w:val="24"/>
              </w:rPr>
            </w:pPr>
          </w:p>
        </w:tc>
        <w:tc>
          <w:tcPr>
            <w:tcW w:w="2394" w:type="dxa"/>
          </w:tcPr>
          <w:p w:rsidR="002D3306" w:rsidRPr="004C18DB" w:rsidP="00D83E68" w14:paraId="05DADE8B" w14:textId="77777777">
            <w:pPr>
              <w:tabs>
                <w:tab w:val="left" w:pos="-720"/>
              </w:tabs>
              <w:suppressAutoHyphens/>
              <w:rPr>
                <w:rFonts w:asciiTheme="minorHAnsi" w:hAnsiTheme="minorHAnsi" w:cstheme="minorHAnsi"/>
                <w:b/>
                <w:szCs w:val="24"/>
              </w:rPr>
            </w:pPr>
            <w:r w:rsidRPr="004C18DB">
              <w:rPr>
                <w:rFonts w:asciiTheme="minorHAnsi" w:hAnsiTheme="minorHAnsi" w:cstheme="minorHAnsi"/>
                <w:b/>
                <w:szCs w:val="24"/>
              </w:rPr>
              <w:t>Total Number of Respondents</w:t>
            </w:r>
          </w:p>
        </w:tc>
        <w:tc>
          <w:tcPr>
            <w:tcW w:w="2394" w:type="dxa"/>
          </w:tcPr>
          <w:p w:rsidR="002D3306" w:rsidRPr="004C18DB" w:rsidP="00D83E68" w14:paraId="389823C8" w14:textId="77777777">
            <w:pPr>
              <w:tabs>
                <w:tab w:val="left" w:pos="-720"/>
              </w:tabs>
              <w:suppressAutoHyphens/>
              <w:rPr>
                <w:rFonts w:asciiTheme="minorHAnsi" w:hAnsiTheme="minorHAnsi" w:cstheme="minorHAnsi"/>
                <w:b/>
                <w:szCs w:val="24"/>
              </w:rPr>
            </w:pPr>
            <w:r w:rsidRPr="004C18DB">
              <w:rPr>
                <w:rFonts w:asciiTheme="minorHAnsi" w:hAnsiTheme="minorHAnsi" w:cstheme="minorHAnsi"/>
                <w:b/>
                <w:szCs w:val="24"/>
              </w:rPr>
              <w:t>Total Annual Burden Hours – All Respondents</w:t>
            </w:r>
          </w:p>
        </w:tc>
        <w:tc>
          <w:tcPr>
            <w:tcW w:w="1458" w:type="dxa"/>
          </w:tcPr>
          <w:p w:rsidR="002D3306" w:rsidRPr="004C18DB" w:rsidP="00D83E68" w14:paraId="3FA18CB8" w14:textId="77777777">
            <w:pPr>
              <w:tabs>
                <w:tab w:val="left" w:pos="-720"/>
              </w:tabs>
              <w:suppressAutoHyphens/>
              <w:rPr>
                <w:rFonts w:asciiTheme="minorHAnsi" w:hAnsiTheme="minorHAnsi" w:cstheme="minorHAnsi"/>
                <w:b/>
                <w:szCs w:val="24"/>
              </w:rPr>
            </w:pPr>
            <w:r w:rsidRPr="004C18DB">
              <w:rPr>
                <w:rFonts w:asciiTheme="minorHAnsi" w:hAnsiTheme="minorHAnsi" w:cstheme="minorHAnsi"/>
                <w:b/>
                <w:szCs w:val="24"/>
              </w:rPr>
              <w:t>Total Burden Hours per Respondent</w:t>
            </w:r>
          </w:p>
        </w:tc>
      </w:tr>
      <w:tr w14:paraId="71C7EC49" w14:textId="77777777" w:rsidTr="00D83E68">
        <w:tblPrEx>
          <w:tblW w:w="8640" w:type="dxa"/>
          <w:tblInd w:w="738" w:type="dxa"/>
          <w:tblLook w:val="04A0"/>
        </w:tblPrEx>
        <w:tc>
          <w:tcPr>
            <w:tcW w:w="2394" w:type="dxa"/>
          </w:tcPr>
          <w:p w:rsidR="002D3306" w:rsidRPr="004C18DB" w:rsidP="00D83E68" w14:paraId="24C10DE4" w14:textId="77777777">
            <w:pPr>
              <w:tabs>
                <w:tab w:val="left" w:pos="-720"/>
              </w:tabs>
              <w:suppressAutoHyphens/>
              <w:rPr>
                <w:rFonts w:asciiTheme="minorHAnsi" w:hAnsiTheme="minorHAnsi" w:cstheme="minorHAnsi"/>
                <w:b/>
                <w:szCs w:val="24"/>
              </w:rPr>
            </w:pPr>
            <w:r w:rsidRPr="004C18DB">
              <w:rPr>
                <w:rFonts w:asciiTheme="minorHAnsi" w:hAnsiTheme="minorHAnsi" w:cstheme="minorHAnsi"/>
                <w:b/>
                <w:szCs w:val="24"/>
              </w:rPr>
              <w:t>FISAP Total</w:t>
            </w:r>
          </w:p>
        </w:tc>
        <w:tc>
          <w:tcPr>
            <w:tcW w:w="2394" w:type="dxa"/>
          </w:tcPr>
          <w:p w:rsidR="002D3306" w:rsidRPr="004C18DB" w:rsidP="00D83E68" w14:paraId="1D3E9BCD" w14:textId="77777777">
            <w:pPr>
              <w:tabs>
                <w:tab w:val="left" w:pos="-720"/>
              </w:tabs>
              <w:suppressAutoHyphens/>
              <w:jc w:val="right"/>
              <w:rPr>
                <w:rFonts w:asciiTheme="minorHAnsi" w:hAnsiTheme="minorHAnsi" w:cstheme="minorHAnsi"/>
                <w:szCs w:val="24"/>
              </w:rPr>
            </w:pPr>
            <w:r w:rsidRPr="004C18DB">
              <w:rPr>
                <w:rFonts w:asciiTheme="minorHAnsi" w:hAnsiTheme="minorHAnsi" w:cstheme="minorHAnsi"/>
                <w:szCs w:val="24"/>
              </w:rPr>
              <w:t>3,685</w:t>
            </w:r>
          </w:p>
        </w:tc>
        <w:tc>
          <w:tcPr>
            <w:tcW w:w="2394" w:type="dxa"/>
          </w:tcPr>
          <w:p w:rsidR="002D3306" w:rsidRPr="004C18DB" w:rsidP="00D83E68" w14:paraId="05EBD541" w14:textId="77777777">
            <w:pPr>
              <w:tabs>
                <w:tab w:val="left" w:pos="-720"/>
              </w:tabs>
              <w:suppressAutoHyphens/>
              <w:jc w:val="right"/>
              <w:rPr>
                <w:rFonts w:asciiTheme="minorHAnsi" w:hAnsiTheme="minorHAnsi" w:cstheme="minorHAnsi"/>
                <w:szCs w:val="24"/>
              </w:rPr>
            </w:pPr>
            <w:r w:rsidRPr="004C18DB">
              <w:rPr>
                <w:rFonts w:asciiTheme="minorHAnsi" w:hAnsiTheme="minorHAnsi" w:cstheme="minorHAnsi"/>
                <w:szCs w:val="24"/>
              </w:rPr>
              <w:t>88,440</w:t>
            </w:r>
          </w:p>
        </w:tc>
        <w:tc>
          <w:tcPr>
            <w:tcW w:w="1458" w:type="dxa"/>
          </w:tcPr>
          <w:p w:rsidR="002D3306" w:rsidRPr="004C18DB" w:rsidP="00D83E68" w14:paraId="4360C08E" w14:textId="77777777">
            <w:pPr>
              <w:tabs>
                <w:tab w:val="left" w:pos="-720"/>
              </w:tabs>
              <w:suppressAutoHyphens/>
              <w:jc w:val="right"/>
              <w:rPr>
                <w:rFonts w:asciiTheme="minorHAnsi" w:hAnsiTheme="minorHAnsi" w:cstheme="minorHAnsi"/>
                <w:szCs w:val="24"/>
              </w:rPr>
            </w:pPr>
            <w:r w:rsidRPr="004C18DB">
              <w:rPr>
                <w:rFonts w:asciiTheme="minorHAnsi" w:hAnsiTheme="minorHAnsi" w:cstheme="minorHAnsi"/>
                <w:szCs w:val="24"/>
              </w:rPr>
              <w:t>24</w:t>
            </w:r>
          </w:p>
        </w:tc>
      </w:tr>
    </w:tbl>
    <w:p w:rsidR="002D3306" w:rsidRPr="004C18DB" w:rsidP="002D3306" w14:paraId="1DC0B185" w14:textId="77777777">
      <w:pPr>
        <w:tabs>
          <w:tab w:val="left" w:pos="-720"/>
        </w:tabs>
        <w:suppressAutoHyphens/>
        <w:rPr>
          <w:rFonts w:asciiTheme="minorHAnsi" w:hAnsiTheme="minorHAnsi" w:cstheme="minorHAnsi"/>
          <w:szCs w:val="24"/>
        </w:rPr>
      </w:pPr>
    </w:p>
    <w:p w:rsidR="002D3306" w:rsidRPr="004C18DB" w:rsidP="002D3306" w14:paraId="0466FEAE" w14:textId="77777777">
      <w:pPr>
        <w:suppressAutoHyphens/>
        <w:ind w:left="720"/>
        <w:rPr>
          <w:rFonts w:asciiTheme="minorHAnsi" w:hAnsiTheme="minorHAnsi" w:cstheme="minorHAnsi"/>
          <w:b/>
          <w:szCs w:val="24"/>
          <w:u w:val="single"/>
        </w:rPr>
      </w:pPr>
      <w:r w:rsidRPr="004C18DB">
        <w:rPr>
          <w:rFonts w:asciiTheme="minorHAnsi" w:hAnsiTheme="minorHAnsi" w:cstheme="minorHAnsi"/>
          <w:b/>
          <w:szCs w:val="24"/>
          <w:u w:val="single"/>
        </w:rPr>
        <w:t>Reallocation Form</w:t>
      </w:r>
    </w:p>
    <w:p w:rsidR="002D3306" w:rsidRPr="004C18DB" w:rsidP="002D3306" w14:paraId="7E4517FF" w14:textId="77777777">
      <w:pPr>
        <w:suppressAutoHyphens/>
        <w:ind w:left="720"/>
        <w:rPr>
          <w:rFonts w:asciiTheme="minorHAnsi" w:hAnsiTheme="minorHAnsi" w:cstheme="minorHAnsi"/>
          <w:iCs/>
          <w:szCs w:val="24"/>
        </w:rPr>
      </w:pPr>
      <w:r w:rsidRPr="004C18DB">
        <w:rPr>
          <w:rFonts w:asciiTheme="minorHAnsi" w:hAnsiTheme="minorHAnsi" w:cstheme="minorHAnsi"/>
          <w:iCs/>
          <w:szCs w:val="24"/>
        </w:rPr>
        <w:t>The Reallocation Form data collection is composed of two sections. Section A requests unexpended allocation figures for the Campus-Based Programs. Section B requests information regarding supplemental FWS funds. The amount of time required to complete the two sections of the form depends on these variables: (1) the number of programs in which respondents are currently participating; and (2) whether or not an institution requests supplemental funds for community service activities.</w:t>
      </w:r>
    </w:p>
    <w:p w:rsidR="002D3306" w:rsidRPr="004C18DB" w:rsidP="002D3306" w14:paraId="3BB69A15" w14:textId="77777777">
      <w:pPr>
        <w:suppressAutoHyphens/>
        <w:ind w:left="720"/>
        <w:rPr>
          <w:rFonts w:asciiTheme="minorHAnsi" w:hAnsiTheme="minorHAnsi" w:cstheme="minorHAnsi"/>
          <w:iCs/>
          <w:szCs w:val="24"/>
        </w:rPr>
      </w:pPr>
    </w:p>
    <w:p w:rsidR="002D3306" w:rsidRPr="004C18DB" w:rsidP="002D3306" w14:paraId="6741E8A0" w14:textId="77777777">
      <w:pPr>
        <w:suppressAutoHyphens/>
        <w:ind w:left="720"/>
        <w:rPr>
          <w:rFonts w:asciiTheme="minorHAnsi" w:hAnsiTheme="minorHAnsi" w:cstheme="minorHAnsi"/>
          <w:iCs/>
          <w:szCs w:val="24"/>
        </w:rPr>
      </w:pPr>
      <w:r w:rsidRPr="004C18DB">
        <w:rPr>
          <w:rFonts w:asciiTheme="minorHAnsi" w:hAnsiTheme="minorHAnsi" w:cstheme="minorHAnsi"/>
          <w:iCs/>
          <w:szCs w:val="24"/>
        </w:rPr>
        <w:t xml:space="preserve">The following matrix shows the respondent participation from the most recent Reallocation Form submission (August 16, 2021) in the two sections of the form. The amounts shown are unduplicated counts.  </w:t>
      </w:r>
    </w:p>
    <w:p w:rsidR="002D3306" w:rsidRPr="004C18DB" w:rsidP="002D3306" w14:paraId="66862986" w14:textId="77777777">
      <w:pPr>
        <w:suppressAutoHyphens/>
        <w:ind w:left="720"/>
        <w:rPr>
          <w:rFonts w:asciiTheme="minorHAnsi" w:hAnsiTheme="minorHAnsi" w:cstheme="minorHAnsi"/>
          <w:iCs/>
          <w:szCs w:val="24"/>
        </w:rPr>
      </w:pPr>
    </w:p>
    <w:tbl>
      <w:tblPr>
        <w:tblStyle w:val="TableGrid"/>
        <w:tblW w:w="8435" w:type="dxa"/>
        <w:tblInd w:w="720" w:type="dxa"/>
        <w:tblLook w:val="04A0"/>
      </w:tblPr>
      <w:tblGrid>
        <w:gridCol w:w="1687"/>
        <w:gridCol w:w="1512"/>
        <w:gridCol w:w="1416"/>
        <w:gridCol w:w="1437"/>
        <w:gridCol w:w="1194"/>
        <w:gridCol w:w="1189"/>
      </w:tblGrid>
      <w:tr w14:paraId="457344F4" w14:textId="77777777" w:rsidTr="00D83E68">
        <w:tblPrEx>
          <w:tblW w:w="8435" w:type="dxa"/>
          <w:tblInd w:w="720" w:type="dxa"/>
          <w:tblLook w:val="04A0"/>
        </w:tblPrEx>
        <w:trPr>
          <w:trHeight w:val="1143"/>
        </w:trPr>
        <w:tc>
          <w:tcPr>
            <w:tcW w:w="1706" w:type="dxa"/>
          </w:tcPr>
          <w:p w:rsidR="002D3306" w:rsidRPr="004C18DB" w:rsidP="00D83E68" w14:paraId="43F3ECFF" w14:textId="77777777">
            <w:pPr>
              <w:suppressAutoHyphens/>
              <w:rPr>
                <w:rFonts w:asciiTheme="minorHAnsi" w:hAnsiTheme="minorHAnsi" w:cstheme="minorHAnsi"/>
                <w:b/>
                <w:szCs w:val="24"/>
              </w:rPr>
            </w:pPr>
            <w:r w:rsidRPr="004C18DB">
              <w:rPr>
                <w:rFonts w:asciiTheme="minorHAnsi" w:hAnsiTheme="minorHAnsi" w:cstheme="minorHAnsi"/>
                <w:b/>
                <w:szCs w:val="24"/>
              </w:rPr>
              <w:t>Reallocation Form Respondent Type by Part (duplicated count)</w:t>
            </w:r>
          </w:p>
        </w:tc>
        <w:tc>
          <w:tcPr>
            <w:tcW w:w="1306" w:type="dxa"/>
          </w:tcPr>
          <w:p w:rsidR="002D3306" w:rsidRPr="004C18DB" w:rsidP="00D83E68" w14:paraId="7FD7BB04" w14:textId="77777777">
            <w:pPr>
              <w:suppressAutoHyphens/>
              <w:rPr>
                <w:rFonts w:asciiTheme="minorHAnsi" w:hAnsiTheme="minorHAnsi" w:cstheme="minorHAnsi"/>
                <w:b/>
                <w:szCs w:val="24"/>
              </w:rPr>
            </w:pPr>
            <w:r w:rsidRPr="004C18DB">
              <w:rPr>
                <w:rFonts w:asciiTheme="minorHAnsi" w:hAnsiTheme="minorHAnsi" w:cstheme="minorHAnsi"/>
                <w:b/>
                <w:szCs w:val="24"/>
              </w:rPr>
              <w:t>Estimated Number of Respondents</w:t>
            </w:r>
          </w:p>
        </w:tc>
        <w:tc>
          <w:tcPr>
            <w:tcW w:w="1416" w:type="dxa"/>
          </w:tcPr>
          <w:p w:rsidR="002D3306" w:rsidRPr="004C18DB" w:rsidP="00D83E68" w14:paraId="122E7421"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Reporting</w:t>
            </w:r>
          </w:p>
        </w:tc>
        <w:tc>
          <w:tcPr>
            <w:tcW w:w="1440" w:type="dxa"/>
          </w:tcPr>
          <w:p w:rsidR="002D3306" w:rsidRPr="004C18DB" w:rsidP="00D83E68" w14:paraId="1B29CA37"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Record-Keeping</w:t>
            </w:r>
          </w:p>
        </w:tc>
        <w:tc>
          <w:tcPr>
            <w:tcW w:w="1258" w:type="dxa"/>
          </w:tcPr>
          <w:p w:rsidR="002D3306" w:rsidRPr="004C18DB" w:rsidP="00D83E68" w14:paraId="2D3F6A9C" w14:textId="77777777">
            <w:pPr>
              <w:suppressAutoHyphens/>
              <w:rPr>
                <w:rFonts w:asciiTheme="minorHAnsi" w:hAnsiTheme="minorHAnsi" w:cstheme="minorHAnsi"/>
                <w:b/>
                <w:szCs w:val="24"/>
              </w:rPr>
            </w:pPr>
            <w:r w:rsidRPr="004C18DB">
              <w:rPr>
                <w:rFonts w:asciiTheme="minorHAnsi" w:hAnsiTheme="minorHAnsi" w:cstheme="minorHAnsi"/>
                <w:b/>
                <w:szCs w:val="24"/>
              </w:rPr>
              <w:t>Total Hours</w:t>
            </w:r>
          </w:p>
        </w:tc>
        <w:tc>
          <w:tcPr>
            <w:tcW w:w="1309" w:type="dxa"/>
          </w:tcPr>
          <w:p w:rsidR="002D3306" w:rsidRPr="004C18DB" w:rsidP="00D83E68" w14:paraId="74E9B936" w14:textId="77777777">
            <w:pPr>
              <w:suppressAutoHyphens/>
              <w:rPr>
                <w:rFonts w:asciiTheme="minorHAnsi" w:hAnsiTheme="minorHAnsi" w:cstheme="minorHAnsi"/>
                <w:szCs w:val="24"/>
              </w:rPr>
            </w:pPr>
          </w:p>
        </w:tc>
      </w:tr>
      <w:tr w14:paraId="42A45E89" w14:textId="77777777" w:rsidTr="00D83E68">
        <w:tblPrEx>
          <w:tblW w:w="8435" w:type="dxa"/>
          <w:tblInd w:w="720" w:type="dxa"/>
          <w:tblLook w:val="04A0"/>
        </w:tblPrEx>
        <w:trPr>
          <w:trHeight w:val="229"/>
        </w:trPr>
        <w:tc>
          <w:tcPr>
            <w:tcW w:w="1706" w:type="dxa"/>
          </w:tcPr>
          <w:p w:rsidR="002D3306" w:rsidRPr="004C18DB" w:rsidP="00D83E68" w14:paraId="722913B0" w14:textId="77777777">
            <w:pPr>
              <w:suppressAutoHyphens/>
              <w:rPr>
                <w:rFonts w:asciiTheme="minorHAnsi" w:hAnsiTheme="minorHAnsi" w:cstheme="minorHAnsi"/>
                <w:b/>
                <w:i/>
                <w:szCs w:val="24"/>
              </w:rPr>
            </w:pPr>
            <w:r w:rsidRPr="004C18DB">
              <w:rPr>
                <w:rFonts w:asciiTheme="minorHAnsi" w:hAnsiTheme="minorHAnsi" w:cstheme="minorHAnsi"/>
                <w:b/>
                <w:i/>
                <w:szCs w:val="24"/>
              </w:rPr>
              <w:t>Public</w:t>
            </w:r>
          </w:p>
        </w:tc>
        <w:tc>
          <w:tcPr>
            <w:tcW w:w="1306" w:type="dxa"/>
          </w:tcPr>
          <w:p w:rsidR="002D3306" w:rsidRPr="004C18DB" w:rsidP="00D83E68" w14:paraId="2CE538FB" w14:textId="77777777">
            <w:pPr>
              <w:suppressAutoHyphens/>
              <w:rPr>
                <w:rFonts w:asciiTheme="minorHAnsi" w:hAnsiTheme="minorHAnsi" w:cstheme="minorHAnsi"/>
                <w:szCs w:val="24"/>
              </w:rPr>
            </w:pPr>
          </w:p>
        </w:tc>
        <w:tc>
          <w:tcPr>
            <w:tcW w:w="1416" w:type="dxa"/>
          </w:tcPr>
          <w:p w:rsidR="002D3306" w:rsidRPr="004C18DB" w:rsidP="00D83E68" w14:paraId="70C7BA57" w14:textId="77777777">
            <w:pPr>
              <w:suppressAutoHyphens/>
              <w:rPr>
                <w:rFonts w:asciiTheme="minorHAnsi" w:hAnsiTheme="minorHAnsi" w:cstheme="minorHAnsi"/>
                <w:szCs w:val="24"/>
              </w:rPr>
            </w:pPr>
          </w:p>
        </w:tc>
        <w:tc>
          <w:tcPr>
            <w:tcW w:w="1440" w:type="dxa"/>
          </w:tcPr>
          <w:p w:rsidR="002D3306" w:rsidRPr="004C18DB" w:rsidP="00D83E68" w14:paraId="39448E8C" w14:textId="77777777">
            <w:pPr>
              <w:suppressAutoHyphens/>
              <w:rPr>
                <w:rFonts w:asciiTheme="minorHAnsi" w:hAnsiTheme="minorHAnsi" w:cstheme="minorHAnsi"/>
                <w:szCs w:val="24"/>
              </w:rPr>
            </w:pPr>
          </w:p>
        </w:tc>
        <w:tc>
          <w:tcPr>
            <w:tcW w:w="1258" w:type="dxa"/>
          </w:tcPr>
          <w:p w:rsidR="002D3306" w:rsidRPr="004C18DB" w:rsidP="00D83E68" w14:paraId="161D5CEA" w14:textId="77777777">
            <w:pPr>
              <w:suppressAutoHyphens/>
              <w:rPr>
                <w:rFonts w:asciiTheme="minorHAnsi" w:hAnsiTheme="minorHAnsi" w:cstheme="minorHAnsi"/>
                <w:szCs w:val="24"/>
              </w:rPr>
            </w:pPr>
          </w:p>
        </w:tc>
        <w:tc>
          <w:tcPr>
            <w:tcW w:w="1309" w:type="dxa"/>
          </w:tcPr>
          <w:p w:rsidR="002D3306" w:rsidRPr="004C18DB" w:rsidP="00D83E68" w14:paraId="7F823E7E" w14:textId="77777777">
            <w:pPr>
              <w:suppressAutoHyphens/>
              <w:rPr>
                <w:rFonts w:asciiTheme="minorHAnsi" w:hAnsiTheme="minorHAnsi" w:cstheme="minorHAnsi"/>
                <w:szCs w:val="24"/>
              </w:rPr>
            </w:pPr>
          </w:p>
        </w:tc>
      </w:tr>
      <w:tr w14:paraId="1DE07EC2" w14:textId="77777777" w:rsidTr="00D83E68">
        <w:tblPrEx>
          <w:tblW w:w="8435" w:type="dxa"/>
          <w:tblInd w:w="720" w:type="dxa"/>
          <w:tblLook w:val="04A0"/>
        </w:tblPrEx>
        <w:trPr>
          <w:trHeight w:val="461"/>
        </w:trPr>
        <w:tc>
          <w:tcPr>
            <w:tcW w:w="1706" w:type="dxa"/>
          </w:tcPr>
          <w:p w:rsidR="002D3306" w:rsidRPr="004C18DB" w:rsidP="00D83E68" w14:paraId="36CB83DD" w14:textId="77777777">
            <w:pPr>
              <w:suppressAutoHyphens/>
              <w:rPr>
                <w:rFonts w:asciiTheme="minorHAnsi" w:hAnsiTheme="minorHAnsi" w:cstheme="minorHAnsi"/>
                <w:szCs w:val="24"/>
              </w:rPr>
            </w:pPr>
            <w:r w:rsidRPr="004C18DB">
              <w:rPr>
                <w:rFonts w:asciiTheme="minorHAnsi" w:hAnsiTheme="minorHAnsi" w:cstheme="minorHAnsi"/>
                <w:szCs w:val="24"/>
              </w:rPr>
              <w:t>Section A</w:t>
            </w:r>
          </w:p>
        </w:tc>
        <w:tc>
          <w:tcPr>
            <w:tcW w:w="1306" w:type="dxa"/>
          </w:tcPr>
          <w:p w:rsidR="002D3306" w:rsidRPr="004C18DB" w:rsidP="00D83E68" w14:paraId="388E83D0" w14:textId="77777777">
            <w:pPr>
              <w:suppressAutoHyphens/>
              <w:jc w:val="right"/>
              <w:rPr>
                <w:rFonts w:asciiTheme="minorHAnsi" w:hAnsiTheme="minorHAnsi" w:cstheme="minorHAnsi"/>
                <w:szCs w:val="24"/>
              </w:rPr>
            </w:pPr>
            <w:r w:rsidRPr="004C18DB">
              <w:rPr>
                <w:rFonts w:asciiTheme="minorHAnsi" w:hAnsiTheme="minorHAnsi" w:cstheme="minorHAnsi"/>
                <w:szCs w:val="24"/>
              </w:rPr>
              <w:t>22</w:t>
            </w:r>
          </w:p>
        </w:tc>
        <w:tc>
          <w:tcPr>
            <w:tcW w:w="1416" w:type="dxa"/>
          </w:tcPr>
          <w:p w:rsidR="002D3306" w:rsidRPr="004C18DB" w:rsidP="00D83E68" w14:paraId="4E6383D3"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440" w:type="dxa"/>
          </w:tcPr>
          <w:p w:rsidR="002D3306" w:rsidRPr="004C18DB" w:rsidP="00D83E68" w14:paraId="5AC51782"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258" w:type="dxa"/>
          </w:tcPr>
          <w:p w:rsidR="002D3306" w:rsidRPr="004C18DB" w:rsidP="00D83E68" w14:paraId="5623B89B" w14:textId="77777777">
            <w:pPr>
              <w:suppressAutoHyphens/>
              <w:jc w:val="right"/>
              <w:rPr>
                <w:rFonts w:asciiTheme="minorHAnsi" w:hAnsiTheme="minorHAnsi" w:cstheme="minorHAnsi"/>
                <w:szCs w:val="24"/>
              </w:rPr>
            </w:pPr>
            <w:r w:rsidRPr="004C18DB">
              <w:rPr>
                <w:rFonts w:asciiTheme="minorHAnsi" w:hAnsiTheme="minorHAnsi" w:cstheme="minorHAnsi"/>
                <w:szCs w:val="24"/>
              </w:rPr>
              <w:t>1</w:t>
            </w:r>
          </w:p>
        </w:tc>
        <w:tc>
          <w:tcPr>
            <w:tcW w:w="1309" w:type="dxa"/>
          </w:tcPr>
          <w:p w:rsidR="002D3306" w:rsidRPr="004C18DB" w:rsidP="00D83E68" w14:paraId="336DFF1B" w14:textId="77777777">
            <w:pPr>
              <w:suppressAutoHyphens/>
              <w:rPr>
                <w:rFonts w:asciiTheme="minorHAnsi" w:hAnsiTheme="minorHAnsi" w:cstheme="minorHAnsi"/>
                <w:szCs w:val="24"/>
              </w:rPr>
            </w:pPr>
          </w:p>
        </w:tc>
      </w:tr>
      <w:tr w14:paraId="4C71732C" w14:textId="77777777" w:rsidTr="00D83E68">
        <w:tblPrEx>
          <w:tblW w:w="8435" w:type="dxa"/>
          <w:tblInd w:w="720" w:type="dxa"/>
          <w:tblLook w:val="04A0"/>
        </w:tblPrEx>
        <w:trPr>
          <w:trHeight w:val="690"/>
        </w:trPr>
        <w:tc>
          <w:tcPr>
            <w:tcW w:w="1706" w:type="dxa"/>
          </w:tcPr>
          <w:p w:rsidR="002D3306" w:rsidRPr="004C18DB" w:rsidP="00D83E68" w14:paraId="486BAB0C" w14:textId="77777777">
            <w:pPr>
              <w:suppressAutoHyphens/>
              <w:rPr>
                <w:rFonts w:asciiTheme="minorHAnsi" w:hAnsiTheme="minorHAnsi" w:cstheme="minorHAnsi"/>
                <w:szCs w:val="24"/>
              </w:rPr>
            </w:pPr>
            <w:r w:rsidRPr="004C18DB">
              <w:rPr>
                <w:rFonts w:asciiTheme="minorHAnsi" w:hAnsiTheme="minorHAnsi" w:cstheme="minorHAnsi"/>
                <w:szCs w:val="24"/>
              </w:rPr>
              <w:t>Section B</w:t>
            </w:r>
          </w:p>
        </w:tc>
        <w:tc>
          <w:tcPr>
            <w:tcW w:w="1306" w:type="dxa"/>
          </w:tcPr>
          <w:p w:rsidR="002D3306" w:rsidRPr="004C18DB" w:rsidP="00D83E68" w14:paraId="658DCBA4" w14:textId="77777777">
            <w:pPr>
              <w:suppressAutoHyphens/>
              <w:jc w:val="right"/>
              <w:rPr>
                <w:rFonts w:asciiTheme="minorHAnsi" w:hAnsiTheme="minorHAnsi" w:cstheme="minorHAnsi"/>
                <w:szCs w:val="24"/>
              </w:rPr>
            </w:pPr>
            <w:r w:rsidRPr="004C18DB">
              <w:rPr>
                <w:rFonts w:asciiTheme="minorHAnsi" w:hAnsiTheme="minorHAnsi" w:cstheme="minorHAnsi"/>
                <w:szCs w:val="24"/>
              </w:rPr>
              <w:t>13</w:t>
            </w:r>
          </w:p>
        </w:tc>
        <w:tc>
          <w:tcPr>
            <w:tcW w:w="1416" w:type="dxa"/>
          </w:tcPr>
          <w:p w:rsidR="002D3306" w:rsidRPr="004C18DB" w:rsidP="00D83E68" w14:paraId="0BCA3C15"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440" w:type="dxa"/>
          </w:tcPr>
          <w:p w:rsidR="002D3306" w:rsidRPr="004C18DB" w:rsidP="00D83E68" w14:paraId="686F9B83"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258" w:type="dxa"/>
          </w:tcPr>
          <w:p w:rsidR="002D3306" w:rsidRPr="004C18DB" w:rsidP="00D83E68" w14:paraId="1CADDF09" w14:textId="77777777">
            <w:pPr>
              <w:suppressAutoHyphens/>
              <w:jc w:val="right"/>
              <w:rPr>
                <w:rFonts w:asciiTheme="minorHAnsi" w:hAnsiTheme="minorHAnsi" w:cstheme="minorHAnsi"/>
                <w:szCs w:val="24"/>
              </w:rPr>
            </w:pPr>
            <w:r w:rsidRPr="004C18DB">
              <w:rPr>
                <w:rFonts w:asciiTheme="minorHAnsi" w:hAnsiTheme="minorHAnsi" w:cstheme="minorHAnsi"/>
                <w:szCs w:val="24"/>
              </w:rPr>
              <w:t>1</w:t>
            </w:r>
          </w:p>
        </w:tc>
        <w:tc>
          <w:tcPr>
            <w:tcW w:w="1309" w:type="dxa"/>
          </w:tcPr>
          <w:p w:rsidR="002D3306" w:rsidRPr="004C18DB" w:rsidP="00D83E68" w14:paraId="55522C11" w14:textId="77777777">
            <w:pPr>
              <w:suppressAutoHyphens/>
              <w:rPr>
                <w:rFonts w:asciiTheme="minorHAnsi" w:hAnsiTheme="minorHAnsi" w:cstheme="minorHAnsi"/>
                <w:szCs w:val="24"/>
              </w:rPr>
            </w:pPr>
          </w:p>
        </w:tc>
      </w:tr>
      <w:tr w14:paraId="6782231F" w14:textId="77777777" w:rsidTr="00D83E68">
        <w:tblPrEx>
          <w:tblW w:w="8435" w:type="dxa"/>
          <w:tblInd w:w="720" w:type="dxa"/>
          <w:tblLook w:val="04A0"/>
        </w:tblPrEx>
        <w:trPr>
          <w:trHeight w:val="1143"/>
        </w:trPr>
        <w:tc>
          <w:tcPr>
            <w:tcW w:w="1706" w:type="dxa"/>
          </w:tcPr>
          <w:p w:rsidR="002D3306" w:rsidRPr="004C18DB" w:rsidP="00D83E68" w14:paraId="375C4783" w14:textId="77777777">
            <w:pPr>
              <w:suppressAutoHyphens/>
              <w:rPr>
                <w:rFonts w:asciiTheme="minorHAnsi" w:hAnsiTheme="minorHAnsi" w:cstheme="minorHAnsi"/>
                <w:szCs w:val="24"/>
              </w:rPr>
            </w:pPr>
            <w:r w:rsidRPr="004C18DB">
              <w:rPr>
                <w:rFonts w:asciiTheme="minorHAnsi" w:hAnsiTheme="minorHAnsi" w:cstheme="minorHAnsi"/>
                <w:b/>
                <w:szCs w:val="24"/>
              </w:rPr>
              <w:t xml:space="preserve">Total for Reallocation Form Respondents – Public Schools </w:t>
            </w:r>
            <w:r w:rsidRPr="004C18DB">
              <w:rPr>
                <w:rFonts w:asciiTheme="minorHAnsi" w:hAnsiTheme="minorHAnsi" w:cstheme="minorHAnsi"/>
                <w:szCs w:val="24"/>
              </w:rPr>
              <w:t>(unduplicated count)</w:t>
            </w:r>
          </w:p>
        </w:tc>
        <w:tc>
          <w:tcPr>
            <w:tcW w:w="1306" w:type="dxa"/>
          </w:tcPr>
          <w:p w:rsidR="002D3306" w:rsidRPr="004C18DB" w:rsidP="00D83E68" w14:paraId="6A302EF9"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34</w:t>
            </w:r>
          </w:p>
        </w:tc>
        <w:tc>
          <w:tcPr>
            <w:tcW w:w="1416" w:type="dxa"/>
          </w:tcPr>
          <w:p w:rsidR="002D3306" w:rsidRPr="004C18DB" w:rsidP="00D83E68" w14:paraId="5587041C"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w:t>
            </w:r>
          </w:p>
        </w:tc>
        <w:tc>
          <w:tcPr>
            <w:tcW w:w="1440" w:type="dxa"/>
          </w:tcPr>
          <w:p w:rsidR="002D3306" w:rsidRPr="004C18DB" w:rsidP="00D83E68" w14:paraId="37B59777"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w:t>
            </w:r>
          </w:p>
        </w:tc>
        <w:tc>
          <w:tcPr>
            <w:tcW w:w="1258" w:type="dxa"/>
          </w:tcPr>
          <w:p w:rsidR="002D3306" w:rsidRPr="004C18DB" w:rsidP="00D83E68" w14:paraId="4C807C48"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2</w:t>
            </w:r>
          </w:p>
        </w:tc>
        <w:tc>
          <w:tcPr>
            <w:tcW w:w="1309" w:type="dxa"/>
          </w:tcPr>
          <w:p w:rsidR="002D3306" w:rsidRPr="004C18DB" w:rsidP="00D83E68" w14:paraId="782CBE01"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68</w:t>
            </w:r>
          </w:p>
        </w:tc>
      </w:tr>
      <w:tr w14:paraId="0E3C3826" w14:textId="77777777" w:rsidTr="00D83E68">
        <w:tblPrEx>
          <w:tblW w:w="8435" w:type="dxa"/>
          <w:tblInd w:w="720" w:type="dxa"/>
          <w:tblLook w:val="04A0"/>
        </w:tblPrEx>
        <w:trPr>
          <w:trHeight w:val="1143"/>
        </w:trPr>
        <w:tc>
          <w:tcPr>
            <w:tcW w:w="1706" w:type="dxa"/>
          </w:tcPr>
          <w:p w:rsidR="002D3306" w:rsidRPr="004C18DB" w:rsidP="00D83E68" w14:paraId="068A58B9" w14:textId="77777777">
            <w:pPr>
              <w:suppressAutoHyphens/>
              <w:rPr>
                <w:rFonts w:asciiTheme="minorHAnsi" w:hAnsiTheme="minorHAnsi" w:cstheme="minorHAnsi"/>
                <w:b/>
                <w:szCs w:val="24"/>
              </w:rPr>
            </w:pPr>
            <w:r w:rsidRPr="004C18DB">
              <w:rPr>
                <w:rFonts w:asciiTheme="minorHAnsi" w:hAnsiTheme="minorHAnsi" w:cstheme="minorHAnsi"/>
                <w:b/>
                <w:szCs w:val="24"/>
              </w:rPr>
              <w:t>Reallocation Form Respondent Type by Part (duplicated count)</w:t>
            </w:r>
          </w:p>
        </w:tc>
        <w:tc>
          <w:tcPr>
            <w:tcW w:w="1306" w:type="dxa"/>
          </w:tcPr>
          <w:p w:rsidR="002D3306" w:rsidRPr="004C18DB" w:rsidP="00D83E68" w14:paraId="047A595F" w14:textId="77777777">
            <w:pPr>
              <w:suppressAutoHyphens/>
              <w:rPr>
                <w:rFonts w:asciiTheme="minorHAnsi" w:hAnsiTheme="minorHAnsi" w:cstheme="minorHAnsi"/>
                <w:b/>
                <w:szCs w:val="24"/>
              </w:rPr>
            </w:pPr>
            <w:r w:rsidRPr="004C18DB">
              <w:rPr>
                <w:rFonts w:asciiTheme="minorHAnsi" w:hAnsiTheme="minorHAnsi" w:cstheme="minorHAnsi"/>
                <w:b/>
                <w:szCs w:val="24"/>
              </w:rPr>
              <w:t>Estimated Number of Respondents</w:t>
            </w:r>
          </w:p>
        </w:tc>
        <w:tc>
          <w:tcPr>
            <w:tcW w:w="1416" w:type="dxa"/>
          </w:tcPr>
          <w:p w:rsidR="002D3306" w:rsidRPr="004C18DB" w:rsidP="00D83E68" w14:paraId="64C352C6"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Reporting</w:t>
            </w:r>
          </w:p>
        </w:tc>
        <w:tc>
          <w:tcPr>
            <w:tcW w:w="1440" w:type="dxa"/>
          </w:tcPr>
          <w:p w:rsidR="002D3306" w:rsidRPr="004C18DB" w:rsidP="00D83E68" w14:paraId="344B57C9"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Record-Keeping</w:t>
            </w:r>
          </w:p>
        </w:tc>
        <w:tc>
          <w:tcPr>
            <w:tcW w:w="1258" w:type="dxa"/>
          </w:tcPr>
          <w:p w:rsidR="002D3306" w:rsidRPr="004C18DB" w:rsidP="00D83E68" w14:paraId="49739C66" w14:textId="77777777">
            <w:pPr>
              <w:suppressAutoHyphens/>
              <w:rPr>
                <w:rFonts w:asciiTheme="minorHAnsi" w:hAnsiTheme="minorHAnsi" w:cstheme="minorHAnsi"/>
                <w:b/>
                <w:szCs w:val="24"/>
              </w:rPr>
            </w:pPr>
            <w:r w:rsidRPr="004C18DB">
              <w:rPr>
                <w:rFonts w:asciiTheme="minorHAnsi" w:hAnsiTheme="minorHAnsi" w:cstheme="minorHAnsi"/>
                <w:b/>
                <w:szCs w:val="24"/>
              </w:rPr>
              <w:t>Total Hours</w:t>
            </w:r>
          </w:p>
        </w:tc>
        <w:tc>
          <w:tcPr>
            <w:tcW w:w="1309" w:type="dxa"/>
          </w:tcPr>
          <w:p w:rsidR="002D3306" w:rsidRPr="004C18DB" w:rsidP="00D83E68" w14:paraId="7343E1D9" w14:textId="77777777">
            <w:pPr>
              <w:suppressAutoHyphens/>
              <w:rPr>
                <w:rFonts w:asciiTheme="minorHAnsi" w:hAnsiTheme="minorHAnsi" w:cstheme="minorHAnsi"/>
                <w:szCs w:val="24"/>
              </w:rPr>
            </w:pPr>
          </w:p>
        </w:tc>
      </w:tr>
      <w:tr w14:paraId="59C1F573" w14:textId="77777777" w:rsidTr="00D83E68">
        <w:tblPrEx>
          <w:tblW w:w="8435" w:type="dxa"/>
          <w:tblInd w:w="720" w:type="dxa"/>
          <w:tblLook w:val="04A0"/>
        </w:tblPrEx>
        <w:trPr>
          <w:trHeight w:val="229"/>
        </w:trPr>
        <w:tc>
          <w:tcPr>
            <w:tcW w:w="1706" w:type="dxa"/>
          </w:tcPr>
          <w:p w:rsidR="002D3306" w:rsidRPr="004C18DB" w:rsidP="00D83E68" w14:paraId="3742B617" w14:textId="77777777">
            <w:pPr>
              <w:suppressAutoHyphens/>
              <w:rPr>
                <w:rFonts w:asciiTheme="minorHAnsi" w:hAnsiTheme="minorHAnsi" w:cstheme="minorHAnsi"/>
                <w:b/>
                <w:i/>
                <w:szCs w:val="24"/>
              </w:rPr>
            </w:pPr>
            <w:r w:rsidRPr="004C18DB">
              <w:rPr>
                <w:rFonts w:asciiTheme="minorHAnsi" w:hAnsiTheme="minorHAnsi" w:cstheme="minorHAnsi"/>
                <w:b/>
                <w:i/>
                <w:szCs w:val="24"/>
              </w:rPr>
              <w:t>Proprietary</w:t>
            </w:r>
          </w:p>
        </w:tc>
        <w:tc>
          <w:tcPr>
            <w:tcW w:w="1306" w:type="dxa"/>
          </w:tcPr>
          <w:p w:rsidR="002D3306" w:rsidRPr="004C18DB" w:rsidP="00D83E68" w14:paraId="1550513F" w14:textId="77777777">
            <w:pPr>
              <w:suppressAutoHyphens/>
              <w:rPr>
                <w:rFonts w:asciiTheme="minorHAnsi" w:hAnsiTheme="minorHAnsi" w:cstheme="minorHAnsi"/>
                <w:szCs w:val="24"/>
              </w:rPr>
            </w:pPr>
          </w:p>
        </w:tc>
        <w:tc>
          <w:tcPr>
            <w:tcW w:w="1416" w:type="dxa"/>
          </w:tcPr>
          <w:p w:rsidR="002D3306" w:rsidRPr="004C18DB" w:rsidP="00D83E68" w14:paraId="45499CE7" w14:textId="77777777">
            <w:pPr>
              <w:suppressAutoHyphens/>
              <w:rPr>
                <w:rFonts w:asciiTheme="minorHAnsi" w:hAnsiTheme="minorHAnsi" w:cstheme="minorHAnsi"/>
                <w:szCs w:val="24"/>
              </w:rPr>
            </w:pPr>
          </w:p>
        </w:tc>
        <w:tc>
          <w:tcPr>
            <w:tcW w:w="1440" w:type="dxa"/>
          </w:tcPr>
          <w:p w:rsidR="002D3306" w:rsidRPr="004C18DB" w:rsidP="00D83E68" w14:paraId="34151A8B" w14:textId="77777777">
            <w:pPr>
              <w:suppressAutoHyphens/>
              <w:rPr>
                <w:rFonts w:asciiTheme="minorHAnsi" w:hAnsiTheme="minorHAnsi" w:cstheme="minorHAnsi"/>
                <w:szCs w:val="24"/>
              </w:rPr>
            </w:pPr>
          </w:p>
        </w:tc>
        <w:tc>
          <w:tcPr>
            <w:tcW w:w="1258" w:type="dxa"/>
          </w:tcPr>
          <w:p w:rsidR="002D3306" w:rsidRPr="004C18DB" w:rsidP="00D83E68" w14:paraId="28A80B0F" w14:textId="77777777">
            <w:pPr>
              <w:suppressAutoHyphens/>
              <w:rPr>
                <w:rFonts w:asciiTheme="minorHAnsi" w:hAnsiTheme="minorHAnsi" w:cstheme="minorHAnsi"/>
                <w:szCs w:val="24"/>
              </w:rPr>
            </w:pPr>
          </w:p>
        </w:tc>
        <w:tc>
          <w:tcPr>
            <w:tcW w:w="1309" w:type="dxa"/>
          </w:tcPr>
          <w:p w:rsidR="002D3306" w:rsidRPr="004C18DB" w:rsidP="00D83E68" w14:paraId="51BCF9A4" w14:textId="77777777">
            <w:pPr>
              <w:suppressAutoHyphens/>
              <w:rPr>
                <w:rFonts w:asciiTheme="minorHAnsi" w:hAnsiTheme="minorHAnsi" w:cstheme="minorHAnsi"/>
                <w:szCs w:val="24"/>
              </w:rPr>
            </w:pPr>
          </w:p>
        </w:tc>
      </w:tr>
      <w:tr w14:paraId="32ED1A75" w14:textId="77777777" w:rsidTr="00D83E68">
        <w:tblPrEx>
          <w:tblW w:w="8435" w:type="dxa"/>
          <w:tblInd w:w="720" w:type="dxa"/>
          <w:tblLook w:val="04A0"/>
        </w:tblPrEx>
        <w:trPr>
          <w:trHeight w:val="461"/>
        </w:trPr>
        <w:tc>
          <w:tcPr>
            <w:tcW w:w="1706" w:type="dxa"/>
          </w:tcPr>
          <w:p w:rsidR="002D3306" w:rsidRPr="004C18DB" w:rsidP="00D83E68" w14:paraId="00F213B3" w14:textId="77777777">
            <w:pPr>
              <w:suppressAutoHyphens/>
              <w:rPr>
                <w:rFonts w:asciiTheme="minorHAnsi" w:hAnsiTheme="minorHAnsi" w:cstheme="minorHAnsi"/>
                <w:szCs w:val="24"/>
              </w:rPr>
            </w:pPr>
            <w:r w:rsidRPr="004C18DB">
              <w:rPr>
                <w:rFonts w:asciiTheme="minorHAnsi" w:hAnsiTheme="minorHAnsi" w:cstheme="minorHAnsi"/>
                <w:szCs w:val="24"/>
              </w:rPr>
              <w:t>Section A</w:t>
            </w:r>
          </w:p>
        </w:tc>
        <w:tc>
          <w:tcPr>
            <w:tcW w:w="1306" w:type="dxa"/>
          </w:tcPr>
          <w:p w:rsidR="002D3306" w:rsidRPr="004C18DB" w:rsidP="00D83E68" w14:paraId="61EA621D" w14:textId="77777777">
            <w:pPr>
              <w:suppressAutoHyphens/>
              <w:jc w:val="right"/>
              <w:rPr>
                <w:rFonts w:asciiTheme="minorHAnsi" w:hAnsiTheme="minorHAnsi" w:cstheme="minorHAnsi"/>
                <w:szCs w:val="24"/>
              </w:rPr>
            </w:pPr>
            <w:r w:rsidRPr="004C18DB">
              <w:rPr>
                <w:rFonts w:asciiTheme="minorHAnsi" w:hAnsiTheme="minorHAnsi" w:cstheme="minorHAnsi"/>
                <w:szCs w:val="24"/>
              </w:rPr>
              <w:t>16</w:t>
            </w:r>
          </w:p>
        </w:tc>
        <w:tc>
          <w:tcPr>
            <w:tcW w:w="1416" w:type="dxa"/>
          </w:tcPr>
          <w:p w:rsidR="002D3306" w:rsidRPr="004C18DB" w:rsidP="00D83E68" w14:paraId="77C2D331"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440" w:type="dxa"/>
          </w:tcPr>
          <w:p w:rsidR="002D3306" w:rsidRPr="004C18DB" w:rsidP="00D83E68" w14:paraId="082CF03F"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258" w:type="dxa"/>
          </w:tcPr>
          <w:p w:rsidR="002D3306" w:rsidRPr="004C18DB" w:rsidP="00D83E68" w14:paraId="3F0954AA" w14:textId="77777777">
            <w:pPr>
              <w:suppressAutoHyphens/>
              <w:jc w:val="right"/>
              <w:rPr>
                <w:rFonts w:asciiTheme="minorHAnsi" w:hAnsiTheme="minorHAnsi" w:cstheme="minorHAnsi"/>
                <w:szCs w:val="24"/>
              </w:rPr>
            </w:pPr>
            <w:r w:rsidRPr="004C18DB">
              <w:rPr>
                <w:rFonts w:asciiTheme="minorHAnsi" w:hAnsiTheme="minorHAnsi" w:cstheme="minorHAnsi"/>
                <w:szCs w:val="24"/>
              </w:rPr>
              <w:t>1</w:t>
            </w:r>
          </w:p>
        </w:tc>
        <w:tc>
          <w:tcPr>
            <w:tcW w:w="1309" w:type="dxa"/>
          </w:tcPr>
          <w:p w:rsidR="002D3306" w:rsidRPr="004C18DB" w:rsidP="00D83E68" w14:paraId="6401C4F0" w14:textId="77777777">
            <w:pPr>
              <w:suppressAutoHyphens/>
              <w:rPr>
                <w:rFonts w:asciiTheme="minorHAnsi" w:hAnsiTheme="minorHAnsi" w:cstheme="minorHAnsi"/>
                <w:szCs w:val="24"/>
              </w:rPr>
            </w:pPr>
          </w:p>
        </w:tc>
      </w:tr>
      <w:tr w14:paraId="29F1EFFD" w14:textId="77777777" w:rsidTr="00D83E68">
        <w:tblPrEx>
          <w:tblW w:w="8435" w:type="dxa"/>
          <w:tblInd w:w="720" w:type="dxa"/>
          <w:tblLook w:val="04A0"/>
        </w:tblPrEx>
        <w:trPr>
          <w:trHeight w:val="690"/>
        </w:trPr>
        <w:tc>
          <w:tcPr>
            <w:tcW w:w="1706" w:type="dxa"/>
          </w:tcPr>
          <w:p w:rsidR="002D3306" w:rsidRPr="004C18DB" w:rsidP="00D83E68" w14:paraId="4D1CCA3A" w14:textId="77777777">
            <w:pPr>
              <w:suppressAutoHyphens/>
              <w:rPr>
                <w:rFonts w:asciiTheme="minorHAnsi" w:hAnsiTheme="minorHAnsi" w:cstheme="minorHAnsi"/>
                <w:szCs w:val="24"/>
              </w:rPr>
            </w:pPr>
            <w:r w:rsidRPr="004C18DB">
              <w:rPr>
                <w:rFonts w:asciiTheme="minorHAnsi" w:hAnsiTheme="minorHAnsi" w:cstheme="minorHAnsi"/>
                <w:szCs w:val="24"/>
              </w:rPr>
              <w:t>Section B</w:t>
            </w:r>
          </w:p>
        </w:tc>
        <w:tc>
          <w:tcPr>
            <w:tcW w:w="1306" w:type="dxa"/>
          </w:tcPr>
          <w:p w:rsidR="002D3306" w:rsidRPr="004C18DB" w:rsidP="00D83E68" w14:paraId="6486F719" w14:textId="77777777">
            <w:pPr>
              <w:suppressAutoHyphens/>
              <w:jc w:val="right"/>
              <w:rPr>
                <w:rFonts w:asciiTheme="minorHAnsi" w:hAnsiTheme="minorHAnsi" w:cstheme="minorHAnsi"/>
                <w:szCs w:val="24"/>
              </w:rPr>
            </w:pPr>
            <w:r w:rsidRPr="004C18DB">
              <w:rPr>
                <w:rFonts w:asciiTheme="minorHAnsi" w:hAnsiTheme="minorHAnsi" w:cstheme="minorHAnsi"/>
                <w:szCs w:val="24"/>
              </w:rPr>
              <w:t>1</w:t>
            </w:r>
          </w:p>
        </w:tc>
        <w:tc>
          <w:tcPr>
            <w:tcW w:w="1416" w:type="dxa"/>
          </w:tcPr>
          <w:p w:rsidR="002D3306" w:rsidRPr="004C18DB" w:rsidP="00D83E68" w14:paraId="28C266BB"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440" w:type="dxa"/>
          </w:tcPr>
          <w:p w:rsidR="002D3306" w:rsidRPr="004C18DB" w:rsidP="00D83E68" w14:paraId="44EBD5F2"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258" w:type="dxa"/>
          </w:tcPr>
          <w:p w:rsidR="002D3306" w:rsidRPr="004C18DB" w:rsidP="00D83E68" w14:paraId="267B7FBB" w14:textId="77777777">
            <w:pPr>
              <w:suppressAutoHyphens/>
              <w:jc w:val="right"/>
              <w:rPr>
                <w:rFonts w:asciiTheme="minorHAnsi" w:hAnsiTheme="minorHAnsi" w:cstheme="minorHAnsi"/>
                <w:szCs w:val="24"/>
              </w:rPr>
            </w:pPr>
            <w:r w:rsidRPr="004C18DB">
              <w:rPr>
                <w:rFonts w:asciiTheme="minorHAnsi" w:hAnsiTheme="minorHAnsi" w:cstheme="minorHAnsi"/>
                <w:szCs w:val="24"/>
              </w:rPr>
              <w:t>1</w:t>
            </w:r>
          </w:p>
        </w:tc>
        <w:tc>
          <w:tcPr>
            <w:tcW w:w="1309" w:type="dxa"/>
          </w:tcPr>
          <w:p w:rsidR="002D3306" w:rsidRPr="004C18DB" w:rsidP="00D83E68" w14:paraId="6ADFE21A" w14:textId="77777777">
            <w:pPr>
              <w:suppressAutoHyphens/>
              <w:rPr>
                <w:rFonts w:asciiTheme="minorHAnsi" w:hAnsiTheme="minorHAnsi" w:cstheme="minorHAnsi"/>
                <w:szCs w:val="24"/>
              </w:rPr>
            </w:pPr>
          </w:p>
        </w:tc>
      </w:tr>
      <w:tr w14:paraId="100BB368" w14:textId="77777777" w:rsidTr="00D83E68">
        <w:tblPrEx>
          <w:tblW w:w="8435" w:type="dxa"/>
          <w:tblInd w:w="720" w:type="dxa"/>
          <w:tblLook w:val="04A0"/>
        </w:tblPrEx>
        <w:trPr>
          <w:trHeight w:val="1143"/>
        </w:trPr>
        <w:tc>
          <w:tcPr>
            <w:tcW w:w="1706" w:type="dxa"/>
          </w:tcPr>
          <w:p w:rsidR="002D3306" w:rsidRPr="004C18DB" w:rsidP="00D83E68" w14:paraId="41909028" w14:textId="77777777">
            <w:pPr>
              <w:suppressAutoHyphens/>
              <w:rPr>
                <w:rFonts w:asciiTheme="minorHAnsi" w:hAnsiTheme="minorHAnsi" w:cstheme="minorHAnsi"/>
                <w:szCs w:val="24"/>
              </w:rPr>
            </w:pPr>
            <w:r w:rsidRPr="004C18DB">
              <w:rPr>
                <w:rFonts w:asciiTheme="minorHAnsi" w:hAnsiTheme="minorHAnsi" w:cstheme="minorHAnsi"/>
                <w:b/>
                <w:szCs w:val="24"/>
              </w:rPr>
              <w:t xml:space="preserve">Total for Reallocation Form Respondents – Proprietary Schools </w:t>
            </w:r>
            <w:r w:rsidRPr="004C18DB">
              <w:rPr>
                <w:rFonts w:asciiTheme="minorHAnsi" w:hAnsiTheme="minorHAnsi" w:cstheme="minorHAnsi"/>
                <w:szCs w:val="24"/>
              </w:rPr>
              <w:t>(unduplicated count)</w:t>
            </w:r>
          </w:p>
        </w:tc>
        <w:tc>
          <w:tcPr>
            <w:tcW w:w="1306" w:type="dxa"/>
          </w:tcPr>
          <w:p w:rsidR="002D3306" w:rsidRPr="004C18DB" w:rsidP="00D83E68" w14:paraId="61F720CD"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17</w:t>
            </w:r>
          </w:p>
        </w:tc>
        <w:tc>
          <w:tcPr>
            <w:tcW w:w="1416" w:type="dxa"/>
          </w:tcPr>
          <w:p w:rsidR="002D3306" w:rsidRPr="004C18DB" w:rsidP="00D83E68" w14:paraId="60B2433E"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w:t>
            </w:r>
          </w:p>
        </w:tc>
        <w:tc>
          <w:tcPr>
            <w:tcW w:w="1440" w:type="dxa"/>
          </w:tcPr>
          <w:p w:rsidR="002D3306" w:rsidRPr="004C18DB" w:rsidP="00D83E68" w14:paraId="31CA9B82"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w:t>
            </w:r>
          </w:p>
        </w:tc>
        <w:tc>
          <w:tcPr>
            <w:tcW w:w="1258" w:type="dxa"/>
          </w:tcPr>
          <w:p w:rsidR="002D3306" w:rsidRPr="004C18DB" w:rsidP="00D83E68" w14:paraId="44BC98FA"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2</w:t>
            </w:r>
          </w:p>
        </w:tc>
        <w:tc>
          <w:tcPr>
            <w:tcW w:w="1309" w:type="dxa"/>
          </w:tcPr>
          <w:p w:rsidR="002D3306" w:rsidRPr="004C18DB" w:rsidP="00D83E68" w14:paraId="124584FE"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34</w:t>
            </w:r>
          </w:p>
        </w:tc>
      </w:tr>
      <w:tr w14:paraId="71186B51" w14:textId="77777777" w:rsidTr="00D83E68">
        <w:tblPrEx>
          <w:tblW w:w="8435" w:type="dxa"/>
          <w:tblInd w:w="720" w:type="dxa"/>
          <w:tblLook w:val="04A0"/>
        </w:tblPrEx>
        <w:trPr>
          <w:trHeight w:val="1143"/>
        </w:trPr>
        <w:tc>
          <w:tcPr>
            <w:tcW w:w="1706" w:type="dxa"/>
          </w:tcPr>
          <w:p w:rsidR="002D3306" w:rsidRPr="004C18DB" w:rsidP="00D83E68" w14:paraId="2BEE59ED" w14:textId="77777777">
            <w:pPr>
              <w:suppressAutoHyphens/>
              <w:rPr>
                <w:rFonts w:asciiTheme="minorHAnsi" w:hAnsiTheme="minorHAnsi" w:cstheme="minorHAnsi"/>
                <w:b/>
                <w:szCs w:val="24"/>
              </w:rPr>
            </w:pPr>
            <w:r w:rsidRPr="004C18DB">
              <w:rPr>
                <w:rFonts w:asciiTheme="minorHAnsi" w:hAnsiTheme="minorHAnsi" w:cstheme="minorHAnsi"/>
                <w:b/>
                <w:szCs w:val="24"/>
              </w:rPr>
              <w:t>Reallocation Form Respondent Type by Part (duplicated count)</w:t>
            </w:r>
          </w:p>
        </w:tc>
        <w:tc>
          <w:tcPr>
            <w:tcW w:w="1306" w:type="dxa"/>
          </w:tcPr>
          <w:p w:rsidR="002D3306" w:rsidRPr="004C18DB" w:rsidP="00D83E68" w14:paraId="71FC94F6" w14:textId="77777777">
            <w:pPr>
              <w:suppressAutoHyphens/>
              <w:rPr>
                <w:rFonts w:asciiTheme="minorHAnsi" w:hAnsiTheme="minorHAnsi" w:cstheme="minorHAnsi"/>
                <w:b/>
                <w:szCs w:val="24"/>
              </w:rPr>
            </w:pPr>
            <w:r w:rsidRPr="004C18DB">
              <w:rPr>
                <w:rFonts w:asciiTheme="minorHAnsi" w:hAnsiTheme="minorHAnsi" w:cstheme="minorHAnsi"/>
                <w:b/>
                <w:szCs w:val="24"/>
              </w:rPr>
              <w:t>Estimated Number of Respondents</w:t>
            </w:r>
          </w:p>
        </w:tc>
        <w:tc>
          <w:tcPr>
            <w:tcW w:w="1416" w:type="dxa"/>
          </w:tcPr>
          <w:p w:rsidR="002D3306" w:rsidRPr="004C18DB" w:rsidP="00D83E68" w14:paraId="01EBA698"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Reporting</w:t>
            </w:r>
          </w:p>
        </w:tc>
        <w:tc>
          <w:tcPr>
            <w:tcW w:w="1440" w:type="dxa"/>
          </w:tcPr>
          <w:p w:rsidR="002D3306" w:rsidRPr="004C18DB" w:rsidP="00D83E68" w14:paraId="4862C732" w14:textId="77777777">
            <w:pPr>
              <w:suppressAutoHyphens/>
              <w:rPr>
                <w:rFonts w:asciiTheme="minorHAnsi" w:hAnsiTheme="minorHAnsi" w:cstheme="minorHAnsi"/>
                <w:b/>
                <w:szCs w:val="24"/>
              </w:rPr>
            </w:pPr>
            <w:r w:rsidRPr="004C18DB">
              <w:rPr>
                <w:rFonts w:asciiTheme="minorHAnsi" w:hAnsiTheme="minorHAnsi" w:cstheme="minorHAnsi"/>
                <w:b/>
                <w:szCs w:val="24"/>
              </w:rPr>
              <w:t>Estimated Person Hours per Respondent Record-Keeping</w:t>
            </w:r>
          </w:p>
        </w:tc>
        <w:tc>
          <w:tcPr>
            <w:tcW w:w="1258" w:type="dxa"/>
          </w:tcPr>
          <w:p w:rsidR="002D3306" w:rsidRPr="004C18DB" w:rsidP="00D83E68" w14:paraId="1080A8EE" w14:textId="77777777">
            <w:pPr>
              <w:suppressAutoHyphens/>
              <w:rPr>
                <w:rFonts w:asciiTheme="minorHAnsi" w:hAnsiTheme="minorHAnsi" w:cstheme="minorHAnsi"/>
                <w:b/>
                <w:szCs w:val="24"/>
              </w:rPr>
            </w:pPr>
            <w:r w:rsidRPr="004C18DB">
              <w:rPr>
                <w:rFonts w:asciiTheme="minorHAnsi" w:hAnsiTheme="minorHAnsi" w:cstheme="minorHAnsi"/>
                <w:b/>
                <w:szCs w:val="24"/>
              </w:rPr>
              <w:t>Total Hours</w:t>
            </w:r>
          </w:p>
        </w:tc>
        <w:tc>
          <w:tcPr>
            <w:tcW w:w="1309" w:type="dxa"/>
          </w:tcPr>
          <w:p w:rsidR="002D3306" w:rsidRPr="004C18DB" w:rsidP="00D83E68" w14:paraId="32DD5BD3" w14:textId="77777777">
            <w:pPr>
              <w:suppressAutoHyphens/>
              <w:rPr>
                <w:rFonts w:asciiTheme="minorHAnsi" w:hAnsiTheme="minorHAnsi" w:cstheme="minorHAnsi"/>
                <w:szCs w:val="24"/>
              </w:rPr>
            </w:pPr>
          </w:p>
        </w:tc>
      </w:tr>
      <w:tr w14:paraId="5FD3013A" w14:textId="77777777" w:rsidTr="00D83E68">
        <w:tblPrEx>
          <w:tblW w:w="8435" w:type="dxa"/>
          <w:tblInd w:w="720" w:type="dxa"/>
          <w:tblLook w:val="04A0"/>
        </w:tblPrEx>
        <w:trPr>
          <w:trHeight w:val="229"/>
        </w:trPr>
        <w:tc>
          <w:tcPr>
            <w:tcW w:w="1706" w:type="dxa"/>
          </w:tcPr>
          <w:p w:rsidR="002D3306" w:rsidRPr="004C18DB" w:rsidP="00D83E68" w14:paraId="50D9EF12" w14:textId="77777777">
            <w:pPr>
              <w:suppressAutoHyphens/>
              <w:rPr>
                <w:rFonts w:asciiTheme="minorHAnsi" w:hAnsiTheme="minorHAnsi" w:cstheme="minorHAnsi"/>
                <w:b/>
                <w:i/>
                <w:szCs w:val="24"/>
              </w:rPr>
            </w:pPr>
            <w:r w:rsidRPr="004C18DB">
              <w:rPr>
                <w:rFonts w:asciiTheme="minorHAnsi" w:hAnsiTheme="minorHAnsi" w:cstheme="minorHAnsi"/>
                <w:b/>
                <w:i/>
                <w:szCs w:val="24"/>
              </w:rPr>
              <w:t>Private (Non-Profit)</w:t>
            </w:r>
          </w:p>
        </w:tc>
        <w:tc>
          <w:tcPr>
            <w:tcW w:w="1306" w:type="dxa"/>
          </w:tcPr>
          <w:p w:rsidR="002D3306" w:rsidRPr="004C18DB" w:rsidP="00D83E68" w14:paraId="53B56E10" w14:textId="77777777">
            <w:pPr>
              <w:suppressAutoHyphens/>
              <w:rPr>
                <w:rFonts w:asciiTheme="minorHAnsi" w:hAnsiTheme="minorHAnsi" w:cstheme="minorHAnsi"/>
                <w:szCs w:val="24"/>
              </w:rPr>
            </w:pPr>
          </w:p>
        </w:tc>
        <w:tc>
          <w:tcPr>
            <w:tcW w:w="1416" w:type="dxa"/>
          </w:tcPr>
          <w:p w:rsidR="002D3306" w:rsidRPr="004C18DB" w:rsidP="00D83E68" w14:paraId="724C448F" w14:textId="77777777">
            <w:pPr>
              <w:suppressAutoHyphens/>
              <w:rPr>
                <w:rFonts w:asciiTheme="minorHAnsi" w:hAnsiTheme="minorHAnsi" w:cstheme="minorHAnsi"/>
                <w:szCs w:val="24"/>
              </w:rPr>
            </w:pPr>
          </w:p>
        </w:tc>
        <w:tc>
          <w:tcPr>
            <w:tcW w:w="1440" w:type="dxa"/>
          </w:tcPr>
          <w:p w:rsidR="002D3306" w:rsidRPr="004C18DB" w:rsidP="00D83E68" w14:paraId="72EF1F9A" w14:textId="77777777">
            <w:pPr>
              <w:suppressAutoHyphens/>
              <w:rPr>
                <w:rFonts w:asciiTheme="minorHAnsi" w:hAnsiTheme="minorHAnsi" w:cstheme="minorHAnsi"/>
                <w:szCs w:val="24"/>
              </w:rPr>
            </w:pPr>
          </w:p>
        </w:tc>
        <w:tc>
          <w:tcPr>
            <w:tcW w:w="1258" w:type="dxa"/>
          </w:tcPr>
          <w:p w:rsidR="002D3306" w:rsidRPr="004C18DB" w:rsidP="00D83E68" w14:paraId="5A9C484F" w14:textId="77777777">
            <w:pPr>
              <w:suppressAutoHyphens/>
              <w:rPr>
                <w:rFonts w:asciiTheme="minorHAnsi" w:hAnsiTheme="minorHAnsi" w:cstheme="minorHAnsi"/>
                <w:szCs w:val="24"/>
              </w:rPr>
            </w:pPr>
          </w:p>
        </w:tc>
        <w:tc>
          <w:tcPr>
            <w:tcW w:w="1309" w:type="dxa"/>
          </w:tcPr>
          <w:p w:rsidR="002D3306" w:rsidRPr="004C18DB" w:rsidP="00D83E68" w14:paraId="388EF829" w14:textId="77777777">
            <w:pPr>
              <w:suppressAutoHyphens/>
              <w:rPr>
                <w:rFonts w:asciiTheme="minorHAnsi" w:hAnsiTheme="minorHAnsi" w:cstheme="minorHAnsi"/>
                <w:szCs w:val="24"/>
              </w:rPr>
            </w:pPr>
          </w:p>
        </w:tc>
      </w:tr>
      <w:tr w14:paraId="1F44EBFE" w14:textId="77777777" w:rsidTr="00D83E68">
        <w:tblPrEx>
          <w:tblW w:w="8435" w:type="dxa"/>
          <w:tblInd w:w="720" w:type="dxa"/>
          <w:tblLook w:val="04A0"/>
        </w:tblPrEx>
        <w:trPr>
          <w:trHeight w:val="461"/>
        </w:trPr>
        <w:tc>
          <w:tcPr>
            <w:tcW w:w="1706" w:type="dxa"/>
          </w:tcPr>
          <w:p w:rsidR="002D3306" w:rsidRPr="004C18DB" w:rsidP="00D83E68" w14:paraId="3CE30116" w14:textId="77777777">
            <w:pPr>
              <w:suppressAutoHyphens/>
              <w:rPr>
                <w:rFonts w:asciiTheme="minorHAnsi" w:hAnsiTheme="minorHAnsi" w:cstheme="minorHAnsi"/>
                <w:szCs w:val="24"/>
              </w:rPr>
            </w:pPr>
            <w:r w:rsidRPr="004C18DB">
              <w:rPr>
                <w:rFonts w:asciiTheme="minorHAnsi" w:hAnsiTheme="minorHAnsi" w:cstheme="minorHAnsi"/>
                <w:szCs w:val="24"/>
              </w:rPr>
              <w:t>Section A</w:t>
            </w:r>
          </w:p>
        </w:tc>
        <w:tc>
          <w:tcPr>
            <w:tcW w:w="1306" w:type="dxa"/>
          </w:tcPr>
          <w:p w:rsidR="002D3306" w:rsidRPr="004C18DB" w:rsidP="00D83E68" w14:paraId="6BAD7BDC" w14:textId="77777777">
            <w:pPr>
              <w:suppressAutoHyphens/>
              <w:jc w:val="right"/>
              <w:rPr>
                <w:rFonts w:asciiTheme="minorHAnsi" w:hAnsiTheme="minorHAnsi" w:cstheme="minorHAnsi"/>
                <w:szCs w:val="24"/>
              </w:rPr>
            </w:pPr>
            <w:r w:rsidRPr="004C18DB">
              <w:rPr>
                <w:rFonts w:asciiTheme="minorHAnsi" w:hAnsiTheme="minorHAnsi" w:cstheme="minorHAnsi"/>
                <w:szCs w:val="24"/>
              </w:rPr>
              <w:t>30</w:t>
            </w:r>
          </w:p>
        </w:tc>
        <w:tc>
          <w:tcPr>
            <w:tcW w:w="1416" w:type="dxa"/>
          </w:tcPr>
          <w:p w:rsidR="002D3306" w:rsidRPr="004C18DB" w:rsidP="00D83E68" w14:paraId="7975A313"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440" w:type="dxa"/>
          </w:tcPr>
          <w:p w:rsidR="002D3306" w:rsidRPr="004C18DB" w:rsidP="00D83E68" w14:paraId="30FE0F5B"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258" w:type="dxa"/>
          </w:tcPr>
          <w:p w:rsidR="002D3306" w:rsidRPr="004C18DB" w:rsidP="00D83E68" w14:paraId="1D9FEEDA" w14:textId="77777777">
            <w:pPr>
              <w:suppressAutoHyphens/>
              <w:jc w:val="right"/>
              <w:rPr>
                <w:rFonts w:asciiTheme="minorHAnsi" w:hAnsiTheme="minorHAnsi" w:cstheme="minorHAnsi"/>
                <w:szCs w:val="24"/>
              </w:rPr>
            </w:pPr>
            <w:r w:rsidRPr="004C18DB">
              <w:rPr>
                <w:rFonts w:asciiTheme="minorHAnsi" w:hAnsiTheme="minorHAnsi" w:cstheme="minorHAnsi"/>
                <w:szCs w:val="24"/>
              </w:rPr>
              <w:t>1</w:t>
            </w:r>
          </w:p>
        </w:tc>
        <w:tc>
          <w:tcPr>
            <w:tcW w:w="1309" w:type="dxa"/>
          </w:tcPr>
          <w:p w:rsidR="002D3306" w:rsidRPr="004C18DB" w:rsidP="00D83E68" w14:paraId="1B9ADE0A" w14:textId="77777777">
            <w:pPr>
              <w:suppressAutoHyphens/>
              <w:rPr>
                <w:rFonts w:asciiTheme="minorHAnsi" w:hAnsiTheme="minorHAnsi" w:cstheme="minorHAnsi"/>
                <w:szCs w:val="24"/>
              </w:rPr>
            </w:pPr>
          </w:p>
        </w:tc>
      </w:tr>
      <w:tr w14:paraId="1703D954" w14:textId="77777777" w:rsidTr="00D83E68">
        <w:tblPrEx>
          <w:tblW w:w="8435" w:type="dxa"/>
          <w:tblInd w:w="720" w:type="dxa"/>
          <w:tblLook w:val="04A0"/>
        </w:tblPrEx>
        <w:trPr>
          <w:trHeight w:val="690"/>
        </w:trPr>
        <w:tc>
          <w:tcPr>
            <w:tcW w:w="1706" w:type="dxa"/>
          </w:tcPr>
          <w:p w:rsidR="002D3306" w:rsidRPr="004C18DB" w:rsidP="00D83E68" w14:paraId="321E3841" w14:textId="77777777">
            <w:pPr>
              <w:suppressAutoHyphens/>
              <w:rPr>
                <w:rFonts w:asciiTheme="minorHAnsi" w:hAnsiTheme="minorHAnsi" w:cstheme="minorHAnsi"/>
                <w:szCs w:val="24"/>
              </w:rPr>
            </w:pPr>
            <w:r w:rsidRPr="004C18DB">
              <w:rPr>
                <w:rFonts w:asciiTheme="minorHAnsi" w:hAnsiTheme="minorHAnsi" w:cstheme="minorHAnsi"/>
                <w:szCs w:val="24"/>
              </w:rPr>
              <w:t>Section B</w:t>
            </w:r>
          </w:p>
        </w:tc>
        <w:tc>
          <w:tcPr>
            <w:tcW w:w="1306" w:type="dxa"/>
          </w:tcPr>
          <w:p w:rsidR="002D3306" w:rsidRPr="004C18DB" w:rsidP="00D83E68" w14:paraId="4C60EC4E" w14:textId="77777777">
            <w:pPr>
              <w:suppressAutoHyphens/>
              <w:jc w:val="right"/>
              <w:rPr>
                <w:rFonts w:asciiTheme="minorHAnsi" w:hAnsiTheme="minorHAnsi" w:cstheme="minorHAnsi"/>
                <w:szCs w:val="24"/>
              </w:rPr>
            </w:pPr>
            <w:r w:rsidRPr="004C18DB">
              <w:rPr>
                <w:rFonts w:asciiTheme="minorHAnsi" w:hAnsiTheme="minorHAnsi" w:cstheme="minorHAnsi"/>
                <w:szCs w:val="24"/>
              </w:rPr>
              <w:t>11</w:t>
            </w:r>
          </w:p>
        </w:tc>
        <w:tc>
          <w:tcPr>
            <w:tcW w:w="1416" w:type="dxa"/>
          </w:tcPr>
          <w:p w:rsidR="002D3306" w:rsidRPr="004C18DB" w:rsidP="00D83E68" w14:paraId="3D564C3F"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440" w:type="dxa"/>
          </w:tcPr>
          <w:p w:rsidR="002D3306" w:rsidRPr="004C18DB" w:rsidP="00D83E68" w14:paraId="32B7D38C" w14:textId="77777777">
            <w:pPr>
              <w:suppressAutoHyphens/>
              <w:jc w:val="right"/>
              <w:rPr>
                <w:rFonts w:asciiTheme="minorHAnsi" w:hAnsiTheme="minorHAnsi" w:cstheme="minorHAnsi"/>
                <w:szCs w:val="24"/>
              </w:rPr>
            </w:pPr>
            <w:r w:rsidRPr="004C18DB">
              <w:rPr>
                <w:rFonts w:asciiTheme="minorHAnsi" w:hAnsiTheme="minorHAnsi" w:cstheme="minorHAnsi"/>
                <w:szCs w:val="24"/>
              </w:rPr>
              <w:t>.5</w:t>
            </w:r>
          </w:p>
        </w:tc>
        <w:tc>
          <w:tcPr>
            <w:tcW w:w="1258" w:type="dxa"/>
          </w:tcPr>
          <w:p w:rsidR="002D3306" w:rsidRPr="004C18DB" w:rsidP="00D83E68" w14:paraId="513B6059" w14:textId="77777777">
            <w:pPr>
              <w:suppressAutoHyphens/>
              <w:jc w:val="right"/>
              <w:rPr>
                <w:rFonts w:asciiTheme="minorHAnsi" w:hAnsiTheme="minorHAnsi" w:cstheme="minorHAnsi"/>
                <w:szCs w:val="24"/>
              </w:rPr>
            </w:pPr>
            <w:r w:rsidRPr="004C18DB">
              <w:rPr>
                <w:rFonts w:asciiTheme="minorHAnsi" w:hAnsiTheme="minorHAnsi" w:cstheme="minorHAnsi"/>
                <w:szCs w:val="24"/>
              </w:rPr>
              <w:t>1</w:t>
            </w:r>
          </w:p>
        </w:tc>
        <w:tc>
          <w:tcPr>
            <w:tcW w:w="1309" w:type="dxa"/>
          </w:tcPr>
          <w:p w:rsidR="002D3306" w:rsidRPr="004C18DB" w:rsidP="00D83E68" w14:paraId="6DEC22E7" w14:textId="77777777">
            <w:pPr>
              <w:suppressAutoHyphens/>
              <w:rPr>
                <w:rFonts w:asciiTheme="minorHAnsi" w:hAnsiTheme="minorHAnsi" w:cstheme="minorHAnsi"/>
                <w:szCs w:val="24"/>
              </w:rPr>
            </w:pPr>
          </w:p>
        </w:tc>
      </w:tr>
      <w:tr w14:paraId="7B2A798D" w14:textId="77777777" w:rsidTr="00D83E68">
        <w:tblPrEx>
          <w:tblW w:w="8435" w:type="dxa"/>
          <w:tblInd w:w="720" w:type="dxa"/>
          <w:tblLook w:val="04A0"/>
        </w:tblPrEx>
        <w:trPr>
          <w:trHeight w:val="1143"/>
        </w:trPr>
        <w:tc>
          <w:tcPr>
            <w:tcW w:w="1706" w:type="dxa"/>
          </w:tcPr>
          <w:p w:rsidR="002D3306" w:rsidRPr="004C18DB" w:rsidP="00D83E68" w14:paraId="09B52417" w14:textId="77777777">
            <w:pPr>
              <w:suppressAutoHyphens/>
              <w:rPr>
                <w:rFonts w:asciiTheme="minorHAnsi" w:hAnsiTheme="minorHAnsi" w:cstheme="minorHAnsi"/>
                <w:szCs w:val="24"/>
              </w:rPr>
            </w:pPr>
            <w:r w:rsidRPr="004C18DB">
              <w:rPr>
                <w:rFonts w:asciiTheme="minorHAnsi" w:hAnsiTheme="minorHAnsi" w:cstheme="minorHAnsi"/>
                <w:b/>
                <w:szCs w:val="24"/>
              </w:rPr>
              <w:t xml:space="preserve">Total for Reallocation Form Respondents – Private (Non-Profit) Schools </w:t>
            </w:r>
            <w:r w:rsidRPr="004C18DB">
              <w:rPr>
                <w:rFonts w:asciiTheme="minorHAnsi" w:hAnsiTheme="minorHAnsi" w:cstheme="minorHAnsi"/>
                <w:szCs w:val="24"/>
              </w:rPr>
              <w:t>(unduplicated count)</w:t>
            </w:r>
          </w:p>
        </w:tc>
        <w:tc>
          <w:tcPr>
            <w:tcW w:w="1306" w:type="dxa"/>
          </w:tcPr>
          <w:p w:rsidR="002D3306" w:rsidRPr="004C18DB" w:rsidP="00D83E68" w14:paraId="05363F28"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42</w:t>
            </w:r>
          </w:p>
        </w:tc>
        <w:tc>
          <w:tcPr>
            <w:tcW w:w="1416" w:type="dxa"/>
          </w:tcPr>
          <w:p w:rsidR="002D3306" w:rsidRPr="004C18DB" w:rsidP="00D83E68" w14:paraId="0D2188DF"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w:t>
            </w:r>
          </w:p>
        </w:tc>
        <w:tc>
          <w:tcPr>
            <w:tcW w:w="1440" w:type="dxa"/>
          </w:tcPr>
          <w:p w:rsidR="002D3306" w:rsidRPr="004C18DB" w:rsidP="00D83E68" w14:paraId="5A8C9459"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1</w:t>
            </w:r>
          </w:p>
        </w:tc>
        <w:tc>
          <w:tcPr>
            <w:tcW w:w="1258" w:type="dxa"/>
          </w:tcPr>
          <w:p w:rsidR="002D3306" w:rsidRPr="004C18DB" w:rsidP="00D83E68" w14:paraId="5E240328"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2</w:t>
            </w:r>
          </w:p>
        </w:tc>
        <w:tc>
          <w:tcPr>
            <w:tcW w:w="1309" w:type="dxa"/>
          </w:tcPr>
          <w:p w:rsidR="002D3306" w:rsidRPr="004C18DB" w:rsidP="00D83E68" w14:paraId="2699F3CB" w14:textId="77777777">
            <w:pPr>
              <w:suppressAutoHyphens/>
              <w:jc w:val="right"/>
              <w:rPr>
                <w:rFonts w:asciiTheme="minorHAnsi" w:hAnsiTheme="minorHAnsi" w:cstheme="minorHAnsi"/>
                <w:b/>
                <w:szCs w:val="24"/>
                <w:u w:val="double"/>
              </w:rPr>
            </w:pPr>
            <w:r w:rsidRPr="004C18DB">
              <w:rPr>
                <w:rFonts w:asciiTheme="minorHAnsi" w:hAnsiTheme="minorHAnsi" w:cstheme="minorHAnsi"/>
                <w:b/>
                <w:szCs w:val="24"/>
                <w:u w:val="double"/>
              </w:rPr>
              <w:t>84</w:t>
            </w:r>
          </w:p>
        </w:tc>
      </w:tr>
    </w:tbl>
    <w:p w:rsidR="002D3306" w:rsidRPr="004C18DB" w:rsidP="002D3306" w14:paraId="27860904" w14:textId="77777777">
      <w:pPr>
        <w:suppressAutoHyphens/>
        <w:rPr>
          <w:rFonts w:asciiTheme="minorHAnsi" w:hAnsiTheme="minorHAnsi" w:cstheme="minorHAnsi"/>
          <w:szCs w:val="24"/>
        </w:rPr>
      </w:pPr>
    </w:p>
    <w:p w:rsidR="002D3306" w:rsidRPr="004C18DB" w:rsidP="002D3306" w14:paraId="5C149C6B" w14:textId="77777777">
      <w:pPr>
        <w:ind w:left="630"/>
        <w:rPr>
          <w:rFonts w:asciiTheme="minorHAnsi" w:hAnsiTheme="minorHAnsi" w:cstheme="minorHAnsi"/>
          <w:szCs w:val="24"/>
        </w:rPr>
      </w:pPr>
      <w:r w:rsidRPr="004C18DB">
        <w:rPr>
          <w:rFonts w:asciiTheme="minorHAnsi" w:hAnsiTheme="minorHAnsi" w:cstheme="minorHAnsi"/>
          <w:szCs w:val="24"/>
        </w:rPr>
        <w:t xml:space="preserve">The FISAP and the Reallocation form contain separate Paperwork Burden Statements that contain an estimated average number of hours for completion. To determine the total burden hours for each respondent, the total annual burden hours for all </w:t>
      </w:r>
      <w:r w:rsidRPr="004C18DB">
        <w:rPr>
          <w:rFonts w:asciiTheme="minorHAnsi" w:hAnsiTheme="minorHAnsi" w:cstheme="minorHAnsi"/>
          <w:szCs w:val="24"/>
        </w:rPr>
        <w:t xml:space="preserve">respondents for all institution types has been divided by the total number of respondents for all institution types. The estimated average number of hours for completion of the Reallocation form has been calculated to be 2.0 hours per respondent.  </w:t>
      </w:r>
    </w:p>
    <w:p w:rsidR="002D3306" w:rsidRPr="004C18DB" w:rsidP="002D3306" w14:paraId="1DC19708" w14:textId="77777777">
      <w:pPr>
        <w:rPr>
          <w:rFonts w:asciiTheme="minorHAnsi" w:hAnsiTheme="minorHAnsi" w:cstheme="minorHAnsi"/>
          <w:szCs w:val="24"/>
        </w:rPr>
      </w:pPr>
    </w:p>
    <w:tbl>
      <w:tblPr>
        <w:tblStyle w:val="TableGrid"/>
        <w:tblW w:w="8640" w:type="dxa"/>
        <w:tblInd w:w="738" w:type="dxa"/>
        <w:tblLook w:val="04A0"/>
      </w:tblPr>
      <w:tblGrid>
        <w:gridCol w:w="2394"/>
        <w:gridCol w:w="2394"/>
        <w:gridCol w:w="2394"/>
        <w:gridCol w:w="1458"/>
      </w:tblGrid>
      <w:tr w14:paraId="28689DFC" w14:textId="77777777" w:rsidTr="00D83E68">
        <w:tblPrEx>
          <w:tblW w:w="8640" w:type="dxa"/>
          <w:tblInd w:w="738" w:type="dxa"/>
          <w:tblLook w:val="04A0"/>
        </w:tblPrEx>
        <w:tc>
          <w:tcPr>
            <w:tcW w:w="2394" w:type="dxa"/>
          </w:tcPr>
          <w:p w:rsidR="002D3306" w:rsidRPr="004C18DB" w:rsidP="00D83E68" w14:paraId="26CBBF70" w14:textId="77777777">
            <w:pPr>
              <w:tabs>
                <w:tab w:val="left" w:pos="-720"/>
              </w:tabs>
              <w:suppressAutoHyphens/>
              <w:rPr>
                <w:rFonts w:asciiTheme="minorHAnsi" w:hAnsiTheme="minorHAnsi" w:cstheme="minorHAnsi"/>
                <w:szCs w:val="24"/>
              </w:rPr>
            </w:pPr>
          </w:p>
        </w:tc>
        <w:tc>
          <w:tcPr>
            <w:tcW w:w="2394" w:type="dxa"/>
          </w:tcPr>
          <w:p w:rsidR="002D3306" w:rsidRPr="004C18DB" w:rsidP="00D83E68" w14:paraId="717BE1A2" w14:textId="77777777">
            <w:pPr>
              <w:tabs>
                <w:tab w:val="left" w:pos="-720"/>
              </w:tabs>
              <w:suppressAutoHyphens/>
              <w:rPr>
                <w:rFonts w:asciiTheme="minorHAnsi" w:hAnsiTheme="minorHAnsi" w:cstheme="minorHAnsi"/>
                <w:b/>
                <w:szCs w:val="24"/>
              </w:rPr>
            </w:pPr>
            <w:r w:rsidRPr="004C18DB">
              <w:rPr>
                <w:rFonts w:asciiTheme="minorHAnsi" w:hAnsiTheme="minorHAnsi" w:cstheme="minorHAnsi"/>
                <w:b/>
                <w:szCs w:val="24"/>
              </w:rPr>
              <w:t>Total Number of Respondents</w:t>
            </w:r>
          </w:p>
        </w:tc>
        <w:tc>
          <w:tcPr>
            <w:tcW w:w="2394" w:type="dxa"/>
          </w:tcPr>
          <w:p w:rsidR="002D3306" w:rsidRPr="004C18DB" w:rsidP="00D83E68" w14:paraId="388BFBAA" w14:textId="77777777">
            <w:pPr>
              <w:tabs>
                <w:tab w:val="left" w:pos="-720"/>
              </w:tabs>
              <w:suppressAutoHyphens/>
              <w:rPr>
                <w:rFonts w:asciiTheme="minorHAnsi" w:hAnsiTheme="minorHAnsi" w:cstheme="minorHAnsi"/>
                <w:b/>
                <w:szCs w:val="24"/>
              </w:rPr>
            </w:pPr>
            <w:r w:rsidRPr="004C18DB">
              <w:rPr>
                <w:rFonts w:asciiTheme="minorHAnsi" w:hAnsiTheme="minorHAnsi" w:cstheme="minorHAnsi"/>
                <w:b/>
                <w:szCs w:val="24"/>
              </w:rPr>
              <w:t>Total Annual Burden Hours – All Respondents</w:t>
            </w:r>
          </w:p>
        </w:tc>
        <w:tc>
          <w:tcPr>
            <w:tcW w:w="1458" w:type="dxa"/>
          </w:tcPr>
          <w:p w:rsidR="002D3306" w:rsidRPr="004C18DB" w:rsidP="00D83E68" w14:paraId="6D426D51" w14:textId="77777777">
            <w:pPr>
              <w:tabs>
                <w:tab w:val="left" w:pos="-720"/>
              </w:tabs>
              <w:suppressAutoHyphens/>
              <w:rPr>
                <w:rFonts w:asciiTheme="minorHAnsi" w:hAnsiTheme="minorHAnsi" w:cstheme="minorHAnsi"/>
                <w:b/>
                <w:szCs w:val="24"/>
              </w:rPr>
            </w:pPr>
            <w:r w:rsidRPr="004C18DB">
              <w:rPr>
                <w:rFonts w:asciiTheme="minorHAnsi" w:hAnsiTheme="minorHAnsi" w:cstheme="minorHAnsi"/>
                <w:b/>
                <w:szCs w:val="24"/>
              </w:rPr>
              <w:t>Total Burden Hours per Respondent</w:t>
            </w:r>
          </w:p>
        </w:tc>
      </w:tr>
      <w:tr w14:paraId="29279C10" w14:textId="77777777" w:rsidTr="00D83E68">
        <w:tblPrEx>
          <w:tblW w:w="8640" w:type="dxa"/>
          <w:tblInd w:w="738" w:type="dxa"/>
          <w:tblLook w:val="04A0"/>
        </w:tblPrEx>
        <w:tc>
          <w:tcPr>
            <w:tcW w:w="2394" w:type="dxa"/>
          </w:tcPr>
          <w:p w:rsidR="002D3306" w:rsidRPr="004C18DB" w:rsidP="00D83E68" w14:paraId="50819334" w14:textId="77777777">
            <w:pPr>
              <w:tabs>
                <w:tab w:val="left" w:pos="-720"/>
              </w:tabs>
              <w:suppressAutoHyphens/>
              <w:rPr>
                <w:rFonts w:asciiTheme="minorHAnsi" w:hAnsiTheme="minorHAnsi" w:cstheme="minorHAnsi"/>
                <w:b/>
                <w:szCs w:val="24"/>
              </w:rPr>
            </w:pPr>
            <w:r w:rsidRPr="004C18DB">
              <w:rPr>
                <w:rFonts w:asciiTheme="minorHAnsi" w:hAnsiTheme="minorHAnsi" w:cstheme="minorHAnsi"/>
                <w:b/>
                <w:szCs w:val="24"/>
              </w:rPr>
              <w:t>Reallocation Form Total</w:t>
            </w:r>
          </w:p>
        </w:tc>
        <w:tc>
          <w:tcPr>
            <w:tcW w:w="2394" w:type="dxa"/>
          </w:tcPr>
          <w:p w:rsidR="002D3306" w:rsidRPr="004C18DB" w:rsidP="00D83E68" w14:paraId="15F916BF" w14:textId="77777777">
            <w:pPr>
              <w:tabs>
                <w:tab w:val="left" w:pos="-720"/>
              </w:tabs>
              <w:suppressAutoHyphens/>
              <w:jc w:val="right"/>
              <w:rPr>
                <w:rFonts w:asciiTheme="minorHAnsi" w:hAnsiTheme="minorHAnsi" w:cstheme="minorHAnsi"/>
                <w:szCs w:val="24"/>
              </w:rPr>
            </w:pPr>
            <w:r w:rsidRPr="004C18DB">
              <w:rPr>
                <w:rFonts w:asciiTheme="minorHAnsi" w:hAnsiTheme="minorHAnsi" w:cstheme="minorHAnsi"/>
                <w:szCs w:val="24"/>
              </w:rPr>
              <w:t>93</w:t>
            </w:r>
          </w:p>
        </w:tc>
        <w:tc>
          <w:tcPr>
            <w:tcW w:w="2394" w:type="dxa"/>
          </w:tcPr>
          <w:p w:rsidR="002D3306" w:rsidRPr="004C18DB" w:rsidP="00D83E68" w14:paraId="0FEA6399" w14:textId="77777777">
            <w:pPr>
              <w:tabs>
                <w:tab w:val="left" w:pos="-720"/>
              </w:tabs>
              <w:suppressAutoHyphens/>
              <w:jc w:val="right"/>
              <w:rPr>
                <w:rFonts w:asciiTheme="minorHAnsi" w:hAnsiTheme="minorHAnsi" w:cstheme="minorHAnsi"/>
                <w:szCs w:val="24"/>
              </w:rPr>
            </w:pPr>
            <w:r w:rsidRPr="004C18DB">
              <w:rPr>
                <w:rFonts w:asciiTheme="minorHAnsi" w:hAnsiTheme="minorHAnsi" w:cstheme="minorHAnsi"/>
                <w:szCs w:val="24"/>
              </w:rPr>
              <w:t>186</w:t>
            </w:r>
          </w:p>
        </w:tc>
        <w:tc>
          <w:tcPr>
            <w:tcW w:w="1458" w:type="dxa"/>
          </w:tcPr>
          <w:p w:rsidR="002D3306" w:rsidRPr="004C18DB" w:rsidP="00D83E68" w14:paraId="2DFB9FA1" w14:textId="77777777">
            <w:pPr>
              <w:tabs>
                <w:tab w:val="left" w:pos="-720"/>
              </w:tabs>
              <w:suppressAutoHyphens/>
              <w:jc w:val="right"/>
              <w:rPr>
                <w:rFonts w:asciiTheme="minorHAnsi" w:hAnsiTheme="minorHAnsi" w:cstheme="minorHAnsi"/>
                <w:szCs w:val="24"/>
              </w:rPr>
            </w:pPr>
            <w:r w:rsidRPr="004C18DB">
              <w:rPr>
                <w:rFonts w:asciiTheme="minorHAnsi" w:hAnsiTheme="minorHAnsi" w:cstheme="minorHAnsi"/>
                <w:szCs w:val="24"/>
              </w:rPr>
              <w:t>2</w:t>
            </w:r>
          </w:p>
        </w:tc>
      </w:tr>
    </w:tbl>
    <w:p w:rsidR="002D3306" w:rsidRPr="004C18DB" w:rsidP="002D3306" w14:paraId="6F9ACA9B" w14:textId="77777777">
      <w:pPr>
        <w:rPr>
          <w:rFonts w:asciiTheme="minorHAnsi" w:hAnsiTheme="minorHAnsi" w:cstheme="minorHAnsi"/>
          <w:szCs w:val="24"/>
        </w:rPr>
      </w:pPr>
    </w:p>
    <w:p w:rsidR="002D3306" w:rsidRPr="004C18DB" w:rsidP="002D3306" w14:paraId="205B9060" w14:textId="77777777">
      <w:pPr>
        <w:tabs>
          <w:tab w:val="left" w:pos="-720"/>
        </w:tabs>
        <w:suppressAutoHyphens/>
        <w:ind w:left="630"/>
        <w:rPr>
          <w:rFonts w:asciiTheme="minorHAnsi" w:hAnsiTheme="minorHAnsi" w:cstheme="minorHAnsi"/>
          <w:b/>
          <w:szCs w:val="24"/>
          <w:u w:val="single"/>
        </w:rPr>
      </w:pPr>
      <w:r w:rsidRPr="004C18DB">
        <w:rPr>
          <w:rFonts w:asciiTheme="minorHAnsi" w:hAnsiTheme="minorHAnsi" w:cstheme="minorHAnsi"/>
          <w:b/>
          <w:szCs w:val="24"/>
          <w:u w:val="single"/>
        </w:rPr>
        <w:t>TOTAL BURDEN FISAP AND REALLOCATION FORMS</w:t>
      </w:r>
    </w:p>
    <w:p w:rsidR="002D3306" w:rsidRPr="004C18DB" w:rsidP="002D3306" w14:paraId="73BE7449" w14:textId="77777777">
      <w:pPr>
        <w:tabs>
          <w:tab w:val="left" w:pos="-720"/>
        </w:tabs>
        <w:suppressAutoHyphens/>
        <w:rPr>
          <w:rFonts w:asciiTheme="minorHAnsi" w:hAnsiTheme="minorHAnsi" w:cstheme="minorHAnsi"/>
          <w:szCs w:val="24"/>
        </w:rPr>
      </w:pPr>
    </w:p>
    <w:p w:rsidR="002D3306" w:rsidRPr="004C18DB" w:rsidP="002D3306" w14:paraId="6C80044F"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combined total for the FISAP and Reallocation Form has an estimated total of 3,778 responses with a total annual burden of 88,626 hours. We’ve used the Census Bureau National Industry-Specific Occupational Employment Wage Estimate for Educational Services (NAICS 611300 Colleges, Universities, and Professional Schools, Occupation Code 13-1199 – May 2021) of $30.40 per hour to calculate the estimated total cost for all respondents of $2,694,230.</w:t>
      </w:r>
    </w:p>
    <w:p w:rsidR="002D3306" w:rsidRPr="004C18DB" w:rsidP="002D3306" w14:paraId="06324B35" w14:textId="77777777">
      <w:pPr>
        <w:tabs>
          <w:tab w:val="left" w:pos="-720"/>
        </w:tabs>
        <w:suppressAutoHyphens/>
        <w:ind w:left="720"/>
        <w:rPr>
          <w:rFonts w:asciiTheme="minorHAnsi" w:hAnsiTheme="minorHAnsi" w:cstheme="minorHAnsi"/>
          <w:szCs w:val="24"/>
        </w:rPr>
      </w:pPr>
    </w:p>
    <w:p w:rsidR="002D3306" w:rsidRPr="004C18DB" w:rsidP="002D3306" w14:paraId="527BD126"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data below shows the combined totals for the separate data provided in the FISAP and Reallocation data matrices above as well as the estimated Hour-Burden Salary Cost to respondent institutions.</w:t>
      </w:r>
    </w:p>
    <w:p w:rsidR="002D3306" w:rsidRPr="004C18DB" w:rsidP="002D3306" w14:paraId="73136EAD" w14:textId="77777777">
      <w:pPr>
        <w:tabs>
          <w:tab w:val="left" w:pos="-720"/>
        </w:tabs>
        <w:suppressAutoHyphens/>
        <w:ind w:left="720"/>
        <w:rPr>
          <w:rFonts w:asciiTheme="minorHAnsi" w:hAnsiTheme="minorHAnsi" w:cstheme="minorHAnsi"/>
          <w:szCs w:val="24"/>
        </w:rPr>
      </w:pPr>
    </w:p>
    <w:p w:rsidR="002D3306" w:rsidRPr="004C18DB" w:rsidP="002D3306" w14:paraId="4B89D4D0"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Note:  The change in cost to respondents is due to an increase in average per hour salary of respondents, up from the $29.22 per hour rate in May 2018.</w:t>
      </w:r>
    </w:p>
    <w:p w:rsidR="002D3306" w:rsidRPr="004C18DB" w:rsidP="002D3306" w14:paraId="01B6140C" w14:textId="77777777">
      <w:pPr>
        <w:tabs>
          <w:tab w:val="left" w:pos="-720"/>
        </w:tabs>
        <w:suppressAutoHyphens/>
        <w:ind w:left="720"/>
        <w:rPr>
          <w:rFonts w:asciiTheme="minorHAnsi" w:hAnsiTheme="minorHAnsi" w:cstheme="minorHAnsi"/>
          <w:szCs w:val="24"/>
        </w:rPr>
      </w:pPr>
    </w:p>
    <w:p w:rsidR="002D3306" w:rsidRPr="004C18DB" w:rsidP="002D3306" w14:paraId="412BB3BA" w14:textId="77777777">
      <w:pPr>
        <w:tabs>
          <w:tab w:val="left" w:pos="-720"/>
        </w:tabs>
        <w:suppressAutoHyphens/>
        <w:rPr>
          <w:rFonts w:asciiTheme="minorHAnsi" w:hAnsiTheme="minorHAnsi" w:cstheme="minorHAnsi"/>
          <w:szCs w:val="24"/>
        </w:rPr>
      </w:pPr>
    </w:p>
    <w:p w:rsidR="002D3306" w:rsidRPr="004C18DB" w:rsidP="002D3306" w14:paraId="449AB639" w14:textId="77777777">
      <w:pPr>
        <w:tabs>
          <w:tab w:val="left" w:pos="-720"/>
        </w:tabs>
        <w:suppressAutoHyphens/>
        <w:rPr>
          <w:rFonts w:asciiTheme="minorHAnsi" w:hAnsiTheme="minorHAnsi" w:cstheme="minorHAnsi"/>
          <w:szCs w:val="24"/>
        </w:rPr>
      </w:pPr>
      <w:r w:rsidRPr="004C18DB">
        <w:rPr>
          <w:rFonts w:asciiTheme="minorHAnsi" w:hAnsiTheme="minorHAnsi" w:cstheme="minorHAnsi"/>
          <w:b/>
          <w:szCs w:val="24"/>
        </w:rPr>
        <w:t>Summary of Burden Change for 1845-0030</w:t>
      </w:r>
    </w:p>
    <w:p w:rsidR="002D3306" w:rsidRPr="004C18DB" w:rsidP="002D3306" w14:paraId="7E4D7667" w14:textId="77777777">
      <w:pPr>
        <w:tabs>
          <w:tab w:val="left" w:pos="-720"/>
        </w:tabs>
        <w:suppressAutoHyphens/>
        <w:rPr>
          <w:rFonts w:asciiTheme="minorHAnsi" w:hAnsiTheme="minorHAnsi" w:cstheme="minorHAnsi"/>
          <w:szCs w:val="24"/>
        </w:rPr>
      </w:pPr>
    </w:p>
    <w:p w:rsidR="002D3306" w:rsidRPr="004C18DB" w:rsidP="002D3306" w14:paraId="7CC45B7B" w14:textId="77777777">
      <w:pPr>
        <w:tabs>
          <w:tab w:val="left" w:pos="-720"/>
        </w:tabs>
        <w:suppressAutoHyphens/>
        <w:rPr>
          <w:rFonts w:asciiTheme="minorHAnsi" w:hAnsiTheme="minorHAnsi" w:cstheme="minorHAnsi"/>
          <w:szCs w:val="24"/>
        </w:rPr>
      </w:pPr>
      <w:r w:rsidRPr="004C18DB">
        <w:rPr>
          <w:rFonts w:asciiTheme="minorHAnsi" w:hAnsiTheme="minorHAnsi" w:cstheme="minorHAnsi"/>
          <w:szCs w:val="24"/>
        </w:rPr>
        <w:tab/>
      </w:r>
      <w:r w:rsidRPr="004C18DB">
        <w:rPr>
          <w:rFonts w:asciiTheme="minorHAnsi" w:hAnsiTheme="minorHAnsi" w:cstheme="minorHAnsi"/>
          <w:szCs w:val="24"/>
        </w:rPr>
        <w:tab/>
      </w:r>
      <w:r w:rsidRPr="004C18DB">
        <w:rPr>
          <w:rFonts w:asciiTheme="minorHAnsi" w:hAnsiTheme="minorHAnsi" w:cstheme="minorHAnsi"/>
          <w:szCs w:val="24"/>
        </w:rPr>
        <w:tab/>
        <w:t>Responses</w:t>
      </w:r>
      <w:r w:rsidRPr="004C18DB">
        <w:rPr>
          <w:rFonts w:asciiTheme="minorHAnsi" w:hAnsiTheme="minorHAnsi" w:cstheme="minorHAnsi"/>
          <w:szCs w:val="24"/>
        </w:rPr>
        <w:tab/>
      </w:r>
      <w:r w:rsidRPr="004C18DB">
        <w:rPr>
          <w:rFonts w:asciiTheme="minorHAnsi" w:hAnsiTheme="minorHAnsi" w:cstheme="minorHAnsi"/>
          <w:szCs w:val="24"/>
        </w:rPr>
        <w:tab/>
        <w:t>Burden Hours</w:t>
      </w:r>
      <w:r w:rsidRPr="004C18DB">
        <w:rPr>
          <w:rFonts w:asciiTheme="minorHAnsi" w:hAnsiTheme="minorHAnsi" w:cstheme="minorHAnsi"/>
          <w:szCs w:val="24"/>
        </w:rPr>
        <w:tab/>
      </w:r>
      <w:r w:rsidRPr="004C18DB">
        <w:rPr>
          <w:rFonts w:asciiTheme="minorHAnsi" w:hAnsiTheme="minorHAnsi" w:cstheme="minorHAnsi"/>
          <w:szCs w:val="24"/>
        </w:rPr>
        <w:tab/>
        <w:t>Annual Salary Burden</w:t>
      </w:r>
    </w:p>
    <w:p w:rsidR="002D3306" w:rsidRPr="004C18DB" w:rsidP="002D3306" w14:paraId="13F66683" w14:textId="77777777">
      <w:pPr>
        <w:tabs>
          <w:tab w:val="left" w:pos="-720"/>
        </w:tabs>
        <w:suppressAutoHyphens/>
        <w:rPr>
          <w:rFonts w:asciiTheme="minorHAnsi" w:hAnsiTheme="minorHAnsi" w:cstheme="minorHAnsi"/>
          <w:b/>
          <w:bCs/>
          <w:szCs w:val="24"/>
        </w:rPr>
      </w:pPr>
      <w:r w:rsidRPr="004C18DB">
        <w:rPr>
          <w:rFonts w:asciiTheme="minorHAnsi" w:hAnsiTheme="minorHAnsi" w:cstheme="minorHAnsi"/>
          <w:szCs w:val="24"/>
        </w:rPr>
        <w:t>Current</w:t>
      </w:r>
      <w:r w:rsidRPr="004C18DB">
        <w:rPr>
          <w:rFonts w:asciiTheme="minorHAnsi" w:hAnsiTheme="minorHAnsi" w:cstheme="minorHAnsi"/>
          <w:szCs w:val="24"/>
        </w:rPr>
        <w:tab/>
      </w:r>
      <w:r w:rsidRPr="004C18DB">
        <w:rPr>
          <w:rFonts w:asciiTheme="minorHAnsi" w:hAnsiTheme="minorHAnsi" w:cstheme="minorHAnsi"/>
          <w:szCs w:val="24"/>
        </w:rPr>
        <w:tab/>
        <w:t xml:space="preserve">    3,778</w:t>
      </w:r>
      <w:r w:rsidRPr="004C18DB">
        <w:rPr>
          <w:rFonts w:asciiTheme="minorHAnsi" w:hAnsiTheme="minorHAnsi" w:cstheme="minorHAnsi"/>
          <w:szCs w:val="24"/>
        </w:rPr>
        <w:tab/>
      </w:r>
      <w:r w:rsidRPr="004C18DB">
        <w:rPr>
          <w:rFonts w:asciiTheme="minorHAnsi" w:hAnsiTheme="minorHAnsi" w:cstheme="minorHAnsi"/>
          <w:szCs w:val="24"/>
        </w:rPr>
        <w:tab/>
        <w:t xml:space="preserve">    89,396</w:t>
      </w:r>
      <w:r w:rsidRPr="004C18DB">
        <w:rPr>
          <w:rFonts w:asciiTheme="minorHAnsi" w:hAnsiTheme="minorHAnsi" w:cstheme="minorHAnsi"/>
          <w:szCs w:val="24"/>
        </w:rPr>
        <w:tab/>
      </w:r>
      <w:r w:rsidRPr="004C18DB">
        <w:rPr>
          <w:rFonts w:asciiTheme="minorHAnsi" w:hAnsiTheme="minorHAnsi" w:cstheme="minorHAnsi"/>
          <w:szCs w:val="24"/>
        </w:rPr>
        <w:tab/>
      </w:r>
      <w:r w:rsidRPr="004C18DB">
        <w:rPr>
          <w:rFonts w:asciiTheme="minorHAnsi" w:hAnsiTheme="minorHAnsi" w:cstheme="minorHAnsi"/>
          <w:szCs w:val="24"/>
        </w:rPr>
        <w:tab/>
        <w:t>$2,733,730</w:t>
      </w:r>
    </w:p>
    <w:p w:rsidR="002D3306" w:rsidRPr="004C18DB" w:rsidP="002D3306" w14:paraId="6EC7678F" w14:textId="77777777">
      <w:pPr>
        <w:tabs>
          <w:tab w:val="left" w:pos="-720"/>
        </w:tabs>
        <w:suppressAutoHyphens/>
        <w:rPr>
          <w:rFonts w:asciiTheme="minorHAnsi" w:hAnsiTheme="minorHAnsi" w:cstheme="minorHAnsi"/>
          <w:szCs w:val="24"/>
        </w:rPr>
      </w:pPr>
      <w:r w:rsidRPr="004C18DB">
        <w:rPr>
          <w:rFonts w:asciiTheme="minorHAnsi" w:hAnsiTheme="minorHAnsi" w:cstheme="minorHAnsi"/>
          <w:szCs w:val="24"/>
        </w:rPr>
        <w:t>Renewal</w:t>
      </w:r>
      <w:r w:rsidRPr="004C18DB">
        <w:rPr>
          <w:rFonts w:asciiTheme="minorHAnsi" w:hAnsiTheme="minorHAnsi" w:cstheme="minorHAnsi"/>
          <w:szCs w:val="24"/>
        </w:rPr>
        <w:tab/>
      </w:r>
      <w:r w:rsidRPr="004C18DB">
        <w:rPr>
          <w:rFonts w:asciiTheme="minorHAnsi" w:hAnsiTheme="minorHAnsi" w:cstheme="minorHAnsi"/>
          <w:szCs w:val="24"/>
          <w:u w:val="single"/>
        </w:rPr>
        <w:tab/>
        <w:t xml:space="preserve">    3,778</w:t>
      </w:r>
      <w:r w:rsidRPr="004C18DB">
        <w:rPr>
          <w:rFonts w:asciiTheme="minorHAnsi" w:hAnsiTheme="minorHAnsi" w:cstheme="minorHAnsi"/>
          <w:szCs w:val="24"/>
          <w:u w:val="single"/>
        </w:rPr>
        <w:tab/>
      </w:r>
      <w:r w:rsidRPr="004C18DB">
        <w:rPr>
          <w:rFonts w:asciiTheme="minorHAnsi" w:hAnsiTheme="minorHAnsi" w:cstheme="minorHAnsi"/>
          <w:szCs w:val="24"/>
          <w:u w:val="single"/>
        </w:rPr>
        <w:tab/>
        <w:t xml:space="preserve">    88,626</w:t>
      </w:r>
      <w:r w:rsidRPr="004C18DB">
        <w:rPr>
          <w:rFonts w:asciiTheme="minorHAnsi" w:hAnsiTheme="minorHAnsi" w:cstheme="minorHAnsi"/>
          <w:szCs w:val="24"/>
          <w:u w:val="single"/>
        </w:rPr>
        <w:tab/>
      </w:r>
      <w:r w:rsidRPr="004C18DB">
        <w:rPr>
          <w:rFonts w:asciiTheme="minorHAnsi" w:hAnsiTheme="minorHAnsi" w:cstheme="minorHAnsi"/>
          <w:szCs w:val="24"/>
          <w:u w:val="single"/>
        </w:rPr>
        <w:tab/>
      </w:r>
      <w:r w:rsidRPr="004C18DB">
        <w:rPr>
          <w:rFonts w:asciiTheme="minorHAnsi" w:hAnsiTheme="minorHAnsi" w:cstheme="minorHAnsi"/>
          <w:szCs w:val="24"/>
          <w:u w:val="single"/>
        </w:rPr>
        <w:tab/>
        <w:t>$2,694,230</w:t>
      </w:r>
    </w:p>
    <w:p w:rsidR="002D3306" w:rsidRPr="004C18DB" w:rsidP="002D3306" w14:paraId="72DCCD16" w14:textId="3358D6E0">
      <w:pPr>
        <w:tabs>
          <w:tab w:val="left" w:pos="-720"/>
        </w:tabs>
        <w:suppressAutoHyphens/>
        <w:rPr>
          <w:rFonts w:asciiTheme="minorHAnsi" w:hAnsiTheme="minorHAnsi" w:cstheme="minorHAnsi"/>
          <w:szCs w:val="24"/>
        </w:rPr>
      </w:pPr>
      <w:r w:rsidRPr="004C18DB">
        <w:rPr>
          <w:rFonts w:asciiTheme="minorHAnsi" w:hAnsiTheme="minorHAnsi" w:cstheme="minorHAnsi"/>
          <w:szCs w:val="24"/>
        </w:rPr>
        <w:t>Difference</w:t>
      </w:r>
      <w:r w:rsidRPr="004C18DB">
        <w:rPr>
          <w:rFonts w:asciiTheme="minorHAnsi" w:hAnsiTheme="minorHAnsi" w:cstheme="minorHAnsi"/>
          <w:szCs w:val="24"/>
        </w:rPr>
        <w:tab/>
      </w:r>
      <w:r w:rsidRPr="004C18DB">
        <w:rPr>
          <w:rFonts w:asciiTheme="minorHAnsi" w:hAnsiTheme="minorHAnsi" w:cstheme="minorHAnsi"/>
          <w:szCs w:val="24"/>
        </w:rPr>
        <w:tab/>
        <w:t xml:space="preserve">          </w:t>
      </w:r>
      <w:r w:rsidR="00F87BF7">
        <w:rPr>
          <w:rFonts w:asciiTheme="minorHAnsi" w:hAnsiTheme="minorHAnsi" w:cstheme="minorHAnsi"/>
          <w:szCs w:val="24"/>
        </w:rPr>
        <w:t xml:space="preserve"> </w:t>
      </w:r>
      <w:r w:rsidRPr="004C18DB">
        <w:rPr>
          <w:rFonts w:asciiTheme="minorHAnsi" w:hAnsiTheme="minorHAnsi" w:cstheme="minorHAnsi"/>
          <w:szCs w:val="24"/>
        </w:rPr>
        <w:t xml:space="preserve"> 0</w:t>
      </w:r>
      <w:r w:rsidRPr="004C18DB">
        <w:rPr>
          <w:rFonts w:asciiTheme="minorHAnsi" w:hAnsiTheme="minorHAnsi" w:cstheme="minorHAnsi"/>
          <w:szCs w:val="24"/>
        </w:rPr>
        <w:tab/>
        <w:t xml:space="preserve">     </w:t>
      </w:r>
      <w:r w:rsidRPr="004C18DB">
        <w:rPr>
          <w:rFonts w:asciiTheme="minorHAnsi" w:hAnsiTheme="minorHAnsi" w:cstheme="minorHAnsi"/>
          <w:szCs w:val="24"/>
        </w:rPr>
        <w:tab/>
        <w:t xml:space="preserve">       (770)</w:t>
      </w:r>
      <w:r w:rsidRPr="004C18DB">
        <w:rPr>
          <w:rFonts w:asciiTheme="minorHAnsi" w:hAnsiTheme="minorHAnsi" w:cstheme="minorHAnsi"/>
          <w:szCs w:val="24"/>
        </w:rPr>
        <w:tab/>
      </w:r>
      <w:r w:rsidRPr="004C18DB">
        <w:rPr>
          <w:rFonts w:asciiTheme="minorHAnsi" w:hAnsiTheme="minorHAnsi" w:cstheme="minorHAnsi"/>
          <w:szCs w:val="24"/>
        </w:rPr>
        <w:tab/>
      </w:r>
      <w:r w:rsidRPr="004C18DB">
        <w:rPr>
          <w:rFonts w:asciiTheme="minorHAnsi" w:hAnsiTheme="minorHAnsi" w:cstheme="minorHAnsi"/>
          <w:szCs w:val="24"/>
        </w:rPr>
        <w:tab/>
        <w:t>$    (39,500)</w:t>
      </w:r>
    </w:p>
    <w:p w:rsidR="002D3306" w:rsidP="00756FD3" w14:paraId="4504454D" w14:textId="77777777">
      <w:pPr>
        <w:pStyle w:val="Caption"/>
        <w:jc w:val="center"/>
        <w:rPr>
          <w:rFonts w:ascii="Times New Roman" w:hAnsi="Times New Roman"/>
          <w:color w:val="000000" w:themeColor="text1"/>
          <w:sz w:val="24"/>
          <w:szCs w:val="24"/>
        </w:rPr>
      </w:pPr>
    </w:p>
    <w:p w:rsidR="00ED7195" w:rsidP="00756FD3" w14:paraId="64280E96" w14:textId="6B0F4CDA">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250" w:type="dxa"/>
        <w:tblLayout w:type="fixed"/>
        <w:tblLook w:val="0020"/>
      </w:tblPr>
      <w:tblGrid>
        <w:gridCol w:w="1345"/>
        <w:gridCol w:w="1260"/>
        <w:gridCol w:w="1080"/>
        <w:gridCol w:w="1335"/>
        <w:gridCol w:w="1350"/>
        <w:gridCol w:w="1350"/>
        <w:gridCol w:w="1530"/>
      </w:tblGrid>
      <w:tr w14:paraId="30194A75" w14:textId="77777777" w:rsidTr="00F87BF7">
        <w:tblPrEx>
          <w:tblW w:w="9250" w:type="dxa"/>
          <w:tblLayout w:type="fixed"/>
          <w:tblLook w:val="0020"/>
        </w:tblPrEx>
        <w:trPr>
          <w:tblHeader/>
        </w:trPr>
        <w:tc>
          <w:tcPr>
            <w:tcW w:w="1345" w:type="dxa"/>
          </w:tcPr>
          <w:p w:rsidR="009C37AF" w:rsidRPr="007F6104" w:rsidP="005D28E6"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0" w:type="dxa"/>
          </w:tcPr>
          <w:p w:rsidR="009C37AF" w:rsidRPr="007F6104" w:rsidP="005D28E6"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9C37AF" w:rsidRPr="007F6104" w:rsidP="005D28E6"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9C37AF" w:rsidRPr="007F6104" w:rsidP="005D28E6"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1350" w:type="dxa"/>
          </w:tcPr>
          <w:p w:rsidR="009C37AF" w:rsidRPr="007F6104" w:rsidP="005D28E6" w14:paraId="41E0E3BB"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350" w:type="dxa"/>
          </w:tcPr>
          <w:p w:rsidR="009C37AF" w:rsidRPr="007F6104" w:rsidP="005D28E6"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530" w:type="dxa"/>
          </w:tcPr>
          <w:p w:rsidR="009C37AF" w:rsidRPr="007F6104" w:rsidP="005D28E6"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34D5C39E" w14:textId="77777777" w:rsidTr="00F87BF7">
        <w:tblPrEx>
          <w:tblW w:w="9250" w:type="dxa"/>
          <w:tblLayout w:type="fixed"/>
          <w:tblLook w:val="0020"/>
        </w:tblPrEx>
        <w:tc>
          <w:tcPr>
            <w:tcW w:w="1345" w:type="dxa"/>
          </w:tcPr>
          <w:p w:rsidR="00F87BF7" w:rsidRPr="009C37AF" w:rsidP="00F87BF7"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260" w:type="dxa"/>
          </w:tcPr>
          <w:p w:rsidR="00F87BF7" w:rsidRPr="00F87BF7" w:rsidP="00F87BF7" w14:paraId="55A5A72E" w14:textId="11A4C511">
            <w:pPr>
              <w:jc w:val="right"/>
              <w:rPr>
                <w:rFonts w:asciiTheme="minorHAnsi" w:hAnsiTheme="minorHAnsi" w:cstheme="minorHAnsi"/>
                <w:szCs w:val="24"/>
              </w:rPr>
            </w:pPr>
            <w:r w:rsidRPr="00F87BF7">
              <w:rPr>
                <w:rFonts w:asciiTheme="minorHAnsi" w:hAnsiTheme="minorHAnsi" w:cstheme="minorHAnsi"/>
                <w:szCs w:val="24"/>
              </w:rPr>
              <w:t>N/A</w:t>
            </w:r>
          </w:p>
        </w:tc>
        <w:tc>
          <w:tcPr>
            <w:tcW w:w="1080" w:type="dxa"/>
          </w:tcPr>
          <w:p w:rsidR="00F87BF7" w:rsidRPr="00F87BF7" w:rsidP="00F87BF7" w14:paraId="4F0B7217" w14:textId="746B2B39">
            <w:pPr>
              <w:jc w:val="right"/>
              <w:rPr>
                <w:rFonts w:asciiTheme="minorHAnsi" w:hAnsiTheme="minorHAnsi" w:cstheme="minorHAnsi"/>
                <w:szCs w:val="24"/>
              </w:rPr>
            </w:pPr>
            <w:r w:rsidRPr="00F87BF7">
              <w:rPr>
                <w:rFonts w:asciiTheme="minorHAnsi" w:hAnsiTheme="minorHAnsi" w:cstheme="minorHAnsi"/>
                <w:szCs w:val="24"/>
              </w:rPr>
              <w:t>N/A</w:t>
            </w:r>
          </w:p>
        </w:tc>
        <w:tc>
          <w:tcPr>
            <w:tcW w:w="1335" w:type="dxa"/>
          </w:tcPr>
          <w:p w:rsidR="00F87BF7" w:rsidRPr="00F87BF7" w:rsidP="00F87BF7" w14:paraId="0524C928" w14:textId="4E663107">
            <w:pPr>
              <w:jc w:val="right"/>
              <w:rPr>
                <w:rFonts w:asciiTheme="minorHAnsi" w:hAnsiTheme="minorHAnsi" w:cstheme="minorHAnsi"/>
                <w:szCs w:val="24"/>
              </w:rPr>
            </w:pPr>
            <w:r w:rsidRPr="00F87BF7">
              <w:rPr>
                <w:rFonts w:asciiTheme="minorHAnsi" w:hAnsiTheme="minorHAnsi" w:cstheme="minorHAnsi"/>
                <w:szCs w:val="24"/>
              </w:rPr>
              <w:t>N/A</w:t>
            </w:r>
          </w:p>
        </w:tc>
        <w:tc>
          <w:tcPr>
            <w:tcW w:w="1350" w:type="dxa"/>
          </w:tcPr>
          <w:p w:rsidR="00F87BF7" w:rsidRPr="00F87BF7" w:rsidP="00F87BF7" w14:paraId="6F45AD1D" w14:textId="4173B52E">
            <w:pPr>
              <w:jc w:val="right"/>
              <w:rPr>
                <w:rFonts w:asciiTheme="minorHAnsi" w:hAnsiTheme="minorHAnsi" w:cstheme="minorHAnsi"/>
                <w:szCs w:val="24"/>
              </w:rPr>
            </w:pPr>
            <w:r w:rsidRPr="00F87BF7">
              <w:rPr>
                <w:rFonts w:asciiTheme="minorHAnsi" w:hAnsiTheme="minorHAnsi" w:cstheme="minorHAnsi"/>
                <w:szCs w:val="24"/>
              </w:rPr>
              <w:t>N/A</w:t>
            </w:r>
          </w:p>
        </w:tc>
        <w:tc>
          <w:tcPr>
            <w:tcW w:w="1350" w:type="dxa"/>
          </w:tcPr>
          <w:p w:rsidR="00F87BF7" w:rsidRPr="00F87BF7" w:rsidP="00F87BF7" w14:paraId="5F0F2A78" w14:textId="0EFA852C">
            <w:pPr>
              <w:jc w:val="right"/>
              <w:rPr>
                <w:rFonts w:asciiTheme="minorHAnsi" w:hAnsiTheme="minorHAnsi" w:cstheme="minorHAnsi"/>
                <w:szCs w:val="24"/>
              </w:rPr>
            </w:pPr>
            <w:r w:rsidRPr="00F87BF7">
              <w:rPr>
                <w:rFonts w:asciiTheme="minorHAnsi" w:hAnsiTheme="minorHAnsi" w:cstheme="minorHAnsi"/>
                <w:szCs w:val="24"/>
              </w:rPr>
              <w:t>N/A</w:t>
            </w:r>
          </w:p>
        </w:tc>
        <w:tc>
          <w:tcPr>
            <w:tcW w:w="1530" w:type="dxa"/>
          </w:tcPr>
          <w:p w:rsidR="00F87BF7" w:rsidRPr="00F87BF7" w:rsidP="00F87BF7" w14:paraId="63DD1E06" w14:textId="3BD3AC32">
            <w:pPr>
              <w:jc w:val="right"/>
              <w:rPr>
                <w:rFonts w:asciiTheme="minorHAnsi" w:hAnsiTheme="minorHAnsi" w:cstheme="minorHAnsi"/>
                <w:szCs w:val="24"/>
              </w:rPr>
            </w:pPr>
            <w:r w:rsidRPr="00F87BF7">
              <w:rPr>
                <w:rFonts w:asciiTheme="minorHAnsi" w:hAnsiTheme="minorHAnsi" w:cstheme="minorHAnsi"/>
                <w:szCs w:val="24"/>
              </w:rPr>
              <w:t>N/A</w:t>
            </w:r>
          </w:p>
        </w:tc>
      </w:tr>
      <w:tr w14:paraId="0E729D89" w14:textId="77777777" w:rsidTr="00F87BF7">
        <w:tblPrEx>
          <w:tblW w:w="9250" w:type="dxa"/>
          <w:tblLayout w:type="fixed"/>
          <w:tblLook w:val="0020"/>
        </w:tblPrEx>
        <w:tc>
          <w:tcPr>
            <w:tcW w:w="1345" w:type="dxa"/>
          </w:tcPr>
          <w:p w:rsidR="009C37AF" w:rsidRPr="009C37AF" w:rsidP="005D28E6"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260" w:type="dxa"/>
          </w:tcPr>
          <w:p w:rsidR="009C37AF" w:rsidRPr="00F87BF7" w:rsidP="00F87BF7" w14:paraId="2DD92A89" w14:textId="2391A231">
            <w:pPr>
              <w:jc w:val="right"/>
              <w:rPr>
                <w:rFonts w:asciiTheme="minorHAnsi" w:hAnsiTheme="minorHAnsi" w:cstheme="minorHAnsi"/>
                <w:szCs w:val="24"/>
              </w:rPr>
            </w:pPr>
            <w:r>
              <w:rPr>
                <w:rFonts w:asciiTheme="minorHAnsi" w:hAnsiTheme="minorHAnsi" w:cstheme="minorHAnsi"/>
                <w:szCs w:val="24"/>
              </w:rPr>
              <w:t>696</w:t>
            </w:r>
          </w:p>
        </w:tc>
        <w:tc>
          <w:tcPr>
            <w:tcW w:w="1080" w:type="dxa"/>
          </w:tcPr>
          <w:p w:rsidR="009C37AF" w:rsidRPr="00F87BF7" w:rsidP="00F87BF7" w14:paraId="7F418FD3" w14:textId="58D2437F">
            <w:pPr>
              <w:jc w:val="right"/>
              <w:rPr>
                <w:rFonts w:asciiTheme="minorHAnsi" w:hAnsiTheme="minorHAnsi" w:cstheme="minorHAnsi"/>
                <w:szCs w:val="24"/>
              </w:rPr>
            </w:pPr>
            <w:r>
              <w:rPr>
                <w:rFonts w:asciiTheme="minorHAnsi" w:hAnsiTheme="minorHAnsi" w:cstheme="minorHAnsi"/>
                <w:szCs w:val="24"/>
              </w:rPr>
              <w:t>696</w:t>
            </w:r>
          </w:p>
        </w:tc>
        <w:tc>
          <w:tcPr>
            <w:tcW w:w="1335" w:type="dxa"/>
          </w:tcPr>
          <w:p w:rsidR="009C37AF" w:rsidRPr="00F87BF7" w:rsidP="00F87BF7" w14:paraId="11378B7D" w14:textId="77777777">
            <w:pPr>
              <w:jc w:val="right"/>
              <w:rPr>
                <w:rFonts w:asciiTheme="minorHAnsi" w:hAnsiTheme="minorHAnsi" w:cstheme="minorHAnsi"/>
                <w:szCs w:val="24"/>
              </w:rPr>
            </w:pPr>
          </w:p>
        </w:tc>
        <w:tc>
          <w:tcPr>
            <w:tcW w:w="1350" w:type="dxa"/>
          </w:tcPr>
          <w:p w:rsidR="009C37AF" w:rsidRPr="00F87BF7" w:rsidP="00F87BF7" w14:paraId="1AEEFB60" w14:textId="348BC0F1">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16,330</w:t>
            </w:r>
          </w:p>
        </w:tc>
        <w:tc>
          <w:tcPr>
            <w:tcW w:w="1350" w:type="dxa"/>
          </w:tcPr>
          <w:p w:rsidR="009C37AF" w:rsidRPr="00F87BF7" w:rsidP="00F87BF7" w14:paraId="5D2E57DB" w14:textId="6ABAEAA3">
            <w:pPr>
              <w:jc w:val="right"/>
              <w:rPr>
                <w:rFonts w:asciiTheme="minorHAnsi" w:hAnsiTheme="minorHAnsi" w:cstheme="minorHAnsi"/>
                <w:szCs w:val="24"/>
              </w:rPr>
            </w:pPr>
            <w:r>
              <w:rPr>
                <w:rFonts w:asciiTheme="minorHAnsi" w:hAnsiTheme="minorHAnsi" w:cstheme="minorHAnsi"/>
                <w:szCs w:val="24"/>
              </w:rPr>
              <w:t>$30.40</w:t>
            </w:r>
          </w:p>
        </w:tc>
        <w:tc>
          <w:tcPr>
            <w:tcW w:w="1530" w:type="dxa"/>
          </w:tcPr>
          <w:p w:rsidR="009C37AF" w:rsidRPr="00F87BF7" w:rsidP="00F87BF7" w14:paraId="55ED5F6C" w14:textId="20956700">
            <w:pPr>
              <w:jc w:val="right"/>
              <w:rPr>
                <w:rFonts w:asciiTheme="minorHAnsi" w:hAnsiTheme="minorHAnsi" w:cstheme="minorHAnsi"/>
                <w:szCs w:val="24"/>
              </w:rPr>
            </w:pPr>
            <w:r>
              <w:rPr>
                <w:rFonts w:asciiTheme="minorHAnsi" w:hAnsiTheme="minorHAnsi" w:cstheme="minorHAnsi"/>
                <w:szCs w:val="24"/>
              </w:rPr>
              <w:t>$496,432</w:t>
            </w:r>
          </w:p>
        </w:tc>
      </w:tr>
      <w:tr w14:paraId="3613CD1F" w14:textId="77777777" w:rsidTr="00F87BF7">
        <w:tblPrEx>
          <w:tblW w:w="9250" w:type="dxa"/>
          <w:tblLayout w:type="fixed"/>
          <w:tblLook w:val="0020"/>
        </w:tblPrEx>
        <w:tc>
          <w:tcPr>
            <w:tcW w:w="1345" w:type="dxa"/>
          </w:tcPr>
          <w:p w:rsidR="009C37AF" w:rsidRPr="009C37AF" w:rsidP="005D28E6"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260" w:type="dxa"/>
          </w:tcPr>
          <w:p w:rsidR="009C37AF" w:rsidRPr="00F87BF7" w:rsidP="00F87BF7" w14:paraId="5E785442" w14:textId="2C362707">
            <w:pPr>
              <w:jc w:val="right"/>
              <w:rPr>
                <w:rFonts w:asciiTheme="minorHAnsi" w:hAnsiTheme="minorHAnsi" w:cstheme="minorHAnsi"/>
                <w:szCs w:val="24"/>
              </w:rPr>
            </w:pPr>
            <w:r>
              <w:rPr>
                <w:rFonts w:asciiTheme="minorHAnsi" w:hAnsiTheme="minorHAnsi" w:cstheme="minorHAnsi"/>
                <w:szCs w:val="24"/>
              </w:rPr>
              <w:t>1,485</w:t>
            </w:r>
          </w:p>
        </w:tc>
        <w:tc>
          <w:tcPr>
            <w:tcW w:w="1080" w:type="dxa"/>
          </w:tcPr>
          <w:p w:rsidR="009C37AF" w:rsidRPr="00F87BF7" w:rsidP="00F87BF7" w14:paraId="49455BBE" w14:textId="73DBC494">
            <w:pPr>
              <w:jc w:val="right"/>
              <w:rPr>
                <w:rFonts w:asciiTheme="minorHAnsi" w:hAnsiTheme="minorHAnsi" w:cstheme="minorHAnsi"/>
                <w:szCs w:val="24"/>
              </w:rPr>
            </w:pPr>
            <w:r>
              <w:rPr>
                <w:rFonts w:asciiTheme="minorHAnsi" w:hAnsiTheme="minorHAnsi" w:cstheme="minorHAnsi"/>
                <w:szCs w:val="24"/>
              </w:rPr>
              <w:t>1,485</w:t>
            </w:r>
          </w:p>
        </w:tc>
        <w:tc>
          <w:tcPr>
            <w:tcW w:w="1335" w:type="dxa"/>
          </w:tcPr>
          <w:p w:rsidR="009C37AF" w:rsidRPr="00F87BF7" w:rsidP="00F87BF7" w14:paraId="04DD53DB" w14:textId="77777777">
            <w:pPr>
              <w:jc w:val="right"/>
              <w:rPr>
                <w:rFonts w:asciiTheme="minorHAnsi" w:hAnsiTheme="minorHAnsi" w:cstheme="minorHAnsi"/>
                <w:szCs w:val="24"/>
              </w:rPr>
            </w:pPr>
          </w:p>
        </w:tc>
        <w:tc>
          <w:tcPr>
            <w:tcW w:w="1350" w:type="dxa"/>
          </w:tcPr>
          <w:p w:rsidR="009C37AF" w:rsidRPr="00F87BF7" w:rsidP="00F87BF7" w14:paraId="39E6A524" w14:textId="3876E293">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34,716</w:t>
            </w:r>
          </w:p>
        </w:tc>
        <w:tc>
          <w:tcPr>
            <w:tcW w:w="1350" w:type="dxa"/>
          </w:tcPr>
          <w:p w:rsidR="009C37AF" w:rsidRPr="00F87BF7" w:rsidP="00F87BF7" w14:paraId="605A32D6" w14:textId="6433F266">
            <w:pPr>
              <w:jc w:val="right"/>
              <w:rPr>
                <w:rFonts w:asciiTheme="minorHAnsi" w:hAnsiTheme="minorHAnsi" w:cstheme="minorHAnsi"/>
                <w:szCs w:val="24"/>
              </w:rPr>
            </w:pPr>
            <w:r>
              <w:rPr>
                <w:rFonts w:asciiTheme="minorHAnsi" w:hAnsiTheme="minorHAnsi" w:cstheme="minorHAnsi"/>
                <w:szCs w:val="24"/>
              </w:rPr>
              <w:t>$30.40</w:t>
            </w:r>
          </w:p>
        </w:tc>
        <w:tc>
          <w:tcPr>
            <w:tcW w:w="1530" w:type="dxa"/>
          </w:tcPr>
          <w:p w:rsidR="009C37AF" w:rsidRPr="00F87BF7" w:rsidP="00F87BF7" w14:paraId="7F5D36FF" w14:textId="09BAD160">
            <w:pPr>
              <w:jc w:val="right"/>
              <w:rPr>
                <w:rFonts w:asciiTheme="minorHAnsi" w:hAnsiTheme="minorHAnsi" w:cstheme="minorHAnsi"/>
                <w:szCs w:val="24"/>
              </w:rPr>
            </w:pPr>
            <w:r>
              <w:rPr>
                <w:rFonts w:asciiTheme="minorHAnsi" w:hAnsiTheme="minorHAnsi" w:cstheme="minorHAnsi"/>
                <w:szCs w:val="24"/>
              </w:rPr>
              <w:t>$1,055,366</w:t>
            </w:r>
          </w:p>
        </w:tc>
      </w:tr>
      <w:tr w14:paraId="17134648" w14:textId="77777777" w:rsidTr="00F87BF7">
        <w:tblPrEx>
          <w:tblW w:w="9250" w:type="dxa"/>
          <w:tblLayout w:type="fixed"/>
          <w:tblLook w:val="0020"/>
        </w:tblPrEx>
        <w:tc>
          <w:tcPr>
            <w:tcW w:w="1345" w:type="dxa"/>
          </w:tcPr>
          <w:p w:rsidR="009C37AF" w:rsidRPr="009C37AF" w:rsidP="005D28E6"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260" w:type="dxa"/>
          </w:tcPr>
          <w:p w:rsidR="009C37AF" w:rsidRPr="00F87BF7" w:rsidP="00F87BF7" w14:paraId="44D0EC38" w14:textId="3F010B55">
            <w:pPr>
              <w:jc w:val="right"/>
              <w:rPr>
                <w:rFonts w:asciiTheme="minorHAnsi" w:hAnsiTheme="minorHAnsi" w:cstheme="minorHAnsi"/>
                <w:szCs w:val="24"/>
              </w:rPr>
            </w:pPr>
            <w:r>
              <w:rPr>
                <w:rFonts w:asciiTheme="minorHAnsi" w:hAnsiTheme="minorHAnsi" w:cstheme="minorHAnsi"/>
                <w:szCs w:val="24"/>
              </w:rPr>
              <w:t>1,597</w:t>
            </w:r>
          </w:p>
        </w:tc>
        <w:tc>
          <w:tcPr>
            <w:tcW w:w="1080" w:type="dxa"/>
          </w:tcPr>
          <w:p w:rsidR="009C37AF" w:rsidRPr="00F87BF7" w:rsidP="00F87BF7" w14:paraId="1E02F8B0" w14:textId="7DC2AD97">
            <w:pPr>
              <w:jc w:val="right"/>
              <w:rPr>
                <w:rFonts w:asciiTheme="minorHAnsi" w:hAnsiTheme="minorHAnsi" w:cstheme="minorHAnsi"/>
                <w:szCs w:val="24"/>
              </w:rPr>
            </w:pPr>
            <w:r>
              <w:rPr>
                <w:rFonts w:asciiTheme="minorHAnsi" w:hAnsiTheme="minorHAnsi" w:cstheme="minorHAnsi"/>
                <w:szCs w:val="24"/>
              </w:rPr>
              <w:t>1,597</w:t>
            </w:r>
          </w:p>
        </w:tc>
        <w:tc>
          <w:tcPr>
            <w:tcW w:w="1335" w:type="dxa"/>
          </w:tcPr>
          <w:p w:rsidR="009C37AF" w:rsidRPr="00F87BF7" w:rsidP="00F87BF7" w14:paraId="730B3154" w14:textId="77777777">
            <w:pPr>
              <w:jc w:val="right"/>
              <w:rPr>
                <w:rFonts w:asciiTheme="minorHAnsi" w:hAnsiTheme="minorHAnsi" w:cstheme="minorHAnsi"/>
                <w:szCs w:val="24"/>
              </w:rPr>
            </w:pPr>
          </w:p>
        </w:tc>
        <w:tc>
          <w:tcPr>
            <w:tcW w:w="1350" w:type="dxa"/>
          </w:tcPr>
          <w:p w:rsidR="009C37AF" w:rsidRPr="00F87BF7" w:rsidP="00F87BF7" w14:paraId="0F7068F7" w14:textId="765855ED">
            <w:pPr>
              <w:jc w:val="right"/>
              <w:rPr>
                <w:rFonts w:asciiTheme="minorHAnsi" w:hAnsiTheme="minorHAnsi" w:cstheme="minorHAnsi"/>
                <w:szCs w:val="24"/>
              </w:rPr>
            </w:pPr>
            <w:r>
              <w:rPr>
                <w:rFonts w:asciiTheme="minorHAnsi" w:hAnsiTheme="minorHAnsi" w:cstheme="minorHAnsi"/>
                <w:szCs w:val="24"/>
              </w:rPr>
              <w:t>37,580</w:t>
            </w:r>
          </w:p>
        </w:tc>
        <w:tc>
          <w:tcPr>
            <w:tcW w:w="1350" w:type="dxa"/>
          </w:tcPr>
          <w:p w:rsidR="009C37AF" w:rsidRPr="00F87BF7" w:rsidP="00F87BF7" w14:paraId="66779289" w14:textId="37E7240C">
            <w:pPr>
              <w:jc w:val="right"/>
              <w:rPr>
                <w:rFonts w:asciiTheme="minorHAnsi" w:hAnsiTheme="minorHAnsi" w:cstheme="minorHAnsi"/>
                <w:szCs w:val="24"/>
              </w:rPr>
            </w:pPr>
            <w:r>
              <w:rPr>
                <w:rFonts w:asciiTheme="minorHAnsi" w:hAnsiTheme="minorHAnsi" w:cstheme="minorHAnsi"/>
                <w:szCs w:val="24"/>
              </w:rPr>
              <w:t>$30.40</w:t>
            </w:r>
          </w:p>
        </w:tc>
        <w:tc>
          <w:tcPr>
            <w:tcW w:w="1530" w:type="dxa"/>
          </w:tcPr>
          <w:p w:rsidR="009C37AF" w:rsidRPr="00F87BF7" w:rsidP="00F87BF7" w14:paraId="143D8490" w14:textId="63770A68">
            <w:pPr>
              <w:jc w:val="right"/>
              <w:rPr>
                <w:rFonts w:asciiTheme="minorHAnsi" w:hAnsiTheme="minorHAnsi" w:cstheme="minorHAnsi"/>
                <w:szCs w:val="24"/>
              </w:rPr>
            </w:pPr>
            <w:r>
              <w:rPr>
                <w:rFonts w:asciiTheme="minorHAnsi" w:hAnsiTheme="minorHAnsi" w:cstheme="minorHAnsi"/>
                <w:szCs w:val="24"/>
              </w:rPr>
              <w:t>$1,142,432</w:t>
            </w:r>
          </w:p>
        </w:tc>
      </w:tr>
      <w:tr w14:paraId="3DEE77D3" w14:textId="77777777" w:rsidTr="00F87BF7">
        <w:tblPrEx>
          <w:tblW w:w="9250" w:type="dxa"/>
          <w:tblLayout w:type="fixed"/>
          <w:tblLook w:val="0020"/>
        </w:tblPrEx>
        <w:tc>
          <w:tcPr>
            <w:tcW w:w="1345" w:type="dxa"/>
          </w:tcPr>
          <w:p w:rsidR="009C37AF" w:rsidRPr="00442E07" w:rsidP="005D28E6" w14:paraId="597BF3F3" w14:textId="77777777">
            <w:pPr>
              <w:rPr>
                <w:rFonts w:ascii="Times New Roman" w:hAnsi="Times New Roman"/>
                <w:szCs w:val="24"/>
              </w:rPr>
            </w:pPr>
            <w:r>
              <w:rPr>
                <w:rFonts w:ascii="Times New Roman" w:hAnsi="Times New Roman"/>
                <w:szCs w:val="24"/>
              </w:rPr>
              <w:t>Annualized Totals</w:t>
            </w:r>
          </w:p>
        </w:tc>
        <w:tc>
          <w:tcPr>
            <w:tcW w:w="1260" w:type="dxa"/>
          </w:tcPr>
          <w:p w:rsidR="009C37AF" w:rsidRPr="00F87BF7" w:rsidP="00F87BF7" w14:paraId="224C2C47" w14:textId="07C4532C">
            <w:pPr>
              <w:jc w:val="right"/>
              <w:rPr>
                <w:rFonts w:asciiTheme="minorHAnsi" w:hAnsiTheme="minorHAnsi" w:cstheme="minorHAnsi"/>
                <w:szCs w:val="24"/>
              </w:rPr>
            </w:pPr>
            <w:r>
              <w:rPr>
                <w:rFonts w:asciiTheme="minorHAnsi" w:hAnsiTheme="minorHAnsi" w:cstheme="minorHAnsi"/>
                <w:szCs w:val="24"/>
              </w:rPr>
              <w:t>3,778</w:t>
            </w:r>
          </w:p>
        </w:tc>
        <w:tc>
          <w:tcPr>
            <w:tcW w:w="1080" w:type="dxa"/>
          </w:tcPr>
          <w:p w:rsidR="009C37AF" w:rsidRPr="00F87BF7" w:rsidP="00F87BF7" w14:paraId="5F4B54EA" w14:textId="05F196C8">
            <w:pPr>
              <w:jc w:val="right"/>
              <w:rPr>
                <w:rFonts w:asciiTheme="minorHAnsi" w:hAnsiTheme="minorHAnsi" w:cstheme="minorHAnsi"/>
                <w:szCs w:val="24"/>
              </w:rPr>
            </w:pPr>
            <w:r>
              <w:rPr>
                <w:rFonts w:asciiTheme="minorHAnsi" w:hAnsiTheme="minorHAnsi" w:cstheme="minorHAnsi"/>
                <w:szCs w:val="24"/>
              </w:rPr>
              <w:t>3,778</w:t>
            </w:r>
          </w:p>
        </w:tc>
        <w:tc>
          <w:tcPr>
            <w:tcW w:w="1335" w:type="dxa"/>
          </w:tcPr>
          <w:p w:rsidR="009C37AF" w:rsidRPr="00F87BF7" w:rsidP="00F87BF7" w14:paraId="68058CE4" w14:textId="77777777">
            <w:pPr>
              <w:jc w:val="right"/>
              <w:rPr>
                <w:rFonts w:asciiTheme="minorHAnsi" w:hAnsiTheme="minorHAnsi" w:cstheme="minorHAnsi"/>
                <w:szCs w:val="24"/>
              </w:rPr>
            </w:pPr>
          </w:p>
        </w:tc>
        <w:tc>
          <w:tcPr>
            <w:tcW w:w="1350" w:type="dxa"/>
          </w:tcPr>
          <w:p w:rsidR="009C37AF" w:rsidRPr="00F87BF7" w:rsidP="00F87BF7" w14:paraId="37FAF8A5" w14:textId="76901A6A">
            <w:pPr>
              <w:jc w:val="right"/>
              <w:rPr>
                <w:rFonts w:asciiTheme="minorHAnsi" w:hAnsiTheme="minorHAnsi" w:cstheme="minorHAnsi"/>
                <w:szCs w:val="24"/>
              </w:rPr>
            </w:pPr>
            <w:r>
              <w:rPr>
                <w:rFonts w:asciiTheme="minorHAnsi" w:hAnsiTheme="minorHAnsi" w:cstheme="minorHAnsi"/>
                <w:szCs w:val="24"/>
              </w:rPr>
              <w:t>88,626</w:t>
            </w:r>
          </w:p>
        </w:tc>
        <w:tc>
          <w:tcPr>
            <w:tcW w:w="1350" w:type="dxa"/>
          </w:tcPr>
          <w:p w:rsidR="009C37AF" w:rsidRPr="00F87BF7" w:rsidP="00F87BF7" w14:paraId="3221A869" w14:textId="77777777">
            <w:pPr>
              <w:jc w:val="right"/>
              <w:rPr>
                <w:rFonts w:asciiTheme="minorHAnsi" w:hAnsiTheme="minorHAnsi" w:cstheme="minorHAnsi"/>
                <w:szCs w:val="24"/>
              </w:rPr>
            </w:pPr>
          </w:p>
        </w:tc>
        <w:tc>
          <w:tcPr>
            <w:tcW w:w="1530" w:type="dxa"/>
          </w:tcPr>
          <w:p w:rsidR="009C37AF" w:rsidRPr="00F87BF7" w:rsidP="00F87BF7" w14:paraId="50468F26" w14:textId="19857F5C">
            <w:pPr>
              <w:jc w:val="right"/>
              <w:rPr>
                <w:rFonts w:asciiTheme="minorHAnsi" w:hAnsiTheme="minorHAnsi" w:cstheme="minorHAnsi"/>
                <w:szCs w:val="24"/>
              </w:rPr>
            </w:pPr>
            <w:r>
              <w:rPr>
                <w:rFonts w:asciiTheme="minorHAnsi" w:hAnsiTheme="minorHAnsi" w:cstheme="minorHAnsi"/>
                <w:szCs w:val="24"/>
              </w:rPr>
              <w:t>$2,694,230</w:t>
            </w:r>
          </w:p>
        </w:tc>
      </w:tr>
    </w:tbl>
    <w:p w:rsidR="009C37AF" w:rsidRPr="009C37AF" w:rsidP="009C37AF" w14:paraId="41C4D4A6" w14:textId="77777777"/>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14:paraId="124B3696" w14:textId="6A79C61F">
      <w:pPr>
        <w:tabs>
          <w:tab w:val="left" w:pos="-720"/>
        </w:tabs>
        <w:suppressAutoHyphens/>
        <w:rPr>
          <w:rFonts w:ascii="Times New Roman" w:hAnsi="Times New Roman"/>
          <w:b/>
          <w:szCs w:val="24"/>
        </w:rPr>
      </w:pPr>
    </w:p>
    <w:p w:rsidR="002D3306" w:rsidRPr="004C18DB" w:rsidP="002D3306" w14:paraId="15601FCB"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nature of business for Title IV institutions (the respondents) is such that purchases of equipment and provision of services that are required for electronic processing of the FISAP and Reallocation form are a part of their customary and usual business practice. They are the type of equipment and services normally necessary to successfully operate any educational entity.</w:t>
      </w:r>
    </w:p>
    <w:p w:rsidR="002D3306" w:rsidRPr="004C18DB" w:rsidP="002D3306" w14:paraId="23B0593C" w14:textId="77777777">
      <w:pPr>
        <w:tabs>
          <w:tab w:val="left" w:pos="-720"/>
        </w:tabs>
        <w:suppressAutoHyphens/>
        <w:ind w:left="1080"/>
        <w:rPr>
          <w:rFonts w:asciiTheme="minorHAnsi" w:hAnsiTheme="minorHAnsi" w:cstheme="minorHAnsi"/>
          <w:szCs w:val="24"/>
        </w:rPr>
      </w:pPr>
    </w:p>
    <w:p w:rsidR="00043C32" w:rsidP="002D3306" w14:paraId="64280EEF" w14:textId="5B1479F4">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The requirement to transmit the FISAP and Reallocation Form data electronically is not considered an increase in burden for most institutions. Because thousands of institutions are already participating in other Title IV programs, they would have access to the Internet (web) in order to do business with the Department.</w:t>
      </w:r>
    </w:p>
    <w:p w:rsidR="002D3306" w:rsidP="002D3306" w14:paraId="3B976300"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2D3306" w:rsidRPr="004C18DB" w:rsidP="002D3306" w14:paraId="4F2EB942" w14:textId="77777777">
      <w:pPr>
        <w:tabs>
          <w:tab w:val="left" w:pos="-720"/>
        </w:tabs>
        <w:suppressAutoHyphens/>
        <w:ind w:left="720"/>
        <w:rPr>
          <w:rFonts w:asciiTheme="minorHAnsi" w:hAnsiTheme="minorHAnsi" w:cstheme="minorHAnsi"/>
          <w:spacing w:val="-3"/>
          <w:szCs w:val="24"/>
        </w:rPr>
      </w:pPr>
      <w:r w:rsidRPr="004C18DB">
        <w:rPr>
          <w:rFonts w:asciiTheme="minorHAnsi" w:hAnsiTheme="minorHAnsi" w:cstheme="minorHAnsi"/>
          <w:szCs w:val="24"/>
        </w:rPr>
        <w:t xml:space="preserve">Below describes the separate costs for the FISAP and the Reallocation Form and the combined total annual cost to the Federal Government of </w:t>
      </w:r>
      <w:r w:rsidRPr="004C18DB">
        <w:rPr>
          <w:rFonts w:asciiTheme="minorHAnsi" w:hAnsiTheme="minorHAnsi" w:cstheme="minorHAnsi"/>
          <w:spacing w:val="-3"/>
          <w:szCs w:val="24"/>
        </w:rPr>
        <w:t>$1,809,877.</w:t>
      </w:r>
    </w:p>
    <w:p w:rsidR="002D3306" w:rsidRPr="004C18DB" w:rsidP="002D3306" w14:paraId="4E85EB79" w14:textId="77777777">
      <w:pPr>
        <w:tabs>
          <w:tab w:val="left" w:pos="-720"/>
        </w:tabs>
        <w:suppressAutoHyphens/>
        <w:ind w:left="720"/>
        <w:rPr>
          <w:rFonts w:asciiTheme="minorHAnsi" w:hAnsiTheme="minorHAnsi" w:cstheme="minorHAnsi"/>
          <w:spacing w:val="-3"/>
          <w:szCs w:val="24"/>
        </w:rPr>
      </w:pPr>
    </w:p>
    <w:p w:rsidR="002D3306" w:rsidRPr="004C18DB" w:rsidP="002D3306" w14:paraId="02A75A47" w14:textId="77777777">
      <w:pPr>
        <w:tabs>
          <w:tab w:val="left" w:pos="-720"/>
        </w:tabs>
        <w:suppressAutoHyphens/>
        <w:ind w:left="720"/>
        <w:rPr>
          <w:rFonts w:asciiTheme="minorHAnsi" w:hAnsiTheme="minorHAnsi" w:cstheme="minorHAnsi"/>
          <w:b/>
          <w:spacing w:val="-3"/>
          <w:szCs w:val="24"/>
          <w:u w:val="single"/>
        </w:rPr>
      </w:pPr>
      <w:r w:rsidRPr="004C18DB">
        <w:rPr>
          <w:rFonts w:asciiTheme="minorHAnsi" w:hAnsiTheme="minorHAnsi" w:cstheme="minorHAnsi"/>
          <w:b/>
          <w:spacing w:val="-3"/>
          <w:szCs w:val="24"/>
          <w:u w:val="single"/>
        </w:rPr>
        <w:t>FISAP Form</w:t>
      </w:r>
    </w:p>
    <w:p w:rsidR="002D3306" w:rsidRPr="004C18DB" w:rsidP="002D3306" w14:paraId="693EF6AF" w14:textId="77777777">
      <w:pPr>
        <w:tabs>
          <w:tab w:val="left" w:pos="-720"/>
        </w:tabs>
        <w:suppressAutoHyphens/>
        <w:ind w:left="720"/>
        <w:rPr>
          <w:rFonts w:asciiTheme="minorHAnsi" w:hAnsiTheme="minorHAnsi" w:cstheme="minorHAnsi"/>
          <w:b/>
          <w:spacing w:val="-3"/>
          <w:szCs w:val="24"/>
        </w:rPr>
      </w:pPr>
      <w:r w:rsidRPr="004C18DB">
        <w:rPr>
          <w:rFonts w:asciiTheme="minorHAnsi" w:hAnsiTheme="minorHAnsi" w:cstheme="minorHAnsi"/>
          <w:b/>
          <w:spacing w:val="-3"/>
          <w:szCs w:val="24"/>
        </w:rPr>
        <w:t>FISAP Cost for Development of COD FISAP</w:t>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t>$0</w:t>
      </w:r>
    </w:p>
    <w:p w:rsidR="002D3306" w:rsidRPr="004C18DB" w:rsidP="002D3306" w14:paraId="2F8A8DD1" w14:textId="77777777">
      <w:pPr>
        <w:tabs>
          <w:tab w:val="left" w:pos="-720"/>
        </w:tabs>
        <w:suppressAutoHyphens/>
        <w:ind w:left="720"/>
        <w:rPr>
          <w:rFonts w:asciiTheme="minorHAnsi" w:hAnsiTheme="minorHAnsi" w:cstheme="minorHAnsi"/>
          <w:spacing w:val="-3"/>
          <w:szCs w:val="24"/>
        </w:rPr>
      </w:pPr>
      <w:r w:rsidRPr="004C18DB">
        <w:rPr>
          <w:rFonts w:asciiTheme="minorHAnsi" w:hAnsiTheme="minorHAnsi" w:cstheme="minorHAnsi"/>
          <w:spacing w:val="-3"/>
          <w:szCs w:val="24"/>
        </w:rPr>
        <w:t>Many tasks must be performed in order to develop the FISAP and make it available to campus-based participants. Some of the major costs include the costs for contractor services, the development of web server programs, the Technical Reference, documents for posting on the web (i.e. Electronic Announcements), and the FISAP Form and Instructions Booklet. The amount below reflects the cost all of these campus-based programs to the Department.  There are no funds designated for Development at this time.</w:t>
      </w:r>
    </w:p>
    <w:p w:rsidR="002D3306" w:rsidRPr="004C18DB" w:rsidP="002D3306" w14:paraId="716F472A" w14:textId="77777777">
      <w:pPr>
        <w:tabs>
          <w:tab w:val="left" w:pos="-720"/>
        </w:tabs>
        <w:suppressAutoHyphens/>
        <w:ind w:left="720"/>
        <w:rPr>
          <w:rFonts w:asciiTheme="minorHAnsi" w:hAnsiTheme="minorHAnsi" w:cstheme="minorHAnsi"/>
          <w:spacing w:val="-3"/>
          <w:szCs w:val="24"/>
        </w:rPr>
      </w:pPr>
    </w:p>
    <w:p w:rsidR="002D3306" w:rsidRPr="004C18DB" w:rsidP="002D3306" w14:paraId="550A17F5" w14:textId="2A930C39">
      <w:pPr>
        <w:tabs>
          <w:tab w:val="left" w:pos="-720"/>
        </w:tabs>
        <w:suppressAutoHyphens/>
        <w:ind w:left="720"/>
        <w:rPr>
          <w:rFonts w:asciiTheme="minorHAnsi" w:hAnsiTheme="minorHAnsi" w:cstheme="minorHAnsi"/>
          <w:b/>
          <w:spacing w:val="-3"/>
          <w:szCs w:val="24"/>
        </w:rPr>
      </w:pPr>
      <w:r w:rsidRPr="004C18DB">
        <w:rPr>
          <w:rFonts w:asciiTheme="minorHAnsi" w:hAnsiTheme="minorHAnsi" w:cstheme="minorHAnsi"/>
          <w:b/>
          <w:spacing w:val="-3"/>
          <w:szCs w:val="24"/>
        </w:rPr>
        <w:t>FISAP Publication and Distribution Costs</w:t>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t>$0</w:t>
      </w:r>
    </w:p>
    <w:p w:rsidR="002D3306" w:rsidRPr="004C18DB" w:rsidP="002D3306" w14:paraId="7F45FC06" w14:textId="77777777">
      <w:pPr>
        <w:tabs>
          <w:tab w:val="left" w:pos="-720"/>
        </w:tabs>
        <w:suppressAutoHyphens/>
        <w:ind w:left="720"/>
        <w:rPr>
          <w:rFonts w:asciiTheme="minorHAnsi" w:hAnsiTheme="minorHAnsi" w:cstheme="minorHAnsi"/>
          <w:spacing w:val="-3"/>
          <w:szCs w:val="24"/>
        </w:rPr>
      </w:pPr>
      <w:r w:rsidRPr="004C18DB">
        <w:rPr>
          <w:rFonts w:asciiTheme="minorHAnsi" w:hAnsiTheme="minorHAnsi" w:cstheme="minorHAnsi"/>
          <w:spacing w:val="-3"/>
          <w:szCs w:val="24"/>
        </w:rPr>
        <w:t>The FISAP cost is replacing the old Publication &amp; Distribution Cost calculation because it is no longer needed.</w:t>
      </w:r>
    </w:p>
    <w:p w:rsidR="002D3306" w:rsidRPr="004C18DB" w:rsidP="002D3306" w14:paraId="3AE27335" w14:textId="77777777">
      <w:pPr>
        <w:tabs>
          <w:tab w:val="left" w:pos="-720"/>
        </w:tabs>
        <w:suppressAutoHyphens/>
        <w:ind w:left="720"/>
        <w:rPr>
          <w:rFonts w:asciiTheme="minorHAnsi" w:hAnsiTheme="minorHAnsi" w:cstheme="minorHAnsi"/>
          <w:spacing w:val="-3"/>
          <w:szCs w:val="24"/>
        </w:rPr>
      </w:pPr>
    </w:p>
    <w:p w:rsidR="002D3306" w:rsidRPr="004C18DB" w:rsidP="002D3306" w14:paraId="1C6A8A01" w14:textId="77777777">
      <w:pPr>
        <w:tabs>
          <w:tab w:val="left" w:pos="1440"/>
        </w:tabs>
        <w:suppressAutoHyphens/>
        <w:ind w:left="720"/>
        <w:rPr>
          <w:rFonts w:asciiTheme="minorHAnsi" w:hAnsiTheme="minorHAnsi" w:cstheme="minorHAnsi"/>
          <w:b/>
          <w:spacing w:val="-3"/>
          <w:szCs w:val="24"/>
        </w:rPr>
      </w:pPr>
      <w:r w:rsidRPr="004C18DB">
        <w:rPr>
          <w:rFonts w:asciiTheme="minorHAnsi" w:hAnsiTheme="minorHAnsi" w:cstheme="minorHAnsi"/>
          <w:b/>
          <w:spacing w:val="-3"/>
          <w:szCs w:val="24"/>
        </w:rPr>
        <w:t>FISAP Operations &amp; Maintenance Contract Costs</w:t>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t>Total (8 months)</w:t>
      </w:r>
      <w:r w:rsidRPr="004C18DB">
        <w:rPr>
          <w:rFonts w:asciiTheme="minorHAnsi" w:hAnsiTheme="minorHAnsi" w:cstheme="minorHAnsi"/>
          <w:spacing w:val="-3"/>
          <w:szCs w:val="24"/>
        </w:rPr>
        <w:t xml:space="preserve"> </w:t>
      </w:r>
      <w:r w:rsidRPr="004C18DB">
        <w:rPr>
          <w:rFonts w:asciiTheme="minorHAnsi" w:hAnsiTheme="minorHAnsi" w:cstheme="minorHAnsi"/>
          <w:b/>
          <w:spacing w:val="-3"/>
          <w:szCs w:val="24"/>
        </w:rPr>
        <w:t>$472,360</w:t>
      </w:r>
    </w:p>
    <w:p w:rsidR="002D3306" w:rsidRPr="004C18DB" w:rsidP="002D3306" w14:paraId="3E3D025C" w14:textId="77777777">
      <w:pPr>
        <w:tabs>
          <w:tab w:val="left" w:pos="1440"/>
        </w:tabs>
        <w:suppressAutoHyphens/>
        <w:ind w:left="720"/>
        <w:rPr>
          <w:rFonts w:asciiTheme="minorHAnsi" w:hAnsiTheme="minorHAnsi" w:cstheme="minorHAnsi"/>
          <w:spacing w:val="-3"/>
          <w:szCs w:val="24"/>
        </w:rPr>
      </w:pPr>
      <w:r w:rsidRPr="004C18DB">
        <w:rPr>
          <w:rFonts w:asciiTheme="minorHAnsi" w:hAnsiTheme="minorHAnsi" w:cstheme="minorHAnsi"/>
          <w:spacing w:val="-3"/>
          <w:szCs w:val="24"/>
        </w:rPr>
        <w:t>The cost of collecting and maintaining the data is justified because FISAP data is made available to, and widely used, throughout the Department for analysis, historical research, budget evaluations, audits, program reviews, OIG inquiries, etc.  In addition, the information collected justifies institutional funding for the next award period.</w:t>
      </w:r>
    </w:p>
    <w:p w:rsidR="002D3306" w:rsidRPr="004C18DB" w:rsidP="002D3306" w14:paraId="45904D87" w14:textId="77777777">
      <w:pPr>
        <w:tabs>
          <w:tab w:val="left" w:pos="1440"/>
        </w:tabs>
        <w:suppressAutoHyphens/>
        <w:ind w:left="720"/>
        <w:rPr>
          <w:rFonts w:asciiTheme="minorHAnsi" w:hAnsiTheme="minorHAnsi" w:cstheme="minorHAnsi"/>
          <w:spacing w:val="-3"/>
          <w:szCs w:val="24"/>
        </w:rPr>
      </w:pPr>
    </w:p>
    <w:p w:rsidR="002D3306" w:rsidRPr="004C18DB" w:rsidP="002D3306" w14:paraId="4BFB002B" w14:textId="77777777">
      <w:pPr>
        <w:tabs>
          <w:tab w:val="left" w:pos="1440"/>
        </w:tabs>
        <w:suppressAutoHyphens/>
        <w:ind w:left="720"/>
        <w:rPr>
          <w:rFonts w:asciiTheme="minorHAnsi" w:hAnsiTheme="minorHAnsi" w:cstheme="minorHAnsi"/>
          <w:spacing w:val="-3"/>
          <w:szCs w:val="24"/>
        </w:rPr>
      </w:pPr>
      <w:r w:rsidRPr="004C18DB">
        <w:rPr>
          <w:rFonts w:asciiTheme="minorHAnsi" w:hAnsiTheme="minorHAnsi" w:cstheme="minorHAnsi"/>
          <w:spacing w:val="-3"/>
          <w:szCs w:val="24"/>
        </w:rPr>
        <w:t xml:space="preserve">The current annual O&amp;M costs for the Campus-Based processing system includes the FISAP and Reallocation forms as well as the TCLI Directory*, Work Colleges Application and Expenditure forms**, and the CTP-Intellectual disabilities form***.  </w:t>
      </w:r>
      <w:r w:rsidRPr="004C18DB">
        <w:rPr>
          <w:rFonts w:asciiTheme="minorHAnsi" w:hAnsiTheme="minorHAnsi" w:cstheme="minorHAnsi"/>
          <w:spacing w:val="-3"/>
          <w:szCs w:val="24"/>
        </w:rPr>
        <w:br/>
      </w:r>
    </w:p>
    <w:p w:rsidR="002D3306" w:rsidRPr="004C18DB" w:rsidP="002D3306" w14:paraId="77426070" w14:textId="77777777">
      <w:pPr>
        <w:tabs>
          <w:tab w:val="left" w:pos="1440"/>
        </w:tabs>
        <w:suppressAutoHyphens/>
        <w:ind w:left="720"/>
        <w:rPr>
          <w:rFonts w:asciiTheme="minorHAnsi" w:hAnsiTheme="minorHAnsi" w:cstheme="minorHAnsi"/>
          <w:spacing w:val="-3"/>
          <w:szCs w:val="24"/>
        </w:rPr>
      </w:pPr>
      <w:r w:rsidRPr="004C18DB">
        <w:rPr>
          <w:rFonts w:asciiTheme="minorHAnsi" w:hAnsiTheme="minorHAnsi" w:cstheme="minorHAnsi"/>
          <w:spacing w:val="-3"/>
          <w:szCs w:val="24"/>
        </w:rPr>
        <w:t>*The TCLI Directory is a separate data collection with OMB control number 1845-0077.</w:t>
      </w:r>
    </w:p>
    <w:p w:rsidR="002D3306" w:rsidRPr="004C18DB" w:rsidP="002D3306" w14:paraId="487A9B54" w14:textId="77777777">
      <w:pPr>
        <w:tabs>
          <w:tab w:val="left" w:pos="1440"/>
        </w:tabs>
        <w:suppressAutoHyphens/>
        <w:ind w:left="720"/>
        <w:rPr>
          <w:rFonts w:asciiTheme="minorHAnsi" w:hAnsiTheme="minorHAnsi" w:cstheme="minorHAnsi"/>
          <w:spacing w:val="-3"/>
          <w:szCs w:val="24"/>
        </w:rPr>
      </w:pPr>
      <w:r w:rsidRPr="004C18DB">
        <w:rPr>
          <w:rFonts w:asciiTheme="minorHAnsi" w:hAnsiTheme="minorHAnsi" w:cstheme="minorHAnsi"/>
          <w:spacing w:val="-3"/>
          <w:szCs w:val="24"/>
        </w:rPr>
        <w:t>**The number of schools participating in the Work Colleges program is at 10 participants with OMB control numbers 1845-0152 and 1845-0153.</w:t>
      </w:r>
    </w:p>
    <w:p w:rsidR="002D3306" w:rsidRPr="004C18DB" w:rsidP="002D3306" w14:paraId="22A5BC0F" w14:textId="77777777">
      <w:pPr>
        <w:tabs>
          <w:tab w:val="left" w:pos="1440"/>
        </w:tabs>
        <w:suppressAutoHyphens/>
        <w:ind w:left="720"/>
        <w:rPr>
          <w:rFonts w:asciiTheme="minorHAnsi" w:hAnsiTheme="minorHAnsi" w:cstheme="minorHAnsi"/>
          <w:spacing w:val="-3"/>
          <w:szCs w:val="24"/>
        </w:rPr>
      </w:pPr>
      <w:r w:rsidRPr="004C18DB">
        <w:rPr>
          <w:rFonts w:asciiTheme="minorHAnsi" w:hAnsiTheme="minorHAnsi" w:cstheme="minorHAnsi"/>
          <w:spacing w:val="-3"/>
          <w:szCs w:val="24"/>
        </w:rPr>
        <w:t>***The CTP is a separate data collection with OMB control number 1845-0113.</w:t>
      </w:r>
    </w:p>
    <w:p w:rsidR="002D3306" w:rsidRPr="004C18DB" w:rsidP="002D3306" w14:paraId="4B2C5D6C" w14:textId="77777777">
      <w:pPr>
        <w:tabs>
          <w:tab w:val="left" w:pos="-720"/>
        </w:tabs>
        <w:suppressAutoHyphens/>
        <w:ind w:left="720"/>
        <w:rPr>
          <w:rFonts w:asciiTheme="minorHAnsi" w:hAnsiTheme="minorHAnsi" w:cstheme="minorHAnsi"/>
          <w:spacing w:val="-3"/>
          <w:szCs w:val="24"/>
        </w:rPr>
      </w:pPr>
      <w:r w:rsidRPr="004C18DB">
        <w:rPr>
          <w:rFonts w:asciiTheme="minorHAnsi" w:hAnsiTheme="minorHAnsi" w:cstheme="minorHAnsi"/>
          <w:b/>
          <w:spacing w:val="-3"/>
          <w:szCs w:val="24"/>
        </w:rPr>
        <w:t>Note:</w:t>
      </w:r>
      <w:r w:rsidRPr="004C18DB">
        <w:rPr>
          <w:rFonts w:asciiTheme="minorHAnsi" w:hAnsiTheme="minorHAnsi" w:cstheme="minorHAnsi"/>
          <w:b/>
          <w:spacing w:val="-3"/>
          <w:szCs w:val="24"/>
        </w:rPr>
        <w:br/>
      </w:r>
      <w:r w:rsidRPr="004C18DB">
        <w:rPr>
          <w:rFonts w:asciiTheme="minorHAnsi" w:hAnsiTheme="minorHAnsi" w:cstheme="minorHAnsi"/>
          <w:spacing w:val="-3"/>
          <w:szCs w:val="24"/>
        </w:rPr>
        <w:t>Annual O&amp;M Contract cost:  $708,540.00 / monthly cost= $59,045.00 allotted as:</w:t>
      </w:r>
      <w:r w:rsidRPr="004C18DB">
        <w:rPr>
          <w:rFonts w:asciiTheme="minorHAnsi" w:hAnsiTheme="minorHAnsi" w:cstheme="minorHAnsi"/>
          <w:spacing w:val="-3"/>
          <w:szCs w:val="24"/>
        </w:rPr>
        <w:br/>
        <w:t>FISAP (8 months) = $472,360.00</w:t>
      </w:r>
      <w:r w:rsidRPr="004C18DB">
        <w:rPr>
          <w:rFonts w:asciiTheme="minorHAnsi" w:hAnsiTheme="minorHAnsi" w:cstheme="minorHAnsi"/>
          <w:spacing w:val="-3"/>
          <w:szCs w:val="24"/>
        </w:rPr>
        <w:br/>
        <w:t>Reallocation (1 month) = $59,045.00</w:t>
      </w:r>
      <w:r w:rsidRPr="004C18DB">
        <w:rPr>
          <w:rFonts w:asciiTheme="minorHAnsi" w:hAnsiTheme="minorHAnsi" w:cstheme="minorHAnsi"/>
          <w:spacing w:val="-3"/>
          <w:szCs w:val="24"/>
        </w:rPr>
        <w:br/>
        <w:t>TCLI Directory (1 month) = $59,045.00</w:t>
      </w:r>
      <w:r w:rsidRPr="004C18DB">
        <w:rPr>
          <w:rFonts w:asciiTheme="minorHAnsi" w:hAnsiTheme="minorHAnsi" w:cstheme="minorHAnsi"/>
          <w:spacing w:val="-3"/>
          <w:szCs w:val="24"/>
        </w:rPr>
        <w:br/>
        <w:t>Work Colleges (1 month) = $59,045.00</w:t>
      </w:r>
      <w:r w:rsidRPr="004C18DB">
        <w:rPr>
          <w:rFonts w:asciiTheme="minorHAnsi" w:hAnsiTheme="minorHAnsi" w:cstheme="minorHAnsi"/>
          <w:spacing w:val="-3"/>
          <w:szCs w:val="24"/>
        </w:rPr>
        <w:br/>
        <w:t>CTP-Intellectual Disabilities (1 month) = $59,045.00</w:t>
      </w:r>
    </w:p>
    <w:p w:rsidR="002D3306" w:rsidRPr="004C18DB" w:rsidP="002D3306" w14:paraId="0008C723" w14:textId="77777777">
      <w:pPr>
        <w:tabs>
          <w:tab w:val="left" w:pos="-720"/>
        </w:tabs>
        <w:suppressAutoHyphens/>
        <w:ind w:left="720"/>
        <w:rPr>
          <w:rFonts w:asciiTheme="minorHAnsi" w:hAnsiTheme="minorHAnsi" w:cstheme="minorHAnsi"/>
          <w:spacing w:val="-3"/>
          <w:szCs w:val="24"/>
        </w:rPr>
      </w:pPr>
    </w:p>
    <w:p w:rsidR="002D3306" w:rsidRPr="004C18DB" w:rsidP="002D3306" w14:paraId="6BCC4774" w14:textId="77777777">
      <w:pPr>
        <w:tabs>
          <w:tab w:val="left" w:pos="1440"/>
        </w:tabs>
        <w:suppressAutoHyphens/>
        <w:ind w:left="720"/>
        <w:rPr>
          <w:rFonts w:asciiTheme="minorHAnsi" w:hAnsiTheme="minorHAnsi" w:cstheme="minorHAnsi"/>
          <w:b/>
          <w:spacing w:val="-3"/>
          <w:szCs w:val="24"/>
        </w:rPr>
      </w:pPr>
      <w:r w:rsidRPr="004C18DB">
        <w:rPr>
          <w:rFonts w:asciiTheme="minorHAnsi" w:hAnsiTheme="minorHAnsi" w:cstheme="minorHAnsi"/>
          <w:b/>
          <w:spacing w:val="-3"/>
          <w:szCs w:val="24"/>
        </w:rPr>
        <w:t>FISAP Staffing Operations and Overhead Costs</w:t>
      </w:r>
      <w:r w:rsidRPr="004C18DB">
        <w:rPr>
          <w:rFonts w:asciiTheme="minorHAnsi" w:hAnsiTheme="minorHAnsi" w:cstheme="minorHAnsi"/>
          <w:b/>
          <w:spacing w:val="-3"/>
          <w:szCs w:val="24"/>
        </w:rPr>
        <w:tab/>
        <w:t>Yearly Staff Costs $</w:t>
      </w:r>
      <w:r w:rsidRPr="004C18DB">
        <w:rPr>
          <w:rFonts w:asciiTheme="minorHAnsi" w:hAnsiTheme="minorHAnsi" w:cstheme="minorHAnsi"/>
          <w:b/>
          <w:bCs/>
          <w:spacing w:val="-3"/>
          <w:szCs w:val="24"/>
        </w:rPr>
        <w:t>845,739.70</w:t>
      </w:r>
    </w:p>
    <w:p w:rsidR="002D3306" w:rsidRPr="004C18DB" w:rsidP="002D3306" w14:paraId="16DE20C2" w14:textId="77777777">
      <w:pPr>
        <w:tabs>
          <w:tab w:val="left" w:pos="1440"/>
        </w:tabs>
        <w:suppressAutoHyphens/>
        <w:ind w:left="720"/>
        <w:rPr>
          <w:rFonts w:asciiTheme="minorHAnsi" w:hAnsiTheme="minorHAnsi" w:cstheme="minorHAnsi"/>
          <w:b/>
          <w:spacing w:val="-3"/>
          <w:szCs w:val="24"/>
        </w:rPr>
      </w:pPr>
      <w:r w:rsidRPr="004C18DB">
        <w:rPr>
          <w:rFonts w:asciiTheme="minorHAnsi" w:hAnsiTheme="minorHAnsi" w:cstheme="minorHAnsi"/>
          <w:spacing w:val="-3"/>
          <w:szCs w:val="24"/>
        </w:rPr>
        <w:t xml:space="preserve">A staff of 8 FTE’s is required for the operation of the campus-based programs and the electronic processing system. This includes the FISAP and Reallocation forms as well as the TCLI Directory, Work Colleges Application and Expenditure forms, and the CTP-Intellectual disabilities form as noted above. As the driving force in these operations, the FISAP is the instrument by which institutions request campus-based funding and report program expenditures. The FISAP provides the data that is required to perform a variety of processes such as funding calculations, program compliance, analysis, customer service, information publication and distribution, accounting and fund control, etc. The types of program staff include managers, accountants, financial management specialists, technicians, systems analysts, and clerical staff.  </w:t>
      </w:r>
    </w:p>
    <w:p w:rsidR="002D3306" w:rsidP="002D3306" w14:paraId="629B7E14" w14:textId="3DAA16A1">
      <w:pPr>
        <w:tabs>
          <w:tab w:val="left" w:pos="0"/>
          <w:tab w:val="left" w:pos="720"/>
        </w:tabs>
        <w:suppressAutoHyphens/>
        <w:ind w:left="720"/>
        <w:rPr>
          <w:rFonts w:asciiTheme="minorHAnsi" w:hAnsiTheme="minorHAnsi" w:cstheme="minorHAnsi"/>
          <w:spacing w:val="-3"/>
          <w:szCs w:val="24"/>
        </w:rPr>
      </w:pPr>
      <w:r w:rsidRPr="004C18DB">
        <w:rPr>
          <w:rFonts w:asciiTheme="minorHAnsi" w:hAnsiTheme="minorHAnsi" w:cstheme="minorHAnsi"/>
          <w:spacing w:val="-3"/>
          <w:szCs w:val="24"/>
        </w:rPr>
        <w:t>Using the Salary Table 2021-GS Effective January 2021, the average hourly wage of the current staff composition is $60.16. The total estimated annual salary of the 9 FTE’s is $1,126,195</w:t>
      </w:r>
      <w:r w:rsidR="00DA7EC2">
        <w:rPr>
          <w:rFonts w:asciiTheme="minorHAnsi" w:hAnsiTheme="minorHAnsi" w:cstheme="minorHAnsi"/>
          <w:spacing w:val="-3"/>
          <w:szCs w:val="24"/>
        </w:rPr>
        <w:t>.</w:t>
      </w:r>
    </w:p>
    <w:p w:rsidR="00DA7EC2" w:rsidRPr="004C18DB" w:rsidP="002D3306" w14:paraId="4132FA33" w14:textId="77777777">
      <w:pPr>
        <w:tabs>
          <w:tab w:val="left" w:pos="0"/>
          <w:tab w:val="left" w:pos="720"/>
        </w:tabs>
        <w:suppressAutoHyphens/>
        <w:ind w:left="720"/>
        <w:rPr>
          <w:rFonts w:asciiTheme="minorHAnsi" w:hAnsiTheme="minorHAnsi" w:cstheme="minorHAnsi"/>
          <w:b/>
          <w:spacing w:val="-3"/>
          <w:szCs w:val="24"/>
        </w:rPr>
      </w:pPr>
    </w:p>
    <w:p w:rsidR="002D3306" w:rsidRPr="004C18DB" w:rsidP="002D3306" w14:paraId="0240A9AC" w14:textId="77777777">
      <w:pPr>
        <w:tabs>
          <w:tab w:val="left" w:pos="-720"/>
        </w:tabs>
        <w:suppressAutoHyphens/>
        <w:ind w:left="720"/>
        <w:rPr>
          <w:rFonts w:asciiTheme="minorHAnsi" w:hAnsiTheme="minorHAnsi" w:cstheme="minorHAnsi"/>
          <w:spacing w:val="-3"/>
          <w:szCs w:val="24"/>
        </w:rPr>
      </w:pPr>
      <w:r w:rsidRPr="004C18DB">
        <w:rPr>
          <w:rFonts w:asciiTheme="minorHAnsi" w:hAnsiTheme="minorHAnsi" w:cstheme="minorHAnsi"/>
          <w:b/>
          <w:spacing w:val="-3"/>
          <w:szCs w:val="24"/>
        </w:rPr>
        <w:t>Note:</w:t>
      </w:r>
      <w:r w:rsidRPr="004C18DB">
        <w:rPr>
          <w:rFonts w:asciiTheme="minorHAnsi" w:hAnsiTheme="minorHAnsi" w:cstheme="minorHAnsi"/>
          <w:spacing w:val="-3"/>
          <w:szCs w:val="24"/>
        </w:rPr>
        <w:br/>
        <w:t>The total amount of annual salaries devoted Campus-Based activities is divided as:</w:t>
      </w:r>
      <w:r w:rsidRPr="004C18DB">
        <w:rPr>
          <w:rFonts w:asciiTheme="minorHAnsi" w:hAnsiTheme="minorHAnsi" w:cstheme="minorHAnsi"/>
          <w:spacing w:val="-3"/>
          <w:szCs w:val="24"/>
          <w:highlight w:val="yellow"/>
        </w:rPr>
        <w:br/>
      </w:r>
      <w:r w:rsidRPr="004C18DB">
        <w:rPr>
          <w:rFonts w:asciiTheme="minorHAnsi" w:hAnsiTheme="minorHAnsi" w:cstheme="minorHAnsi"/>
          <w:spacing w:val="-3"/>
          <w:szCs w:val="24"/>
        </w:rPr>
        <w:t>Reallocation (3 staff @ 120 hrs ea x $60.16) = $21,657.60</w:t>
      </w:r>
      <w:r w:rsidRPr="004C18DB">
        <w:rPr>
          <w:rFonts w:asciiTheme="minorHAnsi" w:hAnsiTheme="minorHAnsi" w:cstheme="minorHAnsi"/>
          <w:spacing w:val="-3"/>
          <w:szCs w:val="24"/>
          <w:highlight w:val="yellow"/>
        </w:rPr>
        <w:br/>
      </w:r>
      <w:r w:rsidRPr="004C18DB">
        <w:rPr>
          <w:rFonts w:asciiTheme="minorHAnsi" w:hAnsiTheme="minorHAnsi" w:cstheme="minorHAnsi"/>
          <w:spacing w:val="-3"/>
          <w:szCs w:val="24"/>
        </w:rPr>
        <w:t>TCLI Directory (1 staff @ 80 hrs x $60.16) = $4,812.80</w:t>
      </w:r>
      <w:r w:rsidRPr="004C18DB">
        <w:rPr>
          <w:rFonts w:asciiTheme="minorHAnsi" w:hAnsiTheme="minorHAnsi" w:cstheme="minorHAnsi"/>
          <w:spacing w:val="-3"/>
          <w:szCs w:val="24"/>
          <w:highlight w:val="yellow"/>
        </w:rPr>
        <w:br/>
      </w:r>
      <w:r w:rsidRPr="004C18DB">
        <w:rPr>
          <w:rFonts w:asciiTheme="minorHAnsi" w:hAnsiTheme="minorHAnsi" w:cstheme="minorHAnsi"/>
          <w:spacing w:val="-3"/>
          <w:szCs w:val="24"/>
        </w:rPr>
        <w:t>Work Colleges (1 staff @ 160 hrs x $60.16) = $9,625.60</w:t>
      </w:r>
      <w:r w:rsidRPr="004C18DB">
        <w:rPr>
          <w:rFonts w:asciiTheme="minorHAnsi" w:hAnsiTheme="minorHAnsi" w:cstheme="minorHAnsi"/>
          <w:spacing w:val="-3"/>
          <w:szCs w:val="24"/>
          <w:highlight w:val="yellow"/>
        </w:rPr>
        <w:br/>
      </w:r>
      <w:r w:rsidRPr="004C18DB">
        <w:rPr>
          <w:rFonts w:asciiTheme="minorHAnsi" w:hAnsiTheme="minorHAnsi" w:cstheme="minorHAnsi"/>
          <w:spacing w:val="-3"/>
          <w:szCs w:val="24"/>
        </w:rPr>
        <w:t>CTP-Intellectual Disabilities (1 staff @ 160 hrs x $60.16) = $9,625.60</w:t>
      </w:r>
      <w:r w:rsidRPr="004C18DB">
        <w:rPr>
          <w:rFonts w:asciiTheme="minorHAnsi" w:hAnsiTheme="minorHAnsi" w:cstheme="minorHAnsi"/>
          <w:spacing w:val="-3"/>
          <w:szCs w:val="24"/>
          <w:highlight w:val="yellow"/>
        </w:rPr>
        <w:br/>
      </w:r>
      <w:r w:rsidRPr="004C18DB">
        <w:rPr>
          <w:rFonts w:asciiTheme="minorHAnsi" w:hAnsiTheme="minorHAnsi" w:cstheme="minorHAnsi"/>
          <w:spacing w:val="-3"/>
          <w:szCs w:val="24"/>
        </w:rPr>
        <w:t>FISAP (Total proportioned annual salary less Reallocation, TCLI Directory, Work Colleges, CTP-Intellectual Disabilities) = $1,080,473.36</w:t>
      </w:r>
    </w:p>
    <w:p w:rsidR="002D3306" w:rsidRPr="004C18DB" w:rsidP="002D3306" w14:paraId="05B9EE40" w14:textId="77777777">
      <w:pPr>
        <w:tabs>
          <w:tab w:val="left" w:pos="-720"/>
        </w:tabs>
        <w:suppressAutoHyphens/>
        <w:ind w:left="720"/>
        <w:rPr>
          <w:rFonts w:asciiTheme="minorHAnsi" w:hAnsiTheme="minorHAnsi" w:cstheme="minorHAnsi"/>
          <w:spacing w:val="-3"/>
          <w:szCs w:val="24"/>
        </w:rPr>
      </w:pPr>
    </w:p>
    <w:p w:rsidR="002D3306" w:rsidRPr="004C18DB" w:rsidP="002D3306" w14:paraId="48F5BAA9" w14:textId="77777777">
      <w:pPr>
        <w:tabs>
          <w:tab w:val="left" w:pos="0"/>
          <w:tab w:val="left" w:pos="720"/>
        </w:tabs>
        <w:suppressAutoHyphens/>
        <w:ind w:left="720"/>
        <w:rPr>
          <w:rFonts w:asciiTheme="minorHAnsi" w:hAnsiTheme="minorHAnsi" w:cstheme="minorHAnsi"/>
          <w:spacing w:val="-3"/>
          <w:szCs w:val="24"/>
        </w:rPr>
      </w:pPr>
      <w:r w:rsidRPr="004C18DB">
        <w:rPr>
          <w:rFonts w:asciiTheme="minorHAnsi" w:hAnsiTheme="minorHAnsi" w:cstheme="minorHAnsi"/>
          <w:b/>
          <w:spacing w:val="-3"/>
          <w:szCs w:val="24"/>
        </w:rPr>
        <w:t>FISAP Yearly Overhead Costs</w:t>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t>Yearly Overhead Costs</w:t>
      </w:r>
      <w:r w:rsidRPr="004C18DB">
        <w:rPr>
          <w:rFonts w:asciiTheme="minorHAnsi" w:hAnsiTheme="minorHAnsi" w:cstheme="minorHAnsi"/>
          <w:spacing w:val="-3"/>
          <w:szCs w:val="24"/>
        </w:rPr>
        <w:t xml:space="preserve"> </w:t>
      </w:r>
      <w:r w:rsidRPr="004C18DB">
        <w:rPr>
          <w:rFonts w:asciiTheme="minorHAnsi" w:hAnsiTheme="minorHAnsi" w:cstheme="minorHAnsi"/>
          <w:b/>
          <w:spacing w:val="-3"/>
          <w:szCs w:val="24"/>
        </w:rPr>
        <w:t>$   172,875.74</w:t>
      </w:r>
    </w:p>
    <w:p w:rsidR="002D3306" w:rsidRPr="004C18DB" w:rsidP="002D3306" w14:paraId="1606B2B7" w14:textId="77777777">
      <w:pPr>
        <w:tabs>
          <w:tab w:val="left" w:pos="0"/>
          <w:tab w:val="left" w:pos="720"/>
        </w:tabs>
        <w:suppressAutoHyphens/>
        <w:ind w:left="720"/>
        <w:rPr>
          <w:rFonts w:asciiTheme="minorHAnsi" w:hAnsiTheme="minorHAnsi" w:cstheme="minorHAnsi"/>
          <w:spacing w:val="-3"/>
          <w:szCs w:val="24"/>
        </w:rPr>
      </w:pPr>
      <w:r w:rsidRPr="004C18DB">
        <w:rPr>
          <w:rFonts w:asciiTheme="minorHAnsi" w:hAnsiTheme="minorHAnsi" w:cstheme="minorHAnsi"/>
          <w:spacing w:val="-3"/>
          <w:szCs w:val="24"/>
        </w:rPr>
        <w:t>A standard budget estimate of 16% was used to determine the overhead costs of staff operations including such items as equipment, utilities, work materials, etc. ($1,080,473.36 x 16% = $172,875.74)</w:t>
      </w:r>
    </w:p>
    <w:p w:rsidR="002D3306" w:rsidRPr="004C18DB" w:rsidP="002D3306" w14:paraId="1A02CC0F" w14:textId="77777777">
      <w:pPr>
        <w:tabs>
          <w:tab w:val="left" w:pos="0"/>
          <w:tab w:val="left" w:pos="720"/>
        </w:tabs>
        <w:suppressAutoHyphens/>
        <w:ind w:left="720"/>
        <w:rPr>
          <w:rFonts w:asciiTheme="minorHAnsi" w:hAnsiTheme="minorHAnsi" w:cstheme="minorHAnsi"/>
          <w:spacing w:val="-3"/>
          <w:szCs w:val="24"/>
        </w:rPr>
      </w:pPr>
    </w:p>
    <w:p w:rsidR="002D3306" w:rsidRPr="004C18DB" w:rsidP="002D3306" w14:paraId="785B0A0D" w14:textId="77777777">
      <w:pPr>
        <w:tabs>
          <w:tab w:val="left" w:pos="0"/>
          <w:tab w:val="left" w:pos="720"/>
        </w:tabs>
        <w:suppressAutoHyphens/>
        <w:ind w:left="720"/>
        <w:rPr>
          <w:rFonts w:asciiTheme="minorHAnsi" w:hAnsiTheme="minorHAnsi" w:cstheme="minorHAnsi"/>
          <w:szCs w:val="24"/>
          <w:u w:val="double"/>
        </w:rPr>
      </w:pPr>
      <w:r w:rsidRPr="004C18DB">
        <w:rPr>
          <w:rFonts w:asciiTheme="minorHAnsi" w:hAnsiTheme="minorHAnsi" w:cstheme="minorHAnsi"/>
          <w:b/>
          <w:spacing w:val="-3"/>
          <w:szCs w:val="24"/>
          <w:u w:val="double"/>
        </w:rPr>
        <w:t>Total Staff and Overhead Costs</w:t>
      </w:r>
      <w:r w:rsidRPr="004C18DB">
        <w:rPr>
          <w:rFonts w:asciiTheme="minorHAnsi" w:hAnsiTheme="minorHAnsi" w:cstheme="minorHAnsi"/>
          <w:b/>
          <w:spacing w:val="-3"/>
          <w:szCs w:val="24"/>
          <w:u w:val="double"/>
        </w:rPr>
        <w:tab/>
        <w:t>$ 1,253,349</w:t>
      </w:r>
    </w:p>
    <w:p w:rsidR="002D3306" w:rsidRPr="004C18DB" w:rsidP="002D3306" w14:paraId="579D942D" w14:textId="77777777">
      <w:pPr>
        <w:ind w:left="720"/>
        <w:rPr>
          <w:rFonts w:asciiTheme="minorHAnsi" w:hAnsiTheme="minorHAnsi" w:cstheme="minorHAnsi"/>
          <w:szCs w:val="24"/>
        </w:rPr>
      </w:pPr>
    </w:p>
    <w:p w:rsidR="00F306B2" w:rsidP="00F306B2" w14:paraId="3CAC0959" w14:textId="77777777">
      <w:pPr>
        <w:ind w:left="720"/>
        <w:rPr>
          <w:rFonts w:asciiTheme="minorHAnsi" w:hAnsiTheme="minorHAnsi" w:cstheme="minorHAnsi"/>
          <w:b/>
          <w:szCs w:val="24"/>
          <w:u w:val="single"/>
        </w:rPr>
      </w:pPr>
      <w:r w:rsidRPr="004C18DB">
        <w:rPr>
          <w:rFonts w:asciiTheme="minorHAnsi" w:hAnsiTheme="minorHAnsi" w:cstheme="minorHAnsi"/>
          <w:b/>
          <w:szCs w:val="24"/>
          <w:u w:val="single"/>
        </w:rPr>
        <w:t>Reallocation Form</w:t>
      </w:r>
    </w:p>
    <w:p w:rsidR="002D3306" w:rsidRPr="004C18DB" w:rsidP="00F306B2" w14:paraId="669730EB" w14:textId="314CC33B">
      <w:pPr>
        <w:ind w:left="720"/>
        <w:rPr>
          <w:rFonts w:asciiTheme="minorHAnsi" w:hAnsiTheme="minorHAnsi" w:cstheme="minorHAnsi"/>
          <w:b/>
          <w:spacing w:val="-3"/>
          <w:szCs w:val="24"/>
        </w:rPr>
      </w:pPr>
      <w:r w:rsidRPr="004C18DB">
        <w:rPr>
          <w:rFonts w:asciiTheme="minorHAnsi" w:hAnsiTheme="minorHAnsi" w:cstheme="minorHAnsi"/>
          <w:b/>
          <w:spacing w:val="-3"/>
          <w:szCs w:val="24"/>
        </w:rPr>
        <w:t>Reallocation Form Publication and Distribution</w:t>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t>$0</w:t>
      </w:r>
    </w:p>
    <w:p w:rsidR="002D3306" w:rsidRPr="004C18DB" w:rsidP="002D3306" w14:paraId="513C9417" w14:textId="77777777">
      <w:pPr>
        <w:ind w:left="720"/>
        <w:rPr>
          <w:rFonts w:asciiTheme="minorHAnsi" w:hAnsiTheme="minorHAnsi" w:cstheme="minorHAnsi"/>
          <w:spacing w:val="-3"/>
          <w:szCs w:val="24"/>
        </w:rPr>
      </w:pPr>
      <w:r w:rsidRPr="004C18DB">
        <w:rPr>
          <w:rFonts w:asciiTheme="minorHAnsi" w:hAnsiTheme="minorHAnsi" w:cstheme="minorHAnsi"/>
          <w:spacing w:val="-3"/>
          <w:szCs w:val="24"/>
        </w:rPr>
        <w:t>Publication and distribution cost to the campus-based programs has been eliminated. The conversion to the FISAP has transferred all costs, including software production and distribution, into the overall contract for services made by the Department.</w:t>
      </w:r>
    </w:p>
    <w:p w:rsidR="002D3306" w:rsidRPr="004C18DB" w:rsidP="002D3306" w14:paraId="1C0A25B4" w14:textId="77777777">
      <w:pPr>
        <w:ind w:left="720"/>
        <w:rPr>
          <w:rFonts w:asciiTheme="minorHAnsi" w:hAnsiTheme="minorHAnsi" w:cstheme="minorHAnsi"/>
          <w:szCs w:val="24"/>
        </w:rPr>
      </w:pPr>
    </w:p>
    <w:p w:rsidR="002D3306" w:rsidRPr="004C18DB" w:rsidP="002D3306" w14:paraId="4C551AB8" w14:textId="77777777">
      <w:pPr>
        <w:ind w:left="720"/>
        <w:rPr>
          <w:rFonts w:asciiTheme="minorHAnsi" w:hAnsiTheme="minorHAnsi" w:cstheme="minorHAnsi"/>
          <w:b/>
          <w:spacing w:val="-3"/>
          <w:szCs w:val="24"/>
        </w:rPr>
      </w:pPr>
      <w:r w:rsidRPr="004C18DB">
        <w:rPr>
          <w:rFonts w:asciiTheme="minorHAnsi" w:hAnsiTheme="minorHAnsi" w:cstheme="minorHAnsi"/>
          <w:b/>
          <w:spacing w:val="-3"/>
          <w:szCs w:val="24"/>
        </w:rPr>
        <w:t>Reallocation Form Operations &amp; Maintenance Contract Costs</w:t>
      </w:r>
      <w:r w:rsidRPr="004C18DB">
        <w:rPr>
          <w:rFonts w:asciiTheme="minorHAnsi" w:hAnsiTheme="minorHAnsi" w:cstheme="minorHAnsi"/>
          <w:b/>
          <w:spacing w:val="-3"/>
          <w:szCs w:val="24"/>
        </w:rPr>
        <w:tab/>
        <w:t xml:space="preserve">Total (1 month) </w:t>
      </w:r>
    </w:p>
    <w:p w:rsidR="002D3306" w:rsidRPr="004C18DB" w:rsidP="002D3306" w14:paraId="77EEE4C0" w14:textId="77777777">
      <w:pPr>
        <w:ind w:left="720"/>
        <w:rPr>
          <w:rFonts w:asciiTheme="minorHAnsi" w:hAnsiTheme="minorHAnsi" w:cstheme="minorHAnsi"/>
          <w:spacing w:val="-3"/>
          <w:szCs w:val="24"/>
        </w:rPr>
      </w:pPr>
      <w:r w:rsidRPr="004C18DB">
        <w:rPr>
          <w:rFonts w:asciiTheme="minorHAnsi" w:hAnsiTheme="minorHAnsi" w:cstheme="minorHAnsi"/>
          <w:b/>
          <w:spacing w:val="-3"/>
          <w:szCs w:val="24"/>
        </w:rPr>
        <w:t>$ 59,045</w:t>
      </w:r>
    </w:p>
    <w:p w:rsidR="002D3306" w:rsidRPr="004C18DB" w:rsidP="002D3306" w14:paraId="22CA86C6" w14:textId="77777777">
      <w:pPr>
        <w:ind w:left="720"/>
        <w:rPr>
          <w:rFonts w:asciiTheme="minorHAnsi" w:hAnsiTheme="minorHAnsi" w:cstheme="minorHAnsi"/>
          <w:spacing w:val="-3"/>
          <w:szCs w:val="24"/>
        </w:rPr>
      </w:pPr>
    </w:p>
    <w:p w:rsidR="002D3306" w:rsidRPr="004C18DB" w:rsidP="002D3306" w14:paraId="4EA1187F" w14:textId="77777777">
      <w:pPr>
        <w:tabs>
          <w:tab w:val="left" w:pos="1440"/>
        </w:tabs>
        <w:suppressAutoHyphens/>
        <w:ind w:left="720"/>
        <w:rPr>
          <w:rFonts w:asciiTheme="minorHAnsi" w:hAnsiTheme="minorHAnsi" w:cstheme="minorHAnsi"/>
          <w:b/>
          <w:spacing w:val="-3"/>
          <w:szCs w:val="24"/>
        </w:rPr>
      </w:pPr>
      <w:r w:rsidRPr="004C18DB">
        <w:rPr>
          <w:rFonts w:asciiTheme="minorHAnsi" w:hAnsiTheme="minorHAnsi" w:cstheme="minorHAnsi"/>
          <w:b/>
          <w:spacing w:val="-3"/>
          <w:szCs w:val="24"/>
        </w:rPr>
        <w:t xml:space="preserve">Reallocation Form Staffing Operations and Overhead Costs Yearly Staff Costs </w:t>
      </w:r>
    </w:p>
    <w:p w:rsidR="002D3306" w:rsidRPr="004C18DB" w:rsidP="002D3306" w14:paraId="15358D51" w14:textId="77777777">
      <w:pPr>
        <w:tabs>
          <w:tab w:val="left" w:pos="1440"/>
        </w:tabs>
        <w:suppressAutoHyphens/>
        <w:ind w:left="720"/>
        <w:rPr>
          <w:rFonts w:asciiTheme="minorHAnsi" w:hAnsiTheme="minorHAnsi" w:cstheme="minorHAnsi"/>
          <w:b/>
          <w:spacing w:val="-3"/>
          <w:szCs w:val="24"/>
        </w:rPr>
      </w:pPr>
      <w:r w:rsidRPr="004C18DB">
        <w:rPr>
          <w:rFonts w:asciiTheme="minorHAnsi" w:hAnsiTheme="minorHAnsi" w:cstheme="minorHAnsi"/>
          <w:b/>
          <w:spacing w:val="-3"/>
          <w:szCs w:val="24"/>
        </w:rPr>
        <w:t>$ 21,657</w:t>
      </w:r>
    </w:p>
    <w:p w:rsidR="002D3306" w:rsidRPr="004C18DB" w:rsidP="002D3306" w14:paraId="427B1359" w14:textId="77777777">
      <w:pPr>
        <w:tabs>
          <w:tab w:val="left" w:pos="1440"/>
        </w:tabs>
        <w:suppressAutoHyphens/>
        <w:ind w:left="720"/>
        <w:rPr>
          <w:rFonts w:asciiTheme="minorHAnsi" w:hAnsiTheme="minorHAnsi" w:cstheme="minorHAnsi"/>
          <w:spacing w:val="-3"/>
          <w:szCs w:val="24"/>
        </w:rPr>
      </w:pPr>
      <w:r w:rsidRPr="004C18DB">
        <w:rPr>
          <w:rFonts w:asciiTheme="minorHAnsi" w:hAnsiTheme="minorHAnsi" w:cstheme="minorHAnsi"/>
          <w:spacing w:val="-3"/>
          <w:szCs w:val="24"/>
        </w:rPr>
        <w:t xml:space="preserve">A staff of 3 is required for the operation of the campus-based programs Reallocation process. While the FISAP is the instrument by which institutions request campus-based funding and report program expenditures, the Campus-Based Reallocation Form is used to provide information that is needed prior to the annual submission of the FISAP.  </w:t>
      </w:r>
    </w:p>
    <w:p w:rsidR="002D3306" w:rsidRPr="004C18DB" w:rsidP="002D3306" w14:paraId="06A21CA5" w14:textId="77777777">
      <w:pPr>
        <w:ind w:left="720"/>
        <w:rPr>
          <w:rFonts w:asciiTheme="minorHAnsi" w:hAnsiTheme="minorHAnsi" w:cstheme="minorHAnsi"/>
          <w:spacing w:val="-3"/>
          <w:szCs w:val="24"/>
        </w:rPr>
      </w:pPr>
      <w:r w:rsidRPr="004C18DB">
        <w:rPr>
          <w:rFonts w:asciiTheme="minorHAnsi" w:hAnsiTheme="minorHAnsi" w:cstheme="minorHAnsi"/>
          <w:spacing w:val="-3"/>
          <w:szCs w:val="24"/>
        </w:rPr>
        <w:t>The 3 program staff members include managers, accountants and systems analysts.  Of that staff, each of the three employees worked 120 hours per year on the Reallocation process for a total of 360 hours worked for the office. This process takes approximately two and a half-months to complete for a yearly cost of $21,657.60 (120 hours x 3 employees x $60.16 average hourly rate).</w:t>
      </w:r>
    </w:p>
    <w:p w:rsidR="002D3306" w:rsidRPr="004C18DB" w:rsidP="002D3306" w14:paraId="14319B38" w14:textId="77777777">
      <w:pPr>
        <w:tabs>
          <w:tab w:val="left" w:pos="1440"/>
        </w:tabs>
        <w:suppressAutoHyphens/>
        <w:ind w:left="720"/>
        <w:rPr>
          <w:rFonts w:asciiTheme="minorHAnsi" w:hAnsiTheme="minorHAnsi" w:cstheme="minorHAnsi"/>
          <w:b/>
          <w:spacing w:val="-3"/>
          <w:szCs w:val="24"/>
        </w:rPr>
      </w:pPr>
    </w:p>
    <w:p w:rsidR="002D3306" w:rsidRPr="004C18DB" w:rsidP="002D3306" w14:paraId="4E1C6C70" w14:textId="77777777">
      <w:pPr>
        <w:tabs>
          <w:tab w:val="left" w:pos="1440"/>
        </w:tabs>
        <w:suppressAutoHyphens/>
        <w:ind w:left="720"/>
        <w:rPr>
          <w:rFonts w:asciiTheme="minorHAnsi" w:hAnsiTheme="minorHAnsi" w:cstheme="minorHAnsi"/>
          <w:b/>
          <w:spacing w:val="-3"/>
          <w:szCs w:val="24"/>
        </w:rPr>
      </w:pPr>
      <w:r w:rsidRPr="004C18DB">
        <w:rPr>
          <w:rFonts w:asciiTheme="minorHAnsi" w:hAnsiTheme="minorHAnsi" w:cstheme="minorHAnsi"/>
          <w:b/>
          <w:spacing w:val="-3"/>
          <w:szCs w:val="24"/>
        </w:rPr>
        <w:t>Reallocation Form Yearly Overhead Costs</w:t>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t>Yearly Overhead Costs $ 3,465</w:t>
      </w:r>
    </w:p>
    <w:p w:rsidR="002D3306" w:rsidP="002D3306" w14:paraId="3378EE43" w14:textId="5BB55CF4">
      <w:pPr>
        <w:ind w:left="720"/>
        <w:rPr>
          <w:rFonts w:asciiTheme="minorHAnsi" w:hAnsiTheme="minorHAnsi" w:cstheme="minorHAnsi"/>
          <w:spacing w:val="-3"/>
          <w:szCs w:val="24"/>
        </w:rPr>
      </w:pPr>
      <w:r w:rsidRPr="004C18DB">
        <w:rPr>
          <w:rFonts w:asciiTheme="minorHAnsi" w:hAnsiTheme="minorHAnsi" w:cstheme="minorHAnsi"/>
          <w:spacing w:val="-3"/>
          <w:szCs w:val="24"/>
        </w:rPr>
        <w:t>A standard budget estimate of 16% was used to determine the overhead costs of staff operations including such items as equipment, utilities, work materials, etc.  ($21,657.60 x 16% = $3,465.22)</w:t>
      </w:r>
    </w:p>
    <w:p w:rsidR="00DA7EC2" w:rsidRPr="004C18DB" w:rsidP="002D3306" w14:paraId="57BBE218" w14:textId="77777777">
      <w:pPr>
        <w:ind w:left="720"/>
        <w:rPr>
          <w:rFonts w:asciiTheme="minorHAnsi" w:hAnsiTheme="minorHAnsi" w:cstheme="minorHAnsi"/>
          <w:spacing w:val="-3"/>
          <w:szCs w:val="24"/>
        </w:rPr>
      </w:pPr>
    </w:p>
    <w:p w:rsidR="002D3306" w:rsidRPr="004C18DB" w:rsidP="002D3306" w14:paraId="4159578E" w14:textId="68EA7131">
      <w:pPr>
        <w:ind w:left="720"/>
        <w:rPr>
          <w:rFonts w:asciiTheme="minorHAnsi" w:hAnsiTheme="minorHAnsi" w:cstheme="minorHAnsi"/>
          <w:b/>
          <w:spacing w:val="-3"/>
          <w:szCs w:val="24"/>
        </w:rPr>
      </w:pPr>
      <w:r w:rsidRPr="004C18DB">
        <w:rPr>
          <w:rFonts w:asciiTheme="minorHAnsi" w:hAnsiTheme="minorHAnsi" w:cstheme="minorHAnsi"/>
          <w:b/>
          <w:spacing w:val="-3"/>
          <w:szCs w:val="24"/>
        </w:rPr>
        <w:t>Total Staff and Overhead Costs</w:t>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r>
      <w:r w:rsidRPr="004C18DB">
        <w:rPr>
          <w:rFonts w:asciiTheme="minorHAnsi" w:hAnsiTheme="minorHAnsi" w:cstheme="minorHAnsi"/>
          <w:b/>
          <w:spacing w:val="-3"/>
          <w:szCs w:val="24"/>
        </w:rPr>
        <w:tab/>
        <w:t>$ 25,123</w:t>
      </w:r>
    </w:p>
    <w:p w:rsidR="002D3306" w:rsidRPr="004C18DB" w:rsidP="002D3306" w14:paraId="1B80CCE9" w14:textId="77777777">
      <w:pPr>
        <w:ind w:left="720"/>
        <w:rPr>
          <w:rFonts w:asciiTheme="minorHAnsi" w:hAnsiTheme="minorHAnsi" w:cstheme="minorHAnsi"/>
          <w:spacing w:val="-3"/>
          <w:szCs w:val="24"/>
        </w:rPr>
      </w:pPr>
    </w:p>
    <w:p w:rsidR="002D3306" w:rsidRPr="004C18DB" w:rsidP="002D3306" w14:paraId="3741D6D2" w14:textId="77777777">
      <w:pPr>
        <w:ind w:left="720"/>
        <w:rPr>
          <w:rFonts w:asciiTheme="minorHAnsi" w:hAnsiTheme="minorHAnsi" w:cstheme="minorHAnsi"/>
          <w:szCs w:val="24"/>
        </w:rPr>
      </w:pPr>
      <w:r w:rsidRPr="004C18DB">
        <w:rPr>
          <w:rFonts w:asciiTheme="minorHAnsi" w:hAnsiTheme="minorHAnsi" w:cstheme="minorHAnsi"/>
          <w:b/>
          <w:spacing w:val="-3"/>
          <w:szCs w:val="24"/>
        </w:rPr>
        <w:t>FISAP and Reallocation Form</w:t>
      </w:r>
      <w:r w:rsidRPr="004C18DB">
        <w:rPr>
          <w:rFonts w:asciiTheme="minorHAnsi" w:hAnsiTheme="minorHAnsi" w:cstheme="minorHAnsi"/>
          <w:spacing w:val="-3"/>
          <w:szCs w:val="24"/>
        </w:rPr>
        <w:t xml:space="preserve"> </w:t>
      </w:r>
      <w:r w:rsidRPr="004C18DB">
        <w:rPr>
          <w:rFonts w:asciiTheme="minorHAnsi" w:hAnsiTheme="minorHAnsi" w:cstheme="minorHAnsi"/>
          <w:b/>
          <w:spacing w:val="-3"/>
          <w:szCs w:val="24"/>
        </w:rPr>
        <w:t>Combined Total Cost to Federal Government</w:t>
      </w:r>
    </w:p>
    <w:p w:rsidR="002D3306" w:rsidRPr="004C18DB" w:rsidP="002D3306" w14:paraId="73DAF766" w14:textId="77777777">
      <w:pPr>
        <w:tabs>
          <w:tab w:val="left" w:pos="1440"/>
        </w:tabs>
        <w:suppressAutoHyphens/>
        <w:ind w:left="720"/>
        <w:rPr>
          <w:rFonts w:asciiTheme="minorHAnsi" w:hAnsiTheme="minorHAnsi" w:cstheme="minorHAnsi"/>
          <w:spacing w:val="-3"/>
          <w:szCs w:val="24"/>
        </w:rPr>
      </w:pPr>
      <w:r w:rsidRPr="004C18DB">
        <w:rPr>
          <w:rFonts w:asciiTheme="minorHAnsi" w:hAnsiTheme="minorHAnsi" w:cstheme="minorHAnsi"/>
          <w:spacing w:val="-3"/>
          <w:szCs w:val="24"/>
        </w:rPr>
        <w:t>Cost for Development of FISAP in COD</w:t>
      </w:r>
      <w:r w:rsidRPr="004C18DB">
        <w:rPr>
          <w:rFonts w:asciiTheme="minorHAnsi" w:hAnsiTheme="minorHAnsi" w:cstheme="minorHAnsi"/>
          <w:spacing w:val="-3"/>
          <w:szCs w:val="24"/>
        </w:rPr>
        <w:tab/>
      </w:r>
      <w:r w:rsidRPr="004C18DB">
        <w:rPr>
          <w:rFonts w:asciiTheme="minorHAnsi" w:hAnsiTheme="minorHAnsi" w:cstheme="minorHAnsi"/>
          <w:spacing w:val="-3"/>
          <w:szCs w:val="24"/>
        </w:rPr>
        <w:tab/>
        <w:t>$               0</w:t>
      </w:r>
    </w:p>
    <w:p w:rsidR="002D3306" w:rsidRPr="004C18DB" w:rsidP="002D3306" w14:paraId="3251FE57" w14:textId="77777777">
      <w:pPr>
        <w:ind w:left="720"/>
        <w:rPr>
          <w:rFonts w:asciiTheme="minorHAnsi" w:hAnsiTheme="minorHAnsi" w:cstheme="minorHAnsi"/>
          <w:spacing w:val="-3"/>
          <w:szCs w:val="24"/>
        </w:rPr>
      </w:pPr>
      <w:r w:rsidRPr="004C18DB">
        <w:rPr>
          <w:rFonts w:asciiTheme="minorHAnsi" w:hAnsiTheme="minorHAnsi" w:cstheme="minorHAnsi"/>
          <w:spacing w:val="-3"/>
          <w:szCs w:val="24"/>
        </w:rPr>
        <w:t>O&amp;M Costs to the Federal Government</w:t>
      </w:r>
      <w:r w:rsidRPr="004C18DB">
        <w:rPr>
          <w:rFonts w:asciiTheme="minorHAnsi" w:hAnsiTheme="minorHAnsi" w:cstheme="minorHAnsi"/>
          <w:spacing w:val="-3"/>
          <w:szCs w:val="24"/>
        </w:rPr>
        <w:tab/>
      </w:r>
      <w:r w:rsidRPr="004C18DB">
        <w:rPr>
          <w:rFonts w:asciiTheme="minorHAnsi" w:hAnsiTheme="minorHAnsi" w:cstheme="minorHAnsi"/>
          <w:spacing w:val="-3"/>
          <w:szCs w:val="24"/>
        </w:rPr>
        <w:tab/>
        <w:t>$    531,405</w:t>
      </w:r>
    </w:p>
    <w:p w:rsidR="002D3306" w:rsidRPr="004C18DB" w:rsidP="002D3306" w14:paraId="0E9713DE" w14:textId="77777777">
      <w:pPr>
        <w:ind w:left="720"/>
        <w:rPr>
          <w:rFonts w:asciiTheme="minorHAnsi" w:hAnsiTheme="minorHAnsi" w:cstheme="minorHAnsi"/>
          <w:spacing w:val="-3"/>
          <w:szCs w:val="24"/>
          <w:u w:val="single"/>
        </w:rPr>
      </w:pPr>
      <w:r w:rsidRPr="004C18DB">
        <w:rPr>
          <w:rFonts w:asciiTheme="minorHAnsi" w:hAnsiTheme="minorHAnsi" w:cstheme="minorHAnsi"/>
          <w:spacing w:val="-3"/>
          <w:szCs w:val="24"/>
          <w:u w:val="single"/>
        </w:rPr>
        <w:t>Staff Operations and Overhead Costs</w:t>
      </w:r>
      <w:r w:rsidRPr="004C18DB">
        <w:rPr>
          <w:rFonts w:asciiTheme="minorHAnsi" w:hAnsiTheme="minorHAnsi" w:cstheme="minorHAnsi"/>
          <w:spacing w:val="-3"/>
          <w:szCs w:val="24"/>
          <w:u w:val="single"/>
        </w:rPr>
        <w:tab/>
      </w:r>
      <w:r w:rsidRPr="004C18DB">
        <w:rPr>
          <w:rFonts w:asciiTheme="minorHAnsi" w:hAnsiTheme="minorHAnsi" w:cstheme="minorHAnsi"/>
          <w:spacing w:val="-3"/>
          <w:szCs w:val="24"/>
          <w:u w:val="single"/>
        </w:rPr>
        <w:tab/>
      </w:r>
      <w:r w:rsidRPr="004C18DB">
        <w:rPr>
          <w:rFonts w:asciiTheme="minorHAnsi" w:hAnsiTheme="minorHAnsi" w:cstheme="minorHAnsi"/>
          <w:spacing w:val="-3"/>
          <w:szCs w:val="24"/>
          <w:u w:val="single"/>
        </w:rPr>
        <w:tab/>
        <w:t>$ 1,278,472</w:t>
      </w:r>
    </w:p>
    <w:p w:rsidR="00534B4A" w:rsidP="002D3306" w14:paraId="64280EF2" w14:textId="7DB7B87E">
      <w:pPr>
        <w:pStyle w:val="ListParagraph"/>
        <w:tabs>
          <w:tab w:val="left" w:pos="-720"/>
        </w:tabs>
        <w:suppressAutoHyphens/>
        <w:contextualSpacing w:val="0"/>
        <w:rPr>
          <w:rFonts w:asciiTheme="minorHAnsi" w:hAnsiTheme="minorHAnsi" w:cstheme="minorHAnsi"/>
          <w:b/>
          <w:spacing w:val="-3"/>
          <w:szCs w:val="24"/>
          <w:u w:val="double"/>
        </w:rPr>
      </w:pPr>
      <w:r w:rsidRPr="004C18DB">
        <w:rPr>
          <w:rFonts w:asciiTheme="minorHAnsi" w:hAnsiTheme="minorHAnsi" w:cstheme="minorHAnsi"/>
          <w:b/>
          <w:spacing w:val="-3"/>
          <w:szCs w:val="24"/>
          <w:u w:val="double"/>
        </w:rPr>
        <w:t>Total</w:t>
      </w:r>
      <w:r w:rsidRPr="004C18DB">
        <w:rPr>
          <w:rFonts w:asciiTheme="minorHAnsi" w:hAnsiTheme="minorHAnsi" w:cstheme="minorHAnsi"/>
          <w:b/>
          <w:spacing w:val="-3"/>
          <w:szCs w:val="24"/>
          <w:u w:val="double"/>
        </w:rPr>
        <w:tab/>
      </w:r>
      <w:r w:rsidRPr="004C18DB">
        <w:rPr>
          <w:rFonts w:asciiTheme="minorHAnsi" w:hAnsiTheme="minorHAnsi" w:cstheme="minorHAnsi"/>
          <w:b/>
          <w:spacing w:val="-3"/>
          <w:szCs w:val="24"/>
          <w:u w:val="double"/>
        </w:rPr>
        <w:tab/>
      </w:r>
      <w:r w:rsidRPr="004C18DB">
        <w:rPr>
          <w:rFonts w:asciiTheme="minorHAnsi" w:hAnsiTheme="minorHAnsi" w:cstheme="minorHAnsi"/>
          <w:b/>
          <w:spacing w:val="-3"/>
          <w:szCs w:val="24"/>
          <w:u w:val="double"/>
        </w:rPr>
        <w:tab/>
      </w:r>
      <w:r w:rsidRPr="004C18DB">
        <w:rPr>
          <w:rFonts w:asciiTheme="minorHAnsi" w:hAnsiTheme="minorHAnsi" w:cstheme="minorHAnsi"/>
          <w:b/>
          <w:spacing w:val="-3"/>
          <w:szCs w:val="24"/>
          <w:u w:val="double"/>
        </w:rPr>
        <w:tab/>
      </w:r>
      <w:r w:rsidRPr="004C18DB">
        <w:rPr>
          <w:rFonts w:asciiTheme="minorHAnsi" w:hAnsiTheme="minorHAnsi" w:cstheme="minorHAnsi"/>
          <w:b/>
          <w:spacing w:val="-3"/>
          <w:szCs w:val="24"/>
          <w:u w:val="double"/>
        </w:rPr>
        <w:tab/>
      </w:r>
      <w:r w:rsidRPr="004C18DB">
        <w:rPr>
          <w:rFonts w:asciiTheme="minorHAnsi" w:hAnsiTheme="minorHAnsi" w:cstheme="minorHAnsi"/>
          <w:b/>
          <w:spacing w:val="-3"/>
          <w:szCs w:val="24"/>
          <w:u w:val="double"/>
        </w:rPr>
        <w:tab/>
      </w:r>
      <w:r w:rsidRPr="004C18DB">
        <w:rPr>
          <w:rFonts w:asciiTheme="minorHAnsi" w:hAnsiTheme="minorHAnsi" w:cstheme="minorHAnsi"/>
          <w:b/>
          <w:spacing w:val="-3"/>
          <w:szCs w:val="24"/>
          <w:u w:val="double"/>
        </w:rPr>
        <w:tab/>
        <w:t>$ 1,809,877</w:t>
      </w:r>
    </w:p>
    <w:p w:rsidR="002D3306" w:rsidP="002D3306" w14:paraId="0C2DC67F" w14:textId="77777777">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w:t>
      </w:r>
      <w:r w:rsidRPr="00800D30">
        <w:rPr>
          <w:rFonts w:ascii="Times New Roman" w:hAnsi="Times New Roman"/>
          <w:b/>
          <w:szCs w:val="24"/>
        </w:rPr>
        <w:t>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RPr="007A5F49" w:rsidP="007A5F49" w14:paraId="64280EFE" w14:textId="4A35C212">
            <w:pPr>
              <w:tabs>
                <w:tab w:val="left" w:pos="-720"/>
              </w:tabs>
              <w:suppressAutoHyphens/>
              <w:jc w:val="center"/>
              <w:rPr>
                <w:rFonts w:asciiTheme="minorHAnsi" w:hAnsiTheme="minorHAnsi" w:cstheme="minorHAnsi"/>
                <w:bCs/>
                <w:szCs w:val="24"/>
              </w:rPr>
            </w:pPr>
          </w:p>
        </w:tc>
        <w:tc>
          <w:tcPr>
            <w:tcW w:w="2520" w:type="dxa"/>
          </w:tcPr>
          <w:p w:rsidR="0052073E" w:rsidP="00534B4A" w14:paraId="64280EFF" w14:textId="2E5A0417">
            <w:pPr>
              <w:tabs>
                <w:tab w:val="left" w:pos="-720"/>
              </w:tabs>
              <w:suppressAutoHyphens/>
              <w:rPr>
                <w:rFonts w:ascii="Times New Roman" w:hAnsi="Times New Roman"/>
                <w:b/>
                <w:szCs w:val="24"/>
              </w:rPr>
            </w:pPr>
            <w:r>
              <w:rPr>
                <w:rFonts w:ascii="Times New Roman" w:hAnsi="Times New Roman"/>
                <w:b/>
                <w:szCs w:val="24"/>
              </w:rPr>
              <w:t>-700</w:t>
            </w: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RPr="007A5F49" w:rsidP="007A5F49" w14:paraId="64280F03" w14:textId="0B62FE37">
            <w:pPr>
              <w:tabs>
                <w:tab w:val="left" w:pos="-720"/>
              </w:tabs>
              <w:suppressAutoHyphens/>
              <w:jc w:val="center"/>
              <w:rPr>
                <w:rFonts w:asciiTheme="minorHAnsi" w:hAnsiTheme="minorHAnsi" w:cstheme="minorHAnsi"/>
                <w:bCs/>
                <w:szCs w:val="24"/>
              </w:rPr>
            </w:pPr>
          </w:p>
        </w:tc>
        <w:tc>
          <w:tcPr>
            <w:tcW w:w="2520" w:type="dxa"/>
          </w:tcPr>
          <w:p w:rsidR="0052073E" w:rsidP="00534B4A" w14:paraId="64280F04" w14:textId="4F2E50F3">
            <w:pPr>
              <w:tabs>
                <w:tab w:val="left" w:pos="-720"/>
              </w:tabs>
              <w:suppressAutoHyphens/>
              <w:rPr>
                <w:rFonts w:ascii="Times New Roman" w:hAnsi="Times New Roman"/>
                <w:b/>
                <w:szCs w:val="24"/>
              </w:rPr>
            </w:pPr>
            <w:r>
              <w:rPr>
                <w:rFonts w:ascii="Times New Roman" w:hAnsi="Times New Roman"/>
                <w:b/>
                <w:szCs w:val="24"/>
              </w:rPr>
              <w:t>0</w:t>
            </w: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RPr="007A5F49" w:rsidP="007A5F49" w14:paraId="64280F08" w14:textId="2A58ECFE">
            <w:pPr>
              <w:tabs>
                <w:tab w:val="left" w:pos="-720"/>
              </w:tabs>
              <w:suppressAutoHyphens/>
              <w:jc w:val="center"/>
              <w:rPr>
                <w:rFonts w:asciiTheme="minorHAnsi" w:hAnsiTheme="minorHAnsi" w:cstheme="minorHAnsi"/>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2D3306" w:rsidRPr="004C18DB" w:rsidP="002D3306" w14:paraId="218FC113" w14:textId="5DDD8A4F">
      <w:pPr>
        <w:ind w:left="720"/>
        <w:rPr>
          <w:rFonts w:asciiTheme="minorHAnsi" w:hAnsiTheme="minorHAnsi" w:cstheme="minorHAnsi"/>
          <w:szCs w:val="24"/>
        </w:rPr>
      </w:pPr>
      <w:r w:rsidRPr="004C18DB">
        <w:rPr>
          <w:rFonts w:asciiTheme="minorHAnsi" w:hAnsiTheme="minorHAnsi" w:cstheme="minorHAnsi"/>
          <w:szCs w:val="24"/>
        </w:rPr>
        <w:t>There is no change in the total number of institutions filing either a full FISAP or Reallocation form.  There is a shift in the number of institutions filing the full FISAP with more institutions filing the Reallocation which requires less time to complete, so there is a decrease in the number of corresponding burden hours, as noted below.</w:t>
      </w:r>
    </w:p>
    <w:p w:rsidR="002D3306" w:rsidRPr="004C18DB" w:rsidP="002D3306" w14:paraId="22EECA33" w14:textId="77777777">
      <w:pPr>
        <w:ind w:left="720"/>
        <w:rPr>
          <w:rFonts w:asciiTheme="minorHAnsi" w:hAnsiTheme="minorHAnsi" w:cstheme="minorHAnsi"/>
          <w:szCs w:val="24"/>
          <w:highlight w:val="yellow"/>
        </w:rPr>
      </w:pPr>
    </w:p>
    <w:p w:rsidR="002D3306" w:rsidRPr="004C18DB" w:rsidP="002D3306" w14:paraId="3DCFC744" w14:textId="77777777">
      <w:pPr>
        <w:ind w:left="720"/>
        <w:rPr>
          <w:rFonts w:asciiTheme="minorHAnsi" w:hAnsiTheme="minorHAnsi" w:cstheme="minorHAnsi"/>
          <w:szCs w:val="24"/>
        </w:rPr>
      </w:pPr>
      <w:r w:rsidRPr="004C18DB">
        <w:rPr>
          <w:rFonts w:asciiTheme="minorHAnsi" w:hAnsiTheme="minorHAnsi" w:cstheme="minorHAnsi"/>
          <w:szCs w:val="24"/>
        </w:rPr>
        <w:t>Current FISAP &amp; Reallocation Form Total Annual Burden Hours</w:t>
      </w:r>
      <w:r w:rsidRPr="004C18DB">
        <w:rPr>
          <w:rFonts w:asciiTheme="minorHAnsi" w:hAnsiTheme="minorHAnsi" w:cstheme="minorHAnsi"/>
          <w:szCs w:val="24"/>
        </w:rPr>
        <w:tab/>
      </w:r>
      <w:r w:rsidRPr="004C18DB">
        <w:rPr>
          <w:rFonts w:asciiTheme="minorHAnsi" w:hAnsiTheme="minorHAnsi" w:cstheme="minorHAnsi"/>
          <w:szCs w:val="24"/>
        </w:rPr>
        <w:tab/>
        <w:t xml:space="preserve"> 89,396</w:t>
      </w:r>
    </w:p>
    <w:p w:rsidR="002D3306" w:rsidRPr="004C18DB" w:rsidP="002D3306" w14:paraId="671C5324" w14:textId="35C01F50">
      <w:pPr>
        <w:ind w:left="720"/>
        <w:rPr>
          <w:rFonts w:asciiTheme="minorHAnsi" w:hAnsiTheme="minorHAnsi" w:cstheme="minorHAnsi"/>
          <w:szCs w:val="24"/>
        </w:rPr>
      </w:pPr>
      <w:r w:rsidRPr="004C18DB">
        <w:rPr>
          <w:rFonts w:asciiTheme="minorHAnsi" w:hAnsiTheme="minorHAnsi" w:cstheme="minorHAnsi"/>
          <w:szCs w:val="24"/>
        </w:rPr>
        <w:t>Changes to FISAP &amp; Reallocation Form Total Annual Burden Hours</w:t>
      </w:r>
      <w:r w:rsidRPr="004C18DB">
        <w:rPr>
          <w:rFonts w:asciiTheme="minorHAnsi" w:hAnsiTheme="minorHAnsi" w:cstheme="minorHAnsi"/>
          <w:szCs w:val="24"/>
        </w:rPr>
        <w:tab/>
        <w:t xml:space="preserve">    </w:t>
      </w:r>
      <w:r>
        <w:rPr>
          <w:rFonts w:asciiTheme="minorHAnsi" w:hAnsiTheme="minorHAnsi" w:cstheme="minorHAnsi"/>
          <w:szCs w:val="24"/>
        </w:rPr>
        <w:tab/>
      </w:r>
      <w:r w:rsidRPr="00F306B2">
        <w:rPr>
          <w:rFonts w:asciiTheme="minorHAnsi" w:hAnsiTheme="minorHAnsi" w:cstheme="minorHAnsi"/>
          <w:szCs w:val="24"/>
          <w:u w:val="single"/>
        </w:rPr>
        <w:t xml:space="preserve">     -700</w:t>
      </w:r>
    </w:p>
    <w:p w:rsidR="00534B4A" w:rsidP="002D3306" w14:paraId="64280F0C" w14:textId="267E1256">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New proposed FISAP &amp; Reallocation Form Total Annual Burden Hours</w:t>
      </w:r>
      <w:r w:rsidRPr="004C18DB">
        <w:rPr>
          <w:rFonts w:asciiTheme="minorHAnsi" w:hAnsiTheme="minorHAnsi" w:cstheme="minorHAnsi"/>
          <w:szCs w:val="24"/>
        </w:rPr>
        <w:tab/>
        <w:t xml:space="preserve"> 88,626</w:t>
      </w:r>
    </w:p>
    <w:p w:rsidR="002D3306" w:rsidRPr="005F4E11" w:rsidP="002D3306" w14:paraId="4D9231A7" w14:textId="77777777">
      <w:pPr>
        <w:tabs>
          <w:tab w:val="left" w:pos="-720"/>
        </w:tabs>
        <w:suppressAutoHyphens/>
        <w:ind w:left="720"/>
        <w:rPr>
          <w:rFonts w:ascii="Times New Roman" w:hAnsi="Times New Roman"/>
          <w:bCs/>
          <w:szCs w:val="24"/>
        </w:rPr>
      </w:pPr>
    </w:p>
    <w:p w:rsidR="00043C32" w:rsidP="00B818E7" w14:paraId="64280F0D" w14:textId="77777777">
      <w:pPr>
        <w:pStyle w:val="ListParagraph"/>
        <w:numPr>
          <w:ilvl w:val="0"/>
          <w:numId w:val="5"/>
        </w:numPr>
        <w:tabs>
          <w:tab w:val="left" w:pos="-720"/>
        </w:tabs>
        <w:suppressAutoHyphens/>
        <w:ind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2D3306" w:rsidRPr="004C18DB" w:rsidP="002D3306" w14:paraId="4B4BB9F7" w14:textId="77777777">
      <w:pPr>
        <w:tabs>
          <w:tab w:val="left" w:pos="-720"/>
        </w:tabs>
        <w:suppressAutoHyphens/>
        <w:ind w:left="720"/>
        <w:rPr>
          <w:rFonts w:asciiTheme="minorHAnsi" w:hAnsiTheme="minorHAnsi" w:cstheme="minorHAnsi"/>
          <w:szCs w:val="24"/>
        </w:rPr>
      </w:pPr>
      <w:r w:rsidRPr="004C18DB">
        <w:rPr>
          <w:rFonts w:asciiTheme="minorHAnsi" w:hAnsiTheme="minorHAnsi" w:cstheme="minorHAnsi"/>
          <w:szCs w:val="24"/>
        </w:rPr>
        <w:t>This information collected on the FISAP and the Reallocation form is not collected for statistical publication.</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B818E7" w14:paraId="64280F10" w14:textId="77777777">
      <w:pPr>
        <w:pStyle w:val="ListParagraph"/>
        <w:numPr>
          <w:ilvl w:val="0"/>
          <w:numId w:val="5"/>
        </w:numPr>
        <w:tabs>
          <w:tab w:val="left" w:pos="-720"/>
        </w:tabs>
        <w:suppressAutoHyphens/>
        <w:ind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291F95" w:rsidRPr="00CA59E3" w:rsidP="00291F95" w14:paraId="2EEB5045" w14:textId="77777777">
      <w:pPr>
        <w:tabs>
          <w:tab w:val="left" w:pos="-720"/>
        </w:tabs>
        <w:suppressAutoHyphens/>
        <w:ind w:left="720"/>
        <w:rPr>
          <w:rFonts w:asciiTheme="minorHAnsi" w:hAnsiTheme="minorHAnsi" w:cstheme="minorHAnsi"/>
        </w:rPr>
      </w:pPr>
      <w:r w:rsidRPr="00CA59E3">
        <w:rPr>
          <w:rFonts w:asciiTheme="minorHAnsi" w:hAnsiTheme="minorHAnsi" w:cstheme="minorHAnsi"/>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B818E7" w14:paraId="64280F13" w14:textId="20340787">
      <w:pPr>
        <w:pStyle w:val="ListParagraph"/>
        <w:numPr>
          <w:ilvl w:val="0"/>
          <w:numId w:val="5"/>
        </w:numPr>
        <w:tabs>
          <w:tab w:val="left" w:pos="-720"/>
        </w:tabs>
        <w:suppressAutoHyphens/>
        <w:ind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AA5138" w:rsidRPr="00AA5138" w:rsidP="00291F95" w14:paraId="1D395179" w14:textId="493BDC21">
      <w:pPr>
        <w:tabs>
          <w:tab w:val="left" w:pos="-720"/>
        </w:tabs>
        <w:suppressAutoHyphens/>
        <w:ind w:left="720"/>
        <w:rPr>
          <w:rFonts w:ascii="Times New Roman" w:hAnsi="Times New Roman"/>
          <w:bCs/>
          <w:szCs w:val="24"/>
        </w:rPr>
      </w:pPr>
      <w:r w:rsidRPr="004C18DB">
        <w:rPr>
          <w:rFonts w:asciiTheme="minorHAnsi" w:hAnsiTheme="minorHAnsi" w:cstheme="minorHAnsi"/>
          <w:szCs w:val="24"/>
        </w:rPr>
        <w:t>There are no exceptions to the certification statement.</w:t>
      </w:r>
    </w:p>
    <w:sectPr w:rsidSect="00043C32">
      <w:headerReference w:type="default" r:id="rId12"/>
      <w:footerReference w:type="default" r:id="rId13"/>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64280F18" w14:textId="77777777">
    <w:pPr>
      <w:spacing w:before="140" w:line="100" w:lineRule="exact"/>
      <w:rPr>
        <w:sz w:val="10"/>
      </w:rPr>
    </w:pPr>
  </w:p>
  <w:p w:rsidR="00386054" w14:paraId="64280F19" w14:textId="77777777">
    <w:pPr>
      <w:tabs>
        <w:tab w:val="left" w:pos="0"/>
      </w:tabs>
      <w:suppressAutoHyphens/>
    </w:pPr>
  </w:p>
  <w:p w:rsidR="00386054"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4A62" w:rsidP="00043C32" w14:paraId="63EE3EA7" w14:textId="77777777">
      <w:r>
        <w:separator/>
      </w:r>
    </w:p>
  </w:footnote>
  <w:footnote w:type="continuationSeparator" w:id="1">
    <w:p w:rsidR="00834A62" w:rsidP="00043C32" w14:paraId="37022C58" w14:textId="77777777">
      <w:r>
        <w:continuationSeparator/>
      </w:r>
    </w:p>
  </w:footnote>
  <w:footnote w:id="2">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0153D21B">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2D3306">
      <w:rPr>
        <w:rFonts w:ascii="Times New Roman" w:hAnsi="Times New Roman"/>
        <w:szCs w:val="24"/>
      </w:rPr>
      <w:t>1845-0030</w:t>
    </w:r>
    <w:r w:rsidR="00E22FD3">
      <w:rPr>
        <w:rFonts w:ascii="Times New Roman" w:hAnsi="Times New Roman"/>
        <w:szCs w:val="24"/>
      </w:rPr>
      <w:tab/>
    </w:r>
    <w:r w:rsidRPr="00C875E8">
      <w:rPr>
        <w:rFonts w:ascii="Times New Roman" w:hAnsi="Times New Roman"/>
        <w:szCs w:val="24"/>
      </w:rPr>
      <w:t xml:space="preserve">Revised: </w:t>
    </w:r>
    <w:r w:rsidR="003945D3">
      <w:rPr>
        <w:rFonts w:ascii="Times New Roman" w:hAnsi="Times New Roman"/>
        <w:szCs w:val="24"/>
      </w:rPr>
      <w:t>2/1/2023</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2D6F30E3"/>
    <w:multiLevelType w:val="hybridMultilevel"/>
    <w:tmpl w:val="5E9853A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76057159">
    <w:abstractNumId w:val="0"/>
  </w:num>
  <w:num w:numId="2" w16cid:durableId="1832211202">
    <w:abstractNumId w:val="3"/>
  </w:num>
  <w:num w:numId="3" w16cid:durableId="1010445705">
    <w:abstractNumId w:val="2"/>
  </w:num>
  <w:num w:numId="4" w16cid:durableId="1790196927">
    <w:abstractNumId w:val="4"/>
  </w:num>
  <w:num w:numId="5" w16cid:durableId="651641553">
    <w:abstractNumId w:val="5"/>
  </w:num>
  <w:num w:numId="6" w16cid:durableId="190004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35ED5"/>
    <w:rsid w:val="00043C32"/>
    <w:rsid w:val="000446F5"/>
    <w:rsid w:val="00093017"/>
    <w:rsid w:val="001824F3"/>
    <w:rsid w:val="001A6AE0"/>
    <w:rsid w:val="001C73C0"/>
    <w:rsid w:val="001E79BD"/>
    <w:rsid w:val="002225CC"/>
    <w:rsid w:val="00224A3B"/>
    <w:rsid w:val="00240A39"/>
    <w:rsid w:val="002459AF"/>
    <w:rsid w:val="00246FE9"/>
    <w:rsid w:val="00250100"/>
    <w:rsid w:val="00262A69"/>
    <w:rsid w:val="00270AF7"/>
    <w:rsid w:val="00291F95"/>
    <w:rsid w:val="002A3221"/>
    <w:rsid w:val="002C3520"/>
    <w:rsid w:val="002D3306"/>
    <w:rsid w:val="002E14E0"/>
    <w:rsid w:val="002F55E5"/>
    <w:rsid w:val="0032078A"/>
    <w:rsid w:val="0032539E"/>
    <w:rsid w:val="00372A02"/>
    <w:rsid w:val="00386054"/>
    <w:rsid w:val="003860E4"/>
    <w:rsid w:val="003945D3"/>
    <w:rsid w:val="003B1545"/>
    <w:rsid w:val="00412915"/>
    <w:rsid w:val="00442E07"/>
    <w:rsid w:val="004C18DB"/>
    <w:rsid w:val="0052073E"/>
    <w:rsid w:val="00534B4A"/>
    <w:rsid w:val="00575DDA"/>
    <w:rsid w:val="00581C11"/>
    <w:rsid w:val="005D28E6"/>
    <w:rsid w:val="005F4E11"/>
    <w:rsid w:val="00616E9C"/>
    <w:rsid w:val="0068567A"/>
    <w:rsid w:val="006A292A"/>
    <w:rsid w:val="006A38F7"/>
    <w:rsid w:val="006A4EBB"/>
    <w:rsid w:val="006B4172"/>
    <w:rsid w:val="00713B69"/>
    <w:rsid w:val="00755D99"/>
    <w:rsid w:val="00756FD3"/>
    <w:rsid w:val="00765392"/>
    <w:rsid w:val="00790E3E"/>
    <w:rsid w:val="007A5F49"/>
    <w:rsid w:val="007C0A4C"/>
    <w:rsid w:val="007C700A"/>
    <w:rsid w:val="007F6104"/>
    <w:rsid w:val="00800D30"/>
    <w:rsid w:val="00807D1A"/>
    <w:rsid w:val="00834A62"/>
    <w:rsid w:val="00861EBD"/>
    <w:rsid w:val="008729B3"/>
    <w:rsid w:val="00874EFE"/>
    <w:rsid w:val="00882126"/>
    <w:rsid w:val="008933F1"/>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C37AF"/>
    <w:rsid w:val="009E3E86"/>
    <w:rsid w:val="00A118A2"/>
    <w:rsid w:val="00A23F26"/>
    <w:rsid w:val="00A4001C"/>
    <w:rsid w:val="00A40AAB"/>
    <w:rsid w:val="00A46D01"/>
    <w:rsid w:val="00A47AA2"/>
    <w:rsid w:val="00A70816"/>
    <w:rsid w:val="00A73590"/>
    <w:rsid w:val="00A7636D"/>
    <w:rsid w:val="00A9138E"/>
    <w:rsid w:val="00AA5138"/>
    <w:rsid w:val="00AC1C89"/>
    <w:rsid w:val="00AD381B"/>
    <w:rsid w:val="00AF5B5B"/>
    <w:rsid w:val="00AF5D1A"/>
    <w:rsid w:val="00B017F9"/>
    <w:rsid w:val="00B07213"/>
    <w:rsid w:val="00B10A05"/>
    <w:rsid w:val="00B54167"/>
    <w:rsid w:val="00B62E06"/>
    <w:rsid w:val="00B632BF"/>
    <w:rsid w:val="00B64B1D"/>
    <w:rsid w:val="00B6729C"/>
    <w:rsid w:val="00B818E7"/>
    <w:rsid w:val="00B87844"/>
    <w:rsid w:val="00B9671B"/>
    <w:rsid w:val="00BA1D31"/>
    <w:rsid w:val="00BB03CE"/>
    <w:rsid w:val="00BC1A67"/>
    <w:rsid w:val="00C164D3"/>
    <w:rsid w:val="00C20670"/>
    <w:rsid w:val="00C224FD"/>
    <w:rsid w:val="00C86713"/>
    <w:rsid w:val="00C875E8"/>
    <w:rsid w:val="00C92035"/>
    <w:rsid w:val="00CA59E3"/>
    <w:rsid w:val="00CB455D"/>
    <w:rsid w:val="00CC2A72"/>
    <w:rsid w:val="00CC3FB5"/>
    <w:rsid w:val="00CD2067"/>
    <w:rsid w:val="00CD47BC"/>
    <w:rsid w:val="00D34984"/>
    <w:rsid w:val="00D36C35"/>
    <w:rsid w:val="00D75313"/>
    <w:rsid w:val="00D83E68"/>
    <w:rsid w:val="00DA7EC2"/>
    <w:rsid w:val="00E16ACD"/>
    <w:rsid w:val="00E17134"/>
    <w:rsid w:val="00E22FD3"/>
    <w:rsid w:val="00E25EBC"/>
    <w:rsid w:val="00E66550"/>
    <w:rsid w:val="00E877BF"/>
    <w:rsid w:val="00EA1767"/>
    <w:rsid w:val="00EB0929"/>
    <w:rsid w:val="00EB0FA5"/>
    <w:rsid w:val="00EC01DD"/>
    <w:rsid w:val="00EC35E3"/>
    <w:rsid w:val="00ED7195"/>
    <w:rsid w:val="00EF4C67"/>
    <w:rsid w:val="00F0414F"/>
    <w:rsid w:val="00F070F3"/>
    <w:rsid w:val="00F27AAF"/>
    <w:rsid w:val="00F306B2"/>
    <w:rsid w:val="00F31BEC"/>
    <w:rsid w:val="00F5782B"/>
    <w:rsid w:val="00F73131"/>
    <w:rsid w:val="00F74288"/>
    <w:rsid w:val="00F87BF7"/>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9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Title">
    <w:name w:val="Title"/>
    <w:basedOn w:val="Normal"/>
    <w:link w:val="TitleChar"/>
    <w:uiPriority w:val="99"/>
    <w:qFormat/>
    <w:rsid w:val="002D3306"/>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2D330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od.ed.gov" TargetMode="External" /><Relationship Id="rId11" Type="http://schemas.openxmlformats.org/officeDocument/2006/relationships/hyperlink" Target="https://www.bls.gov/oes/current/oes_nat.html"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2.ed.gov/about/offices/list/ope/librar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6268</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Kate Mullan</cp:lastModifiedBy>
  <cp:revision>4</cp:revision>
  <dcterms:created xsi:type="dcterms:W3CDTF">2023-02-01T18:05:00Z</dcterms:created>
  <dcterms:modified xsi:type="dcterms:W3CDTF">2023-02-01T21:30:00Z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