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1A08" w:rsidRPr="00DC7187" w:rsidP="00C94FA2" w14:paraId="1264DB47" w14:textId="6C6091D8">
      <w:pPr>
        <w:rPr>
          <w:sz w:val="22"/>
          <w:szCs w:val="18"/>
        </w:rPr>
      </w:pPr>
    </w:p>
    <w:p w:rsidR="00565A9A" w:rsidRPr="00DC7187" w:rsidP="00565A9A" w14:paraId="423CFDF2" w14:textId="693A7D71">
      <w:pPr>
        <w:pStyle w:val="Title"/>
        <w:widowControl/>
        <w:tabs>
          <w:tab w:val="clear" w:pos="4680"/>
          <w:tab w:val="clear" w:pos="8640"/>
        </w:tabs>
        <w:suppressAutoHyphens w:val="0"/>
        <w:ind w:right="0"/>
        <w:contextualSpacing/>
        <w:outlineLvl w:val="9"/>
        <w:rPr>
          <w:rFonts w:asciiTheme="majorHAnsi" w:eastAsiaTheme="majorEastAsia" w:hAnsiTheme="majorHAnsi" w:cstheme="majorBidi"/>
          <w:bCs/>
          <w:snapToGrid/>
          <w:spacing w:val="-7"/>
          <w:sz w:val="36"/>
          <w:szCs w:val="36"/>
        </w:rPr>
      </w:pPr>
      <w:r w:rsidRPr="00DC7187">
        <w:rPr>
          <w:rFonts w:asciiTheme="majorHAnsi" w:eastAsiaTheme="majorEastAsia" w:hAnsiTheme="majorHAnsi" w:cstheme="majorBidi"/>
          <w:bCs/>
          <w:snapToGrid/>
          <w:spacing w:val="-7"/>
          <w:sz w:val="36"/>
          <w:szCs w:val="36"/>
        </w:rPr>
        <w:t>FOLLOW-UP SURVEYS TO THE 202</w:t>
      </w:r>
      <w:r w:rsidRPr="00DC7187" w:rsidR="00A56FA3">
        <w:rPr>
          <w:rFonts w:asciiTheme="majorHAnsi" w:eastAsiaTheme="majorEastAsia" w:hAnsiTheme="majorHAnsi" w:cstheme="majorBidi"/>
          <w:bCs/>
          <w:snapToGrid/>
          <w:spacing w:val="-7"/>
          <w:sz w:val="36"/>
          <w:szCs w:val="36"/>
        </w:rPr>
        <w:t>3</w:t>
      </w:r>
      <w:r w:rsidRPr="00DC7187">
        <w:rPr>
          <w:rFonts w:asciiTheme="majorHAnsi" w:eastAsiaTheme="majorEastAsia" w:hAnsiTheme="majorHAnsi" w:cstheme="majorBidi"/>
          <w:bCs/>
          <w:snapToGrid/>
          <w:spacing w:val="-7"/>
          <w:sz w:val="36"/>
          <w:szCs w:val="36"/>
        </w:rPr>
        <w:t>-2</w:t>
      </w:r>
      <w:r w:rsidRPr="00DC7187" w:rsidR="00A56FA3">
        <w:rPr>
          <w:rFonts w:asciiTheme="majorHAnsi" w:eastAsiaTheme="majorEastAsia" w:hAnsiTheme="majorHAnsi" w:cstheme="majorBidi"/>
          <w:bCs/>
          <w:snapToGrid/>
          <w:spacing w:val="-7"/>
          <w:sz w:val="36"/>
          <w:szCs w:val="36"/>
        </w:rPr>
        <w:t>4</w:t>
      </w:r>
      <w:r w:rsidRPr="00DC7187">
        <w:rPr>
          <w:rFonts w:asciiTheme="majorHAnsi" w:eastAsiaTheme="majorEastAsia" w:hAnsiTheme="majorHAnsi" w:cstheme="majorBidi"/>
          <w:bCs/>
          <w:snapToGrid/>
          <w:spacing w:val="-7"/>
          <w:sz w:val="36"/>
          <w:szCs w:val="36"/>
        </w:rPr>
        <w:t xml:space="preserve"> NATIONAL TEACHER AND PRINCIPAL SURVEY (NTPS):</w:t>
      </w:r>
    </w:p>
    <w:p w:rsidR="00565A9A" w:rsidRPr="00DC7187" w:rsidP="00565A9A" w14:paraId="38E70DDF" w14:textId="2EAF9BD4">
      <w:pPr>
        <w:pStyle w:val="Title"/>
        <w:widowControl/>
        <w:tabs>
          <w:tab w:val="clear" w:pos="4680"/>
          <w:tab w:val="clear" w:pos="8640"/>
        </w:tabs>
        <w:suppressAutoHyphens w:val="0"/>
        <w:ind w:right="0"/>
        <w:contextualSpacing/>
        <w:outlineLvl w:val="9"/>
        <w:rPr>
          <w:rFonts w:asciiTheme="majorHAnsi" w:eastAsiaTheme="majorEastAsia" w:hAnsiTheme="majorHAnsi" w:cstheme="majorBidi"/>
          <w:bCs/>
          <w:snapToGrid/>
          <w:spacing w:val="-7"/>
          <w:sz w:val="36"/>
          <w:szCs w:val="36"/>
        </w:rPr>
      </w:pPr>
      <w:r w:rsidRPr="00DC7187">
        <w:rPr>
          <w:rFonts w:asciiTheme="majorHAnsi" w:eastAsiaTheme="majorEastAsia" w:hAnsiTheme="majorHAnsi" w:cstheme="majorBidi"/>
          <w:bCs/>
          <w:snapToGrid/>
          <w:spacing w:val="-7"/>
          <w:sz w:val="36"/>
          <w:szCs w:val="36"/>
        </w:rPr>
        <w:t>202</w:t>
      </w:r>
      <w:r w:rsidRPr="00DC7187" w:rsidR="00A56FA3">
        <w:rPr>
          <w:rFonts w:asciiTheme="majorHAnsi" w:eastAsiaTheme="majorEastAsia" w:hAnsiTheme="majorHAnsi" w:cstheme="majorBidi"/>
          <w:bCs/>
          <w:snapToGrid/>
          <w:spacing w:val="-7"/>
          <w:sz w:val="36"/>
          <w:szCs w:val="36"/>
        </w:rPr>
        <w:t>4</w:t>
      </w:r>
      <w:r w:rsidRPr="00DC7187">
        <w:rPr>
          <w:rFonts w:asciiTheme="majorHAnsi" w:eastAsiaTheme="majorEastAsia" w:hAnsiTheme="majorHAnsi" w:cstheme="majorBidi"/>
          <w:bCs/>
          <w:snapToGrid/>
          <w:spacing w:val="-7"/>
          <w:sz w:val="36"/>
          <w:szCs w:val="36"/>
        </w:rPr>
        <w:t>-2</w:t>
      </w:r>
      <w:r w:rsidRPr="00DC7187" w:rsidR="00A56FA3">
        <w:rPr>
          <w:rFonts w:asciiTheme="majorHAnsi" w:eastAsiaTheme="majorEastAsia" w:hAnsiTheme="majorHAnsi" w:cstheme="majorBidi"/>
          <w:bCs/>
          <w:snapToGrid/>
          <w:spacing w:val="-7"/>
          <w:sz w:val="36"/>
          <w:szCs w:val="36"/>
        </w:rPr>
        <w:t>5</w:t>
      </w:r>
      <w:r w:rsidRPr="00DC7187">
        <w:rPr>
          <w:rFonts w:asciiTheme="majorHAnsi" w:eastAsiaTheme="majorEastAsia" w:hAnsiTheme="majorHAnsi" w:cstheme="majorBidi"/>
          <w:bCs/>
          <w:snapToGrid/>
          <w:spacing w:val="-7"/>
          <w:sz w:val="36"/>
          <w:szCs w:val="36"/>
        </w:rPr>
        <w:t xml:space="preserve"> Teacher Follow-Up Survey (TFS) and</w:t>
      </w:r>
    </w:p>
    <w:p w:rsidR="00565A9A" w:rsidRPr="00DC7187" w:rsidP="00565A9A" w14:paraId="130BFF81" w14:textId="745189C8">
      <w:pPr>
        <w:pStyle w:val="Title"/>
        <w:widowControl/>
        <w:tabs>
          <w:tab w:val="clear" w:pos="4680"/>
          <w:tab w:val="clear" w:pos="8640"/>
        </w:tabs>
        <w:suppressAutoHyphens w:val="0"/>
        <w:ind w:right="0"/>
        <w:contextualSpacing/>
        <w:outlineLvl w:val="9"/>
        <w:rPr>
          <w:rFonts w:asciiTheme="majorHAnsi" w:eastAsiaTheme="majorEastAsia" w:hAnsiTheme="majorHAnsi" w:cstheme="majorBidi"/>
          <w:bCs/>
          <w:snapToGrid/>
          <w:spacing w:val="-7"/>
          <w:sz w:val="36"/>
          <w:szCs w:val="36"/>
        </w:rPr>
      </w:pPr>
      <w:r w:rsidRPr="00DC7187">
        <w:rPr>
          <w:rFonts w:asciiTheme="majorHAnsi" w:eastAsiaTheme="majorEastAsia" w:hAnsiTheme="majorHAnsi" w:cstheme="majorBidi"/>
          <w:bCs/>
          <w:snapToGrid/>
          <w:spacing w:val="-7"/>
          <w:sz w:val="36"/>
          <w:szCs w:val="36"/>
        </w:rPr>
        <w:t>202</w:t>
      </w:r>
      <w:r w:rsidRPr="00DC7187" w:rsidR="00A56FA3">
        <w:rPr>
          <w:rFonts w:asciiTheme="majorHAnsi" w:eastAsiaTheme="majorEastAsia" w:hAnsiTheme="majorHAnsi" w:cstheme="majorBidi"/>
          <w:bCs/>
          <w:snapToGrid/>
          <w:spacing w:val="-7"/>
          <w:sz w:val="36"/>
          <w:szCs w:val="36"/>
        </w:rPr>
        <w:t>4</w:t>
      </w:r>
      <w:r w:rsidRPr="00DC7187">
        <w:rPr>
          <w:rFonts w:asciiTheme="majorHAnsi" w:eastAsiaTheme="majorEastAsia" w:hAnsiTheme="majorHAnsi" w:cstheme="majorBidi"/>
          <w:bCs/>
          <w:snapToGrid/>
          <w:spacing w:val="-7"/>
          <w:sz w:val="36"/>
          <w:szCs w:val="36"/>
        </w:rPr>
        <w:t>-2</w:t>
      </w:r>
      <w:r w:rsidRPr="00DC7187" w:rsidR="00A56FA3">
        <w:rPr>
          <w:rFonts w:asciiTheme="majorHAnsi" w:eastAsiaTheme="majorEastAsia" w:hAnsiTheme="majorHAnsi" w:cstheme="majorBidi"/>
          <w:bCs/>
          <w:snapToGrid/>
          <w:spacing w:val="-7"/>
          <w:sz w:val="36"/>
          <w:szCs w:val="36"/>
        </w:rPr>
        <w:t>5</w:t>
      </w:r>
      <w:r w:rsidRPr="00DC7187">
        <w:rPr>
          <w:rFonts w:asciiTheme="majorHAnsi" w:eastAsiaTheme="majorEastAsia" w:hAnsiTheme="majorHAnsi" w:cstheme="majorBidi"/>
          <w:bCs/>
          <w:snapToGrid/>
          <w:spacing w:val="-7"/>
          <w:sz w:val="36"/>
          <w:szCs w:val="36"/>
        </w:rPr>
        <w:t xml:space="preserve"> Principal Follow-Up Survey (PFS)</w:t>
      </w:r>
    </w:p>
    <w:p w:rsidR="00565A9A" w:rsidRPr="00DC7187" w:rsidP="00C94FA2" w14:paraId="4E55A305" w14:textId="77777777">
      <w:pPr>
        <w:rPr>
          <w:sz w:val="22"/>
          <w:szCs w:val="18"/>
        </w:rPr>
      </w:pPr>
    </w:p>
    <w:p w:rsidR="00565A9A" w:rsidRPr="00DC7187" w:rsidP="00C94FA2" w14:paraId="465BE8A2" w14:textId="77777777">
      <w:pPr>
        <w:rPr>
          <w:sz w:val="22"/>
          <w:szCs w:val="18"/>
        </w:rPr>
      </w:pPr>
    </w:p>
    <w:p w:rsidR="005773F2" w:rsidRPr="00DC7187" w:rsidP="00201FB7" w14:paraId="05552560" w14:textId="77777777">
      <w:pPr>
        <w:jc w:val="center"/>
        <w:rPr>
          <w:bCs/>
          <w:sz w:val="36"/>
          <w:szCs w:val="36"/>
        </w:rPr>
      </w:pPr>
    </w:p>
    <w:p w:rsidR="005773F2" w:rsidRPr="00DC7187" w:rsidP="00201FB7" w14:paraId="2E879211" w14:textId="0762DA89">
      <w:pPr>
        <w:jc w:val="center"/>
        <w:rPr>
          <w:b/>
          <w:sz w:val="36"/>
          <w:szCs w:val="36"/>
        </w:rPr>
      </w:pPr>
      <w:r w:rsidRPr="00DC7187">
        <w:rPr>
          <w:b/>
          <w:sz w:val="36"/>
          <w:szCs w:val="36"/>
        </w:rPr>
        <w:t>PART B</w:t>
      </w:r>
    </w:p>
    <w:p w:rsidR="005773F2" w:rsidRPr="00DC7187" w:rsidP="00201FB7" w14:paraId="21FB66E0" w14:textId="2CE6C4BD">
      <w:pPr>
        <w:jc w:val="center"/>
        <w:rPr>
          <w:bCs/>
          <w:sz w:val="36"/>
          <w:szCs w:val="36"/>
        </w:rPr>
      </w:pPr>
    </w:p>
    <w:p w:rsidR="005773F2" w:rsidRPr="00DC7187" w:rsidP="00201FB7" w14:paraId="2C1652A4" w14:textId="77777777">
      <w:pPr>
        <w:jc w:val="center"/>
        <w:rPr>
          <w:bCs/>
          <w:sz w:val="36"/>
          <w:szCs w:val="36"/>
        </w:rPr>
      </w:pPr>
    </w:p>
    <w:p w:rsidR="005773F2" w:rsidRPr="00DC7187" w:rsidP="00201FB7" w14:paraId="44A66AE7" w14:textId="37965554">
      <w:pPr>
        <w:jc w:val="center"/>
        <w:rPr>
          <w:bCs/>
          <w:sz w:val="36"/>
          <w:szCs w:val="36"/>
        </w:rPr>
      </w:pPr>
      <w:r w:rsidRPr="00B5792B">
        <w:rPr>
          <w:sz w:val="36"/>
          <w:szCs w:val="36"/>
        </w:rPr>
        <w:t>OMB# 1850-0617 v.</w:t>
      </w:r>
      <w:r w:rsidRPr="00B5792B" w:rsidR="00B5792B">
        <w:rPr>
          <w:sz w:val="36"/>
          <w:szCs w:val="36"/>
        </w:rPr>
        <w:t>1</w:t>
      </w:r>
      <w:r w:rsidR="005E2BE2">
        <w:rPr>
          <w:sz w:val="36"/>
          <w:szCs w:val="36"/>
        </w:rPr>
        <w:t>3</w:t>
      </w:r>
    </w:p>
    <w:p w:rsidR="005773F2" w:rsidRPr="00DC7187" w:rsidP="00201FB7" w14:paraId="3F5FFD5B" w14:textId="6F6D1818">
      <w:pPr>
        <w:jc w:val="center"/>
        <w:rPr>
          <w:bCs/>
          <w:sz w:val="36"/>
          <w:szCs w:val="36"/>
        </w:rPr>
      </w:pPr>
    </w:p>
    <w:p w:rsidR="005773F2" w:rsidRPr="00DC7187" w:rsidP="00201FB7" w14:paraId="47424B9A" w14:textId="77777777">
      <w:pPr>
        <w:jc w:val="center"/>
        <w:rPr>
          <w:bCs/>
          <w:sz w:val="36"/>
          <w:szCs w:val="36"/>
        </w:rPr>
      </w:pPr>
    </w:p>
    <w:p w:rsidR="005773F2" w:rsidRPr="00DC7187" w:rsidP="00201FB7" w14:paraId="608752F0" w14:textId="77777777">
      <w:pPr>
        <w:jc w:val="center"/>
        <w:rPr>
          <w:bCs/>
          <w:sz w:val="36"/>
          <w:szCs w:val="36"/>
        </w:rPr>
      </w:pPr>
      <w:r w:rsidRPr="00DC7187">
        <w:rPr>
          <w:sz w:val="36"/>
          <w:szCs w:val="36"/>
        </w:rPr>
        <w:t>National Center for Education Statistics (NCES)</w:t>
      </w:r>
    </w:p>
    <w:p w:rsidR="005773F2" w:rsidRPr="00DC7187" w:rsidP="00201FB7" w14:paraId="4285BAF2" w14:textId="77777777">
      <w:pPr>
        <w:jc w:val="center"/>
        <w:rPr>
          <w:bCs/>
          <w:sz w:val="36"/>
          <w:szCs w:val="36"/>
        </w:rPr>
      </w:pPr>
      <w:r w:rsidRPr="00DC7187">
        <w:rPr>
          <w:sz w:val="36"/>
          <w:szCs w:val="36"/>
        </w:rPr>
        <w:t>U.S. Department of Education</w:t>
      </w:r>
    </w:p>
    <w:p w:rsidR="005773F2" w:rsidRPr="00DC7187" w:rsidP="00201FB7" w14:paraId="1F61B620" w14:textId="555B2896">
      <w:pPr>
        <w:jc w:val="center"/>
        <w:rPr>
          <w:sz w:val="36"/>
          <w:szCs w:val="36"/>
        </w:rPr>
      </w:pPr>
    </w:p>
    <w:p w:rsidR="005773F2" w:rsidRPr="00DC7187" w:rsidP="00201FB7" w14:paraId="2530F3F0" w14:textId="620AF1D0">
      <w:pPr>
        <w:jc w:val="center"/>
        <w:rPr>
          <w:sz w:val="36"/>
          <w:szCs w:val="36"/>
        </w:rPr>
      </w:pPr>
    </w:p>
    <w:p w:rsidR="005773F2" w:rsidRPr="00DC7187" w:rsidP="00201FB7" w14:paraId="58EB982B" w14:textId="6139A121">
      <w:pPr>
        <w:jc w:val="center"/>
        <w:rPr>
          <w:sz w:val="36"/>
          <w:szCs w:val="36"/>
        </w:rPr>
      </w:pPr>
    </w:p>
    <w:p w:rsidR="005773F2" w:rsidRPr="00DC7187" w:rsidP="00201FB7" w14:paraId="7AE76453" w14:textId="77777777">
      <w:pPr>
        <w:jc w:val="center"/>
        <w:rPr>
          <w:sz w:val="36"/>
          <w:szCs w:val="36"/>
        </w:rPr>
      </w:pPr>
    </w:p>
    <w:p w:rsidR="005773F2" w:rsidRPr="00DC7187" w:rsidP="00201FB7" w14:paraId="0294A5CC" w14:textId="77777777">
      <w:pPr>
        <w:jc w:val="center"/>
        <w:rPr>
          <w:bCs/>
          <w:sz w:val="36"/>
          <w:szCs w:val="36"/>
        </w:rPr>
      </w:pPr>
    </w:p>
    <w:p w:rsidR="00695266" w:rsidP="00201FB7" w14:paraId="2C27DEC8" w14:textId="77777777">
      <w:pPr>
        <w:jc w:val="center"/>
        <w:rPr>
          <w:sz w:val="36"/>
          <w:szCs w:val="36"/>
        </w:rPr>
      </w:pPr>
      <w:r>
        <w:rPr>
          <w:sz w:val="36"/>
          <w:szCs w:val="36"/>
        </w:rPr>
        <w:t>February 2024</w:t>
      </w:r>
    </w:p>
    <w:p w:rsidR="005773F2" w:rsidP="00201FB7" w14:paraId="1BA9311E" w14:textId="7F67E3D4">
      <w:pPr>
        <w:jc w:val="center"/>
        <w:rPr>
          <w:sz w:val="36"/>
          <w:szCs w:val="36"/>
        </w:rPr>
      </w:pPr>
      <w:r>
        <w:rPr>
          <w:sz w:val="36"/>
          <w:szCs w:val="36"/>
        </w:rPr>
        <w:t xml:space="preserve">revised </w:t>
      </w:r>
      <w:r w:rsidR="00A04230">
        <w:rPr>
          <w:sz w:val="36"/>
          <w:szCs w:val="36"/>
        </w:rPr>
        <w:t>May</w:t>
      </w:r>
      <w:r w:rsidR="00B769C7">
        <w:rPr>
          <w:sz w:val="36"/>
          <w:szCs w:val="36"/>
        </w:rPr>
        <w:t xml:space="preserve"> </w:t>
      </w:r>
      <w:r w:rsidR="00401582">
        <w:rPr>
          <w:sz w:val="36"/>
          <w:szCs w:val="36"/>
        </w:rPr>
        <w:t>2024</w:t>
      </w:r>
    </w:p>
    <w:p w:rsidR="00BD76AD" w:rsidP="00201FB7" w14:paraId="41CA1C1D" w14:textId="25CBA9CE">
      <w:pPr>
        <w:jc w:val="center"/>
        <w:rPr>
          <w:sz w:val="36"/>
          <w:szCs w:val="36"/>
        </w:rPr>
      </w:pPr>
      <w:r>
        <w:rPr>
          <w:sz w:val="36"/>
          <w:szCs w:val="36"/>
        </w:rPr>
        <w:t>revised June 2024</w:t>
      </w:r>
    </w:p>
    <w:p w:rsidR="005E2BE2" w:rsidRPr="00DC7187" w:rsidP="00201FB7" w14:paraId="04CA882A" w14:textId="16726BB6">
      <w:pPr>
        <w:jc w:val="center"/>
        <w:rPr>
          <w:sz w:val="36"/>
          <w:szCs w:val="36"/>
        </w:rPr>
      </w:pPr>
      <w:r>
        <w:rPr>
          <w:sz w:val="36"/>
          <w:szCs w:val="36"/>
        </w:rPr>
        <w:t xml:space="preserve">revised </w:t>
      </w:r>
      <w:r w:rsidR="006618C4">
        <w:rPr>
          <w:sz w:val="36"/>
          <w:szCs w:val="36"/>
        </w:rPr>
        <w:t>January 2025</w:t>
      </w:r>
    </w:p>
    <w:p w:rsidR="00A27C0E" w:rsidRPr="00DC7187" w:rsidP="006E3A9D" w14:paraId="7A65018B" w14:textId="04E0A068">
      <w:pPr>
        <w:jc w:val="center"/>
        <w:rPr>
          <w:sz w:val="36"/>
          <w:szCs w:val="36"/>
        </w:rPr>
      </w:pPr>
    </w:p>
    <w:p w:rsidR="006E3A9D" w:rsidRPr="00DC7187" w:rsidP="006E3A9D" w14:paraId="55A798A0" w14:textId="77777777">
      <w:pPr>
        <w:jc w:val="center"/>
        <w:rPr>
          <w:sz w:val="22"/>
          <w:szCs w:val="18"/>
        </w:rPr>
      </w:pPr>
    </w:p>
    <w:p w:rsidR="00DC1A08" w:rsidRPr="00DC7187" w:rsidP="00C94FA2" w14:paraId="0872A3D5" w14:textId="77777777">
      <w:pPr>
        <w:rPr>
          <w:sz w:val="22"/>
          <w:szCs w:val="18"/>
        </w:rPr>
      </w:pPr>
    </w:p>
    <w:p w:rsidR="00DC1A08" w:rsidRPr="00DC7187" w:rsidP="00C94FA2" w14:paraId="3103C718" w14:textId="77777777">
      <w:pPr>
        <w:rPr>
          <w:b/>
          <w:bCs/>
          <w:sz w:val="22"/>
          <w:szCs w:val="18"/>
        </w:rPr>
      </w:pPr>
    </w:p>
    <w:p w:rsidR="00DC1A08" w:rsidRPr="00DC7187" w:rsidP="00C94FA2" w14:paraId="78F9BDB4" w14:textId="77777777">
      <w:pPr>
        <w:rPr>
          <w:b/>
          <w:bCs/>
          <w:sz w:val="22"/>
          <w:szCs w:val="18"/>
        </w:rPr>
      </w:pPr>
    </w:p>
    <w:p w:rsidR="00DC1A08" w:rsidRPr="00DC7187" w:rsidP="00C94FA2" w14:paraId="1FEFA85D" w14:textId="77777777">
      <w:pPr>
        <w:rPr>
          <w:b/>
          <w:bCs/>
          <w:sz w:val="36"/>
          <w:szCs w:val="18"/>
        </w:rPr>
      </w:pPr>
    </w:p>
    <w:p w:rsidR="00DC1A08" w:rsidP="00C94FA2" w14:paraId="481AC8EF" w14:textId="5A45FCD1">
      <w:pPr>
        <w:rPr>
          <w:b/>
          <w:bCs/>
          <w:sz w:val="36"/>
          <w:szCs w:val="18"/>
        </w:rPr>
      </w:pPr>
    </w:p>
    <w:p w:rsidR="00E62367" w:rsidP="00C94FA2" w14:paraId="4A00BEE2" w14:textId="38408345">
      <w:pPr>
        <w:rPr>
          <w:b/>
          <w:bCs/>
          <w:sz w:val="36"/>
          <w:szCs w:val="18"/>
        </w:rPr>
      </w:pPr>
    </w:p>
    <w:p w:rsidR="00E62367" w:rsidP="00C94FA2" w14:paraId="1DF8AF2E" w14:textId="057156B2">
      <w:pPr>
        <w:rPr>
          <w:b/>
          <w:bCs/>
          <w:sz w:val="36"/>
          <w:szCs w:val="18"/>
        </w:rPr>
      </w:pPr>
    </w:p>
    <w:p w:rsidR="00E62367" w:rsidP="00C94FA2" w14:paraId="68179393" w14:textId="4B1550E0">
      <w:pPr>
        <w:rPr>
          <w:b/>
          <w:bCs/>
          <w:sz w:val="36"/>
          <w:szCs w:val="18"/>
        </w:rPr>
      </w:pPr>
    </w:p>
    <w:p w:rsidR="00E62367" w:rsidP="00C94FA2" w14:paraId="0BCC888E" w14:textId="567350EE">
      <w:pPr>
        <w:rPr>
          <w:b/>
          <w:bCs/>
          <w:sz w:val="36"/>
          <w:szCs w:val="18"/>
        </w:rPr>
      </w:pPr>
    </w:p>
    <w:p w:rsidR="008A0E27" w:rsidRPr="00DC7187" w:rsidP="00C94FA2" w14:paraId="50D3CB0B" w14:textId="7397E3F7">
      <w:pPr>
        <w:jc w:val="center"/>
        <w:rPr>
          <w:b/>
          <w:bCs/>
          <w:sz w:val="22"/>
          <w:szCs w:val="18"/>
        </w:rPr>
      </w:pPr>
      <w:r w:rsidRPr="00DC7187">
        <w:rPr>
          <w:b/>
          <w:bCs/>
          <w:sz w:val="22"/>
          <w:szCs w:val="18"/>
        </w:rPr>
        <w:t>TABLE OF CONTENTS</w:t>
      </w:r>
    </w:p>
    <w:p w:rsidR="008A0E27" w:rsidRPr="00DC7187" w:rsidP="007F51DA" w14:paraId="7BD800EF" w14:textId="77777777">
      <w:pPr>
        <w:pStyle w:val="TOC1"/>
      </w:pPr>
    </w:p>
    <w:p w:rsidR="008A0E27" w:rsidRPr="00DC7187" w:rsidP="007F51DA" w14:paraId="71255751" w14:textId="77777777">
      <w:pPr>
        <w:pStyle w:val="TOC1"/>
      </w:pPr>
    </w:p>
    <w:sdt>
      <w:sdtPr>
        <w:rPr>
          <w:rFonts w:ascii="Times New Roman" w:hAnsi="Times New Roman"/>
          <w:b w:val="0"/>
          <w:bCs w:val="0"/>
          <w:sz w:val="22"/>
          <w:szCs w:val="18"/>
        </w:rPr>
        <w:id w:val="712397150"/>
        <w:docPartObj>
          <w:docPartGallery w:val="Table of Contents"/>
          <w:docPartUnique/>
        </w:docPartObj>
      </w:sdtPr>
      <w:sdtEndPr>
        <w:rPr>
          <w:noProof/>
        </w:rPr>
      </w:sdtEndPr>
      <w:sdtContent>
        <w:p w:rsidR="00147259" w14:paraId="34E391B4" w14:textId="013A4784">
          <w:pPr>
            <w:pStyle w:val="TOC1"/>
            <w:rPr>
              <w:rFonts w:asciiTheme="minorHAnsi" w:eastAsiaTheme="minorEastAsia" w:hAnsiTheme="minorHAnsi" w:cstheme="minorBidi"/>
              <w:b w:val="0"/>
              <w:bCs w:val="0"/>
              <w:noProof/>
              <w:snapToGrid/>
              <w:kern w:val="2"/>
              <w:sz w:val="22"/>
              <w:szCs w:val="22"/>
              <w14:ligatures w14:val="standardContextual"/>
            </w:rPr>
          </w:pPr>
          <w:r w:rsidRPr="00DC7187">
            <w:rPr>
              <w:sz w:val="22"/>
              <w:szCs w:val="18"/>
            </w:rPr>
            <w:fldChar w:fldCharType="begin"/>
          </w:r>
          <w:r w:rsidRPr="00DC7187">
            <w:rPr>
              <w:sz w:val="22"/>
              <w:szCs w:val="18"/>
            </w:rPr>
            <w:instrText xml:space="preserve"> TOC \o "1-3" \h \z \u </w:instrText>
          </w:r>
          <w:r w:rsidRPr="00DC7187">
            <w:rPr>
              <w:sz w:val="22"/>
              <w:szCs w:val="18"/>
            </w:rPr>
            <w:fldChar w:fldCharType="separate"/>
          </w:r>
          <w:hyperlink w:anchor="_Toc187144060" w:history="1">
            <w:r w:rsidRPr="009D0A47">
              <w:rPr>
                <w:rStyle w:val="Hyperlink"/>
                <w:noProof/>
              </w:rPr>
              <w:t>PART B. COLLECTION OF INFORMATION EMPLOYING STATISTICAL METHODS</w:t>
            </w:r>
            <w:r>
              <w:rPr>
                <w:noProof/>
                <w:webHidden/>
              </w:rPr>
              <w:tab/>
            </w:r>
            <w:r>
              <w:rPr>
                <w:noProof/>
                <w:webHidden/>
              </w:rPr>
              <w:fldChar w:fldCharType="begin"/>
            </w:r>
            <w:r>
              <w:rPr>
                <w:noProof/>
                <w:webHidden/>
              </w:rPr>
              <w:instrText xml:space="preserve"> PAGEREF _Toc187144060 \h </w:instrText>
            </w:r>
            <w:r>
              <w:rPr>
                <w:noProof/>
                <w:webHidden/>
              </w:rPr>
              <w:fldChar w:fldCharType="separate"/>
            </w:r>
            <w:r>
              <w:rPr>
                <w:noProof/>
                <w:webHidden/>
              </w:rPr>
              <w:t>4</w:t>
            </w:r>
            <w:r>
              <w:rPr>
                <w:noProof/>
                <w:webHidden/>
              </w:rPr>
              <w:fldChar w:fldCharType="end"/>
            </w:r>
          </w:hyperlink>
        </w:p>
        <w:p w:rsidR="00147259" w14:paraId="195980AF" w14:textId="3C5FB214">
          <w:pPr>
            <w:pStyle w:val="TOC1"/>
            <w:rPr>
              <w:rFonts w:asciiTheme="minorHAnsi" w:eastAsiaTheme="minorEastAsia" w:hAnsiTheme="minorHAnsi" w:cstheme="minorBidi"/>
              <w:b w:val="0"/>
              <w:bCs w:val="0"/>
              <w:noProof/>
              <w:snapToGrid/>
              <w:kern w:val="2"/>
              <w:sz w:val="22"/>
              <w:szCs w:val="22"/>
              <w14:ligatures w14:val="standardContextual"/>
            </w:rPr>
          </w:pPr>
          <w:hyperlink w:anchor="_Toc187144061" w:history="1">
            <w:r w:rsidRPr="009D0A47">
              <w:rPr>
                <w:rStyle w:val="Hyperlink"/>
                <w:noProof/>
              </w:rPr>
              <w:t>B.1 Respondent Universe and Sample Design</w:t>
            </w:r>
            <w:r>
              <w:rPr>
                <w:noProof/>
                <w:webHidden/>
              </w:rPr>
              <w:tab/>
            </w:r>
            <w:r>
              <w:rPr>
                <w:noProof/>
                <w:webHidden/>
              </w:rPr>
              <w:fldChar w:fldCharType="begin"/>
            </w:r>
            <w:r>
              <w:rPr>
                <w:noProof/>
                <w:webHidden/>
              </w:rPr>
              <w:instrText xml:space="preserve"> PAGEREF _Toc187144061 \h </w:instrText>
            </w:r>
            <w:r>
              <w:rPr>
                <w:noProof/>
                <w:webHidden/>
              </w:rPr>
              <w:fldChar w:fldCharType="separate"/>
            </w:r>
            <w:r>
              <w:rPr>
                <w:noProof/>
                <w:webHidden/>
              </w:rPr>
              <w:t>4</w:t>
            </w:r>
            <w:r>
              <w:rPr>
                <w:noProof/>
                <w:webHidden/>
              </w:rPr>
              <w:fldChar w:fldCharType="end"/>
            </w:r>
          </w:hyperlink>
        </w:p>
        <w:p w:rsidR="00147259" w14:paraId="19AA6855" w14:textId="40BFE64D">
          <w:pPr>
            <w:pStyle w:val="TOC2"/>
            <w:rPr>
              <w:rFonts w:asciiTheme="minorHAnsi" w:eastAsiaTheme="minorEastAsia" w:hAnsiTheme="minorHAnsi" w:cstheme="minorBidi"/>
              <w:noProof/>
              <w:snapToGrid/>
              <w:kern w:val="2"/>
              <w:sz w:val="22"/>
              <w:szCs w:val="22"/>
              <w14:ligatures w14:val="standardContextual"/>
            </w:rPr>
          </w:pPr>
          <w:hyperlink w:anchor="_Toc187144062" w:history="1">
            <w:r w:rsidRPr="009D0A47">
              <w:rPr>
                <w:rStyle w:val="Hyperlink"/>
                <w:noProof/>
              </w:rPr>
              <w:t>B.1.1</w:t>
            </w:r>
            <w:r>
              <w:rPr>
                <w:rFonts w:asciiTheme="minorHAnsi" w:eastAsiaTheme="minorEastAsia" w:hAnsiTheme="minorHAnsi" w:cstheme="minorBidi"/>
                <w:noProof/>
                <w:snapToGrid/>
                <w:kern w:val="2"/>
                <w:sz w:val="22"/>
                <w:szCs w:val="22"/>
                <w14:ligatures w14:val="standardContextual"/>
              </w:rPr>
              <w:tab/>
            </w:r>
            <w:r w:rsidRPr="009D0A47">
              <w:rPr>
                <w:rStyle w:val="Hyperlink"/>
                <w:noProof/>
              </w:rPr>
              <w:t>Background on the 2023-24 NTPS Sample</w:t>
            </w:r>
            <w:r>
              <w:rPr>
                <w:noProof/>
                <w:webHidden/>
              </w:rPr>
              <w:tab/>
            </w:r>
            <w:r>
              <w:rPr>
                <w:noProof/>
                <w:webHidden/>
              </w:rPr>
              <w:fldChar w:fldCharType="begin"/>
            </w:r>
            <w:r>
              <w:rPr>
                <w:noProof/>
                <w:webHidden/>
              </w:rPr>
              <w:instrText xml:space="preserve"> PAGEREF _Toc187144062 \h </w:instrText>
            </w:r>
            <w:r>
              <w:rPr>
                <w:noProof/>
                <w:webHidden/>
              </w:rPr>
              <w:fldChar w:fldCharType="separate"/>
            </w:r>
            <w:r>
              <w:rPr>
                <w:noProof/>
                <w:webHidden/>
              </w:rPr>
              <w:t>4</w:t>
            </w:r>
            <w:r>
              <w:rPr>
                <w:noProof/>
                <w:webHidden/>
              </w:rPr>
              <w:fldChar w:fldCharType="end"/>
            </w:r>
          </w:hyperlink>
        </w:p>
        <w:p w:rsidR="00147259" w14:paraId="3971458B" w14:textId="47E3CF4F">
          <w:pPr>
            <w:pStyle w:val="TOC2"/>
            <w:rPr>
              <w:rFonts w:asciiTheme="minorHAnsi" w:eastAsiaTheme="minorEastAsia" w:hAnsiTheme="minorHAnsi" w:cstheme="minorBidi"/>
              <w:noProof/>
              <w:snapToGrid/>
              <w:kern w:val="2"/>
              <w:sz w:val="22"/>
              <w:szCs w:val="22"/>
              <w14:ligatures w14:val="standardContextual"/>
            </w:rPr>
          </w:pPr>
          <w:hyperlink w:anchor="_Toc187144063" w:history="1">
            <w:r w:rsidRPr="009D0A47">
              <w:rPr>
                <w:rStyle w:val="Hyperlink"/>
                <w:noProof/>
              </w:rPr>
              <w:t>B.1.2</w:t>
            </w:r>
            <w:r>
              <w:rPr>
                <w:rFonts w:asciiTheme="minorHAnsi" w:eastAsiaTheme="minorEastAsia" w:hAnsiTheme="minorHAnsi" w:cstheme="minorBidi"/>
                <w:noProof/>
                <w:snapToGrid/>
                <w:kern w:val="2"/>
                <w:sz w:val="22"/>
                <w:szCs w:val="22"/>
                <w14:ligatures w14:val="standardContextual"/>
              </w:rPr>
              <w:tab/>
            </w:r>
            <w:r w:rsidRPr="009D0A47">
              <w:rPr>
                <w:rStyle w:val="Hyperlink"/>
                <w:noProof/>
              </w:rPr>
              <w:t>2024-25 TFS Respondent Universe and Sample Design</w:t>
            </w:r>
            <w:r>
              <w:rPr>
                <w:noProof/>
                <w:webHidden/>
              </w:rPr>
              <w:tab/>
            </w:r>
            <w:r>
              <w:rPr>
                <w:noProof/>
                <w:webHidden/>
              </w:rPr>
              <w:fldChar w:fldCharType="begin"/>
            </w:r>
            <w:r>
              <w:rPr>
                <w:noProof/>
                <w:webHidden/>
              </w:rPr>
              <w:instrText xml:space="preserve"> PAGEREF _Toc187144063 \h </w:instrText>
            </w:r>
            <w:r>
              <w:rPr>
                <w:noProof/>
                <w:webHidden/>
              </w:rPr>
              <w:fldChar w:fldCharType="separate"/>
            </w:r>
            <w:r>
              <w:rPr>
                <w:noProof/>
                <w:webHidden/>
              </w:rPr>
              <w:t>5</w:t>
            </w:r>
            <w:r>
              <w:rPr>
                <w:noProof/>
                <w:webHidden/>
              </w:rPr>
              <w:fldChar w:fldCharType="end"/>
            </w:r>
          </w:hyperlink>
        </w:p>
        <w:p w:rsidR="00147259" w14:paraId="4985B5F8" w14:textId="68DBEFCE">
          <w:pPr>
            <w:pStyle w:val="TOC2"/>
            <w:rPr>
              <w:rFonts w:asciiTheme="minorHAnsi" w:eastAsiaTheme="minorEastAsia" w:hAnsiTheme="minorHAnsi" w:cstheme="minorBidi"/>
              <w:noProof/>
              <w:snapToGrid/>
              <w:kern w:val="2"/>
              <w:sz w:val="22"/>
              <w:szCs w:val="22"/>
              <w14:ligatures w14:val="standardContextual"/>
            </w:rPr>
          </w:pPr>
          <w:hyperlink w:anchor="_Toc187144064" w:history="1">
            <w:r w:rsidRPr="009D0A47">
              <w:rPr>
                <w:rStyle w:val="Hyperlink"/>
                <w:noProof/>
              </w:rPr>
              <w:t>B.1.3</w:t>
            </w:r>
            <w:r>
              <w:rPr>
                <w:rFonts w:asciiTheme="minorHAnsi" w:eastAsiaTheme="minorEastAsia" w:hAnsiTheme="minorHAnsi" w:cstheme="minorBidi"/>
                <w:noProof/>
                <w:snapToGrid/>
                <w:kern w:val="2"/>
                <w:sz w:val="22"/>
                <w:szCs w:val="22"/>
                <w14:ligatures w14:val="standardContextual"/>
              </w:rPr>
              <w:tab/>
            </w:r>
            <w:r w:rsidRPr="009D0A47">
              <w:rPr>
                <w:rStyle w:val="Hyperlink"/>
                <w:noProof/>
              </w:rPr>
              <w:t>2024-25 PFS Respondent Universe and Sample Design</w:t>
            </w:r>
            <w:r>
              <w:rPr>
                <w:noProof/>
                <w:webHidden/>
              </w:rPr>
              <w:tab/>
            </w:r>
            <w:r>
              <w:rPr>
                <w:noProof/>
                <w:webHidden/>
              </w:rPr>
              <w:fldChar w:fldCharType="begin"/>
            </w:r>
            <w:r>
              <w:rPr>
                <w:noProof/>
                <w:webHidden/>
              </w:rPr>
              <w:instrText xml:space="preserve"> PAGEREF _Toc187144064 \h </w:instrText>
            </w:r>
            <w:r>
              <w:rPr>
                <w:noProof/>
                <w:webHidden/>
              </w:rPr>
              <w:fldChar w:fldCharType="separate"/>
            </w:r>
            <w:r>
              <w:rPr>
                <w:noProof/>
                <w:webHidden/>
              </w:rPr>
              <w:t>7</w:t>
            </w:r>
            <w:r>
              <w:rPr>
                <w:noProof/>
                <w:webHidden/>
              </w:rPr>
              <w:fldChar w:fldCharType="end"/>
            </w:r>
          </w:hyperlink>
        </w:p>
        <w:p w:rsidR="00147259" w14:paraId="29A2C815" w14:textId="0BDA1390">
          <w:pPr>
            <w:pStyle w:val="TOC1"/>
            <w:rPr>
              <w:rFonts w:asciiTheme="minorHAnsi" w:eastAsiaTheme="minorEastAsia" w:hAnsiTheme="minorHAnsi" w:cstheme="minorBidi"/>
              <w:b w:val="0"/>
              <w:bCs w:val="0"/>
              <w:noProof/>
              <w:snapToGrid/>
              <w:kern w:val="2"/>
              <w:sz w:val="22"/>
              <w:szCs w:val="22"/>
              <w14:ligatures w14:val="standardContextual"/>
            </w:rPr>
          </w:pPr>
          <w:hyperlink w:anchor="_Toc187144065" w:history="1">
            <w:r w:rsidRPr="009D0A47">
              <w:rPr>
                <w:rStyle w:val="Hyperlink"/>
                <w:noProof/>
              </w:rPr>
              <w:t>B.2</w:t>
            </w:r>
            <w:r>
              <w:rPr>
                <w:rFonts w:asciiTheme="minorHAnsi" w:eastAsiaTheme="minorEastAsia" w:hAnsiTheme="minorHAnsi" w:cstheme="minorBidi"/>
                <w:b w:val="0"/>
                <w:bCs w:val="0"/>
                <w:noProof/>
                <w:snapToGrid/>
                <w:kern w:val="2"/>
                <w:sz w:val="22"/>
                <w:szCs w:val="22"/>
                <w14:ligatures w14:val="standardContextual"/>
              </w:rPr>
              <w:tab/>
            </w:r>
            <w:r w:rsidRPr="009D0A47">
              <w:rPr>
                <w:rStyle w:val="Hyperlink"/>
                <w:noProof/>
              </w:rPr>
              <w:t>Procedures for the Collection of Information</w:t>
            </w:r>
            <w:r>
              <w:rPr>
                <w:noProof/>
                <w:webHidden/>
              </w:rPr>
              <w:tab/>
            </w:r>
            <w:r>
              <w:rPr>
                <w:noProof/>
                <w:webHidden/>
              </w:rPr>
              <w:fldChar w:fldCharType="begin"/>
            </w:r>
            <w:r>
              <w:rPr>
                <w:noProof/>
                <w:webHidden/>
              </w:rPr>
              <w:instrText xml:space="preserve"> PAGEREF _Toc187144065 \h </w:instrText>
            </w:r>
            <w:r>
              <w:rPr>
                <w:noProof/>
                <w:webHidden/>
              </w:rPr>
              <w:fldChar w:fldCharType="separate"/>
            </w:r>
            <w:r>
              <w:rPr>
                <w:noProof/>
                <w:webHidden/>
              </w:rPr>
              <w:t>7</w:t>
            </w:r>
            <w:r>
              <w:rPr>
                <w:noProof/>
                <w:webHidden/>
              </w:rPr>
              <w:fldChar w:fldCharType="end"/>
            </w:r>
          </w:hyperlink>
        </w:p>
        <w:p w:rsidR="00147259" w14:paraId="64E29110" w14:textId="27DBD68A">
          <w:pPr>
            <w:pStyle w:val="TOC2"/>
            <w:rPr>
              <w:rFonts w:asciiTheme="minorHAnsi" w:eastAsiaTheme="minorEastAsia" w:hAnsiTheme="minorHAnsi" w:cstheme="minorBidi"/>
              <w:noProof/>
              <w:snapToGrid/>
              <w:kern w:val="2"/>
              <w:sz w:val="22"/>
              <w:szCs w:val="22"/>
              <w14:ligatures w14:val="standardContextual"/>
            </w:rPr>
          </w:pPr>
          <w:hyperlink w:anchor="_Toc187144066" w:history="1">
            <w:r w:rsidRPr="009D0A47">
              <w:rPr>
                <w:rStyle w:val="Hyperlink"/>
                <w:noProof/>
              </w:rPr>
              <w:t>B.2.1</w:t>
            </w:r>
            <w:r>
              <w:rPr>
                <w:rFonts w:asciiTheme="minorHAnsi" w:eastAsiaTheme="minorEastAsia" w:hAnsiTheme="minorHAnsi" w:cstheme="minorBidi"/>
                <w:noProof/>
                <w:snapToGrid/>
                <w:kern w:val="2"/>
                <w:sz w:val="22"/>
                <w:szCs w:val="22"/>
                <w14:ligatures w14:val="standardContextual"/>
              </w:rPr>
              <w:tab/>
            </w:r>
            <w:r w:rsidRPr="009D0A47">
              <w:rPr>
                <w:rStyle w:val="Hyperlink"/>
                <w:noProof/>
              </w:rPr>
              <w:t>2024-25 TFS Procedures for the Collection of Information</w:t>
            </w:r>
            <w:r>
              <w:rPr>
                <w:noProof/>
                <w:webHidden/>
              </w:rPr>
              <w:tab/>
            </w:r>
            <w:r>
              <w:rPr>
                <w:noProof/>
                <w:webHidden/>
              </w:rPr>
              <w:fldChar w:fldCharType="begin"/>
            </w:r>
            <w:r>
              <w:rPr>
                <w:noProof/>
                <w:webHidden/>
              </w:rPr>
              <w:instrText xml:space="preserve"> PAGEREF _Toc187144066 \h </w:instrText>
            </w:r>
            <w:r>
              <w:rPr>
                <w:noProof/>
                <w:webHidden/>
              </w:rPr>
              <w:fldChar w:fldCharType="separate"/>
            </w:r>
            <w:r>
              <w:rPr>
                <w:noProof/>
                <w:webHidden/>
              </w:rPr>
              <w:t>7</w:t>
            </w:r>
            <w:r>
              <w:rPr>
                <w:noProof/>
                <w:webHidden/>
              </w:rPr>
              <w:fldChar w:fldCharType="end"/>
            </w:r>
          </w:hyperlink>
        </w:p>
        <w:p w:rsidR="00147259" w14:paraId="62E3FEEF" w14:textId="09A94CA3">
          <w:pPr>
            <w:pStyle w:val="TOC3"/>
            <w:tabs>
              <w:tab w:val="left" w:pos="2880"/>
            </w:tabs>
            <w:rPr>
              <w:rFonts w:asciiTheme="minorHAnsi" w:eastAsiaTheme="minorEastAsia" w:hAnsiTheme="minorHAnsi" w:cstheme="minorBidi"/>
              <w:noProof/>
              <w:snapToGrid/>
              <w:kern w:val="2"/>
              <w:sz w:val="22"/>
              <w:szCs w:val="22"/>
              <w14:ligatures w14:val="standardContextual"/>
            </w:rPr>
          </w:pPr>
          <w:hyperlink w:anchor="_Toc187144067" w:history="1">
            <w:r w:rsidRPr="009D0A47">
              <w:rPr>
                <w:rStyle w:val="Hyperlink"/>
                <w:noProof/>
              </w:rPr>
              <w:t xml:space="preserve">B.2.1.1 </w:t>
            </w:r>
            <w:r>
              <w:rPr>
                <w:rFonts w:asciiTheme="minorHAnsi" w:eastAsiaTheme="minorEastAsia" w:hAnsiTheme="minorHAnsi" w:cstheme="minorBidi"/>
                <w:noProof/>
                <w:snapToGrid/>
                <w:kern w:val="2"/>
                <w:sz w:val="22"/>
                <w:szCs w:val="22"/>
                <w14:ligatures w14:val="standardContextual"/>
              </w:rPr>
              <w:tab/>
            </w:r>
            <w:r w:rsidRPr="009D0A47">
              <w:rPr>
                <w:rStyle w:val="Hyperlink"/>
                <w:noProof/>
              </w:rPr>
              <w:t>Teacher Status Form (NTPS-5A/5B/5C)</w:t>
            </w:r>
            <w:r>
              <w:rPr>
                <w:noProof/>
                <w:webHidden/>
              </w:rPr>
              <w:tab/>
            </w:r>
            <w:r>
              <w:rPr>
                <w:noProof/>
                <w:webHidden/>
              </w:rPr>
              <w:fldChar w:fldCharType="begin"/>
            </w:r>
            <w:r>
              <w:rPr>
                <w:noProof/>
                <w:webHidden/>
              </w:rPr>
              <w:instrText xml:space="preserve"> PAGEREF _Toc187144067 \h </w:instrText>
            </w:r>
            <w:r>
              <w:rPr>
                <w:noProof/>
                <w:webHidden/>
              </w:rPr>
              <w:fldChar w:fldCharType="separate"/>
            </w:r>
            <w:r>
              <w:rPr>
                <w:noProof/>
                <w:webHidden/>
              </w:rPr>
              <w:t>7</w:t>
            </w:r>
            <w:r>
              <w:rPr>
                <w:noProof/>
                <w:webHidden/>
              </w:rPr>
              <w:fldChar w:fldCharType="end"/>
            </w:r>
          </w:hyperlink>
        </w:p>
        <w:p w:rsidR="00147259" w14:paraId="5FB7F4C8" w14:textId="02007F21">
          <w:pPr>
            <w:pStyle w:val="TOC3"/>
            <w:tabs>
              <w:tab w:val="left" w:pos="2880"/>
            </w:tabs>
            <w:rPr>
              <w:rFonts w:asciiTheme="minorHAnsi" w:eastAsiaTheme="minorEastAsia" w:hAnsiTheme="minorHAnsi" w:cstheme="minorBidi"/>
              <w:noProof/>
              <w:snapToGrid/>
              <w:kern w:val="2"/>
              <w:sz w:val="22"/>
              <w:szCs w:val="22"/>
              <w14:ligatures w14:val="standardContextual"/>
            </w:rPr>
          </w:pPr>
          <w:hyperlink w:anchor="_Toc187144068" w:history="1">
            <w:r w:rsidRPr="009D0A47">
              <w:rPr>
                <w:rStyle w:val="Hyperlink"/>
                <w:noProof/>
              </w:rPr>
              <w:t>B.2.1.2</w:t>
            </w:r>
            <w:r>
              <w:rPr>
                <w:rFonts w:asciiTheme="minorHAnsi" w:eastAsiaTheme="minorEastAsia" w:hAnsiTheme="minorHAnsi" w:cstheme="minorBidi"/>
                <w:noProof/>
                <w:snapToGrid/>
                <w:kern w:val="2"/>
                <w:sz w:val="22"/>
                <w:szCs w:val="22"/>
                <w14:ligatures w14:val="standardContextual"/>
              </w:rPr>
              <w:tab/>
            </w:r>
            <w:r w:rsidRPr="009D0A47">
              <w:rPr>
                <w:rStyle w:val="Hyperlink"/>
                <w:noProof/>
              </w:rPr>
              <w:t>Questionnaires for Former and Current Teachers (TFS-2 and TFS-3)</w:t>
            </w:r>
            <w:r>
              <w:rPr>
                <w:noProof/>
                <w:webHidden/>
              </w:rPr>
              <w:tab/>
            </w:r>
            <w:r>
              <w:rPr>
                <w:noProof/>
                <w:webHidden/>
              </w:rPr>
              <w:fldChar w:fldCharType="begin"/>
            </w:r>
            <w:r>
              <w:rPr>
                <w:noProof/>
                <w:webHidden/>
              </w:rPr>
              <w:instrText xml:space="preserve"> PAGEREF _Toc187144068 \h </w:instrText>
            </w:r>
            <w:r>
              <w:rPr>
                <w:noProof/>
                <w:webHidden/>
              </w:rPr>
              <w:fldChar w:fldCharType="separate"/>
            </w:r>
            <w:r>
              <w:rPr>
                <w:noProof/>
                <w:webHidden/>
              </w:rPr>
              <w:t>8</w:t>
            </w:r>
            <w:r>
              <w:rPr>
                <w:noProof/>
                <w:webHidden/>
              </w:rPr>
              <w:fldChar w:fldCharType="end"/>
            </w:r>
          </w:hyperlink>
        </w:p>
        <w:p w:rsidR="00147259" w14:paraId="2F369451" w14:textId="51C726AA">
          <w:pPr>
            <w:pStyle w:val="TOC2"/>
            <w:rPr>
              <w:rFonts w:asciiTheme="minorHAnsi" w:eastAsiaTheme="minorEastAsia" w:hAnsiTheme="minorHAnsi" w:cstheme="minorBidi"/>
              <w:noProof/>
              <w:snapToGrid/>
              <w:kern w:val="2"/>
              <w:sz w:val="22"/>
              <w:szCs w:val="22"/>
              <w14:ligatures w14:val="standardContextual"/>
            </w:rPr>
          </w:pPr>
          <w:hyperlink w:anchor="_Toc187144069" w:history="1">
            <w:r w:rsidRPr="009D0A47">
              <w:rPr>
                <w:rStyle w:val="Hyperlink"/>
                <w:noProof/>
              </w:rPr>
              <w:t>B.2.2</w:t>
            </w:r>
            <w:r>
              <w:rPr>
                <w:rFonts w:asciiTheme="minorHAnsi" w:eastAsiaTheme="minorEastAsia" w:hAnsiTheme="minorHAnsi" w:cstheme="minorBidi"/>
                <w:noProof/>
                <w:snapToGrid/>
                <w:kern w:val="2"/>
                <w:sz w:val="22"/>
                <w:szCs w:val="22"/>
                <w14:ligatures w14:val="standardContextual"/>
              </w:rPr>
              <w:tab/>
            </w:r>
            <w:r w:rsidRPr="009D0A47">
              <w:rPr>
                <w:rStyle w:val="Hyperlink"/>
                <w:noProof/>
              </w:rPr>
              <w:t>2024-25 PFS Procedures for the Collection of Information</w:t>
            </w:r>
            <w:r>
              <w:rPr>
                <w:noProof/>
                <w:webHidden/>
              </w:rPr>
              <w:tab/>
            </w:r>
            <w:r>
              <w:rPr>
                <w:noProof/>
                <w:webHidden/>
              </w:rPr>
              <w:fldChar w:fldCharType="begin"/>
            </w:r>
            <w:r>
              <w:rPr>
                <w:noProof/>
                <w:webHidden/>
              </w:rPr>
              <w:instrText xml:space="preserve"> PAGEREF _Toc187144069 \h </w:instrText>
            </w:r>
            <w:r>
              <w:rPr>
                <w:noProof/>
                <w:webHidden/>
              </w:rPr>
              <w:fldChar w:fldCharType="separate"/>
            </w:r>
            <w:r>
              <w:rPr>
                <w:noProof/>
                <w:webHidden/>
              </w:rPr>
              <w:t>10</w:t>
            </w:r>
            <w:r>
              <w:rPr>
                <w:noProof/>
                <w:webHidden/>
              </w:rPr>
              <w:fldChar w:fldCharType="end"/>
            </w:r>
          </w:hyperlink>
        </w:p>
        <w:p w:rsidR="00147259" w14:paraId="5BE4C456" w14:textId="23B494FF">
          <w:pPr>
            <w:pStyle w:val="TOC1"/>
            <w:rPr>
              <w:rFonts w:asciiTheme="minorHAnsi" w:eastAsiaTheme="minorEastAsia" w:hAnsiTheme="minorHAnsi" w:cstheme="minorBidi"/>
              <w:b w:val="0"/>
              <w:bCs w:val="0"/>
              <w:noProof/>
              <w:snapToGrid/>
              <w:kern w:val="2"/>
              <w:sz w:val="22"/>
              <w:szCs w:val="22"/>
              <w14:ligatures w14:val="standardContextual"/>
            </w:rPr>
          </w:pPr>
          <w:hyperlink w:anchor="_Toc187144070" w:history="1">
            <w:r w:rsidRPr="009D0A47">
              <w:rPr>
                <w:rStyle w:val="Hyperlink"/>
                <w:noProof/>
              </w:rPr>
              <w:t>B.3</w:t>
            </w:r>
            <w:r>
              <w:rPr>
                <w:rFonts w:asciiTheme="minorHAnsi" w:eastAsiaTheme="minorEastAsia" w:hAnsiTheme="minorHAnsi" w:cstheme="minorBidi"/>
                <w:b w:val="0"/>
                <w:bCs w:val="0"/>
                <w:noProof/>
                <w:snapToGrid/>
                <w:kern w:val="2"/>
                <w:sz w:val="22"/>
                <w:szCs w:val="22"/>
                <w14:ligatures w14:val="standardContextual"/>
              </w:rPr>
              <w:tab/>
            </w:r>
            <w:r w:rsidRPr="009D0A47">
              <w:rPr>
                <w:rStyle w:val="Hyperlink"/>
                <w:noProof/>
              </w:rPr>
              <w:t>Methods for Maximizing Response</w:t>
            </w:r>
            <w:r>
              <w:rPr>
                <w:noProof/>
                <w:webHidden/>
              </w:rPr>
              <w:tab/>
            </w:r>
            <w:r>
              <w:rPr>
                <w:noProof/>
                <w:webHidden/>
              </w:rPr>
              <w:fldChar w:fldCharType="begin"/>
            </w:r>
            <w:r>
              <w:rPr>
                <w:noProof/>
                <w:webHidden/>
              </w:rPr>
              <w:instrText xml:space="preserve"> PAGEREF _Toc187144070 \h </w:instrText>
            </w:r>
            <w:r>
              <w:rPr>
                <w:noProof/>
                <w:webHidden/>
              </w:rPr>
              <w:fldChar w:fldCharType="separate"/>
            </w:r>
            <w:r>
              <w:rPr>
                <w:noProof/>
                <w:webHidden/>
              </w:rPr>
              <w:t>11</w:t>
            </w:r>
            <w:r>
              <w:rPr>
                <w:noProof/>
                <w:webHidden/>
              </w:rPr>
              <w:fldChar w:fldCharType="end"/>
            </w:r>
          </w:hyperlink>
        </w:p>
        <w:p w:rsidR="00147259" w14:paraId="724CFA12" w14:textId="1AA63F88">
          <w:pPr>
            <w:pStyle w:val="TOC2"/>
            <w:rPr>
              <w:rFonts w:asciiTheme="minorHAnsi" w:eastAsiaTheme="minorEastAsia" w:hAnsiTheme="minorHAnsi" w:cstheme="minorBidi"/>
              <w:noProof/>
              <w:snapToGrid/>
              <w:kern w:val="2"/>
              <w:sz w:val="22"/>
              <w:szCs w:val="22"/>
              <w14:ligatures w14:val="standardContextual"/>
            </w:rPr>
          </w:pPr>
          <w:hyperlink w:anchor="_Toc187144071" w:history="1">
            <w:r w:rsidRPr="009D0A47">
              <w:rPr>
                <w:rStyle w:val="Hyperlink"/>
                <w:noProof/>
              </w:rPr>
              <w:t>B.3.1</w:t>
            </w:r>
            <w:r>
              <w:rPr>
                <w:rFonts w:asciiTheme="minorHAnsi" w:eastAsiaTheme="minorEastAsia" w:hAnsiTheme="minorHAnsi" w:cstheme="minorBidi"/>
                <w:noProof/>
                <w:snapToGrid/>
                <w:kern w:val="2"/>
                <w:sz w:val="22"/>
                <w:szCs w:val="22"/>
                <w14:ligatures w14:val="standardContextual"/>
              </w:rPr>
              <w:tab/>
            </w:r>
            <w:r w:rsidRPr="009D0A47">
              <w:rPr>
                <w:rStyle w:val="Hyperlink"/>
                <w:noProof/>
              </w:rPr>
              <w:t>Endorsements from Key Public and Private School Groups</w:t>
            </w:r>
            <w:r>
              <w:rPr>
                <w:noProof/>
                <w:webHidden/>
              </w:rPr>
              <w:tab/>
            </w:r>
            <w:r>
              <w:rPr>
                <w:noProof/>
                <w:webHidden/>
              </w:rPr>
              <w:fldChar w:fldCharType="begin"/>
            </w:r>
            <w:r>
              <w:rPr>
                <w:noProof/>
                <w:webHidden/>
              </w:rPr>
              <w:instrText xml:space="preserve"> PAGEREF _Toc187144071 \h </w:instrText>
            </w:r>
            <w:r>
              <w:rPr>
                <w:noProof/>
                <w:webHidden/>
              </w:rPr>
              <w:fldChar w:fldCharType="separate"/>
            </w:r>
            <w:r>
              <w:rPr>
                <w:noProof/>
                <w:webHidden/>
              </w:rPr>
              <w:t>12</w:t>
            </w:r>
            <w:r>
              <w:rPr>
                <w:noProof/>
                <w:webHidden/>
              </w:rPr>
              <w:fldChar w:fldCharType="end"/>
            </w:r>
          </w:hyperlink>
        </w:p>
        <w:p w:rsidR="00147259" w14:paraId="0E2274C9" w14:textId="281542BA">
          <w:pPr>
            <w:pStyle w:val="TOC2"/>
            <w:rPr>
              <w:rFonts w:asciiTheme="minorHAnsi" w:eastAsiaTheme="minorEastAsia" w:hAnsiTheme="minorHAnsi" w:cstheme="minorBidi"/>
              <w:noProof/>
              <w:snapToGrid/>
              <w:kern w:val="2"/>
              <w:sz w:val="22"/>
              <w:szCs w:val="22"/>
              <w14:ligatures w14:val="standardContextual"/>
            </w:rPr>
          </w:pPr>
          <w:hyperlink w:anchor="_Toc187144072" w:history="1">
            <w:r w:rsidRPr="009D0A47">
              <w:rPr>
                <w:rStyle w:val="Hyperlink"/>
                <w:noProof/>
              </w:rPr>
              <w:t>B.3.2</w:t>
            </w:r>
            <w:r>
              <w:rPr>
                <w:rFonts w:asciiTheme="minorHAnsi" w:eastAsiaTheme="minorEastAsia" w:hAnsiTheme="minorHAnsi" w:cstheme="minorBidi"/>
                <w:noProof/>
                <w:snapToGrid/>
                <w:kern w:val="2"/>
                <w:sz w:val="22"/>
                <w:szCs w:val="22"/>
                <w14:ligatures w14:val="standardContextual"/>
              </w:rPr>
              <w:tab/>
            </w:r>
            <w:r w:rsidRPr="009D0A47">
              <w:rPr>
                <w:rStyle w:val="Hyperlink"/>
                <w:noProof/>
              </w:rPr>
              <w:t>Stressing the Importance of the Survey and the Respondents’ Participation in it</w:t>
            </w:r>
            <w:r>
              <w:rPr>
                <w:noProof/>
                <w:webHidden/>
              </w:rPr>
              <w:tab/>
            </w:r>
            <w:r>
              <w:rPr>
                <w:noProof/>
                <w:webHidden/>
              </w:rPr>
              <w:fldChar w:fldCharType="begin"/>
            </w:r>
            <w:r>
              <w:rPr>
                <w:noProof/>
                <w:webHidden/>
              </w:rPr>
              <w:instrText xml:space="preserve"> PAGEREF _Toc187144072 \h </w:instrText>
            </w:r>
            <w:r>
              <w:rPr>
                <w:noProof/>
                <w:webHidden/>
              </w:rPr>
              <w:fldChar w:fldCharType="separate"/>
            </w:r>
            <w:r>
              <w:rPr>
                <w:noProof/>
                <w:webHidden/>
              </w:rPr>
              <w:t>13</w:t>
            </w:r>
            <w:r>
              <w:rPr>
                <w:noProof/>
                <w:webHidden/>
              </w:rPr>
              <w:fldChar w:fldCharType="end"/>
            </w:r>
          </w:hyperlink>
        </w:p>
        <w:p w:rsidR="00147259" w14:paraId="5AE6FA64" w14:textId="0604AABB">
          <w:pPr>
            <w:pStyle w:val="TOC2"/>
            <w:rPr>
              <w:rFonts w:asciiTheme="minorHAnsi" w:eastAsiaTheme="minorEastAsia" w:hAnsiTheme="minorHAnsi" w:cstheme="minorBidi"/>
              <w:noProof/>
              <w:snapToGrid/>
              <w:kern w:val="2"/>
              <w:sz w:val="22"/>
              <w:szCs w:val="22"/>
              <w14:ligatures w14:val="standardContextual"/>
            </w:rPr>
          </w:pPr>
          <w:hyperlink w:anchor="_Toc187144073" w:history="1">
            <w:r w:rsidRPr="009D0A47">
              <w:rPr>
                <w:rStyle w:val="Hyperlink"/>
                <w:noProof/>
              </w:rPr>
              <w:t>B.3.3</w:t>
            </w:r>
            <w:r>
              <w:rPr>
                <w:rFonts w:asciiTheme="minorHAnsi" w:eastAsiaTheme="minorEastAsia" w:hAnsiTheme="minorHAnsi" w:cstheme="minorBidi"/>
                <w:noProof/>
                <w:snapToGrid/>
                <w:kern w:val="2"/>
                <w:sz w:val="22"/>
                <w:szCs w:val="22"/>
                <w14:ligatures w14:val="standardContextual"/>
              </w:rPr>
              <w:tab/>
            </w:r>
            <w:r w:rsidRPr="009D0A47">
              <w:rPr>
                <w:rStyle w:val="Hyperlink"/>
                <w:noProof/>
              </w:rPr>
              <w:t>Offering a monetary incentive to current and former teachers</w:t>
            </w:r>
            <w:r>
              <w:rPr>
                <w:noProof/>
                <w:webHidden/>
              </w:rPr>
              <w:tab/>
            </w:r>
            <w:r>
              <w:rPr>
                <w:noProof/>
                <w:webHidden/>
              </w:rPr>
              <w:fldChar w:fldCharType="begin"/>
            </w:r>
            <w:r>
              <w:rPr>
                <w:noProof/>
                <w:webHidden/>
              </w:rPr>
              <w:instrText xml:space="preserve"> PAGEREF _Toc187144073 \h </w:instrText>
            </w:r>
            <w:r>
              <w:rPr>
                <w:noProof/>
                <w:webHidden/>
              </w:rPr>
              <w:fldChar w:fldCharType="separate"/>
            </w:r>
            <w:r>
              <w:rPr>
                <w:noProof/>
                <w:webHidden/>
              </w:rPr>
              <w:t>13</w:t>
            </w:r>
            <w:r>
              <w:rPr>
                <w:noProof/>
                <w:webHidden/>
              </w:rPr>
              <w:fldChar w:fldCharType="end"/>
            </w:r>
          </w:hyperlink>
        </w:p>
        <w:p w:rsidR="00147259" w14:paraId="6A20B115" w14:textId="7ED5DB87">
          <w:pPr>
            <w:pStyle w:val="TOC2"/>
            <w:rPr>
              <w:rFonts w:asciiTheme="minorHAnsi" w:eastAsiaTheme="minorEastAsia" w:hAnsiTheme="minorHAnsi" w:cstheme="minorBidi"/>
              <w:noProof/>
              <w:snapToGrid/>
              <w:kern w:val="2"/>
              <w:sz w:val="22"/>
              <w:szCs w:val="22"/>
              <w14:ligatures w14:val="standardContextual"/>
            </w:rPr>
          </w:pPr>
          <w:hyperlink w:anchor="_Toc187144074" w:history="1">
            <w:r w:rsidRPr="009D0A47">
              <w:rPr>
                <w:rStyle w:val="Hyperlink"/>
                <w:noProof/>
              </w:rPr>
              <w:t>B.3.4</w:t>
            </w:r>
            <w:r>
              <w:rPr>
                <w:rFonts w:asciiTheme="minorHAnsi" w:eastAsiaTheme="minorEastAsia" w:hAnsiTheme="minorHAnsi" w:cstheme="minorBidi"/>
                <w:noProof/>
                <w:snapToGrid/>
                <w:kern w:val="2"/>
                <w:sz w:val="22"/>
                <w:szCs w:val="22"/>
                <w14:ligatures w14:val="standardContextual"/>
              </w:rPr>
              <w:tab/>
            </w:r>
            <w:r w:rsidRPr="009D0A47">
              <w:rPr>
                <w:rStyle w:val="Hyperlink"/>
                <w:noProof/>
              </w:rPr>
              <w:t>Extensive Follow-up (by mail, email, and telephone) of Non-Respondents</w:t>
            </w:r>
            <w:r>
              <w:rPr>
                <w:noProof/>
                <w:webHidden/>
              </w:rPr>
              <w:tab/>
            </w:r>
            <w:r>
              <w:rPr>
                <w:noProof/>
                <w:webHidden/>
              </w:rPr>
              <w:fldChar w:fldCharType="begin"/>
            </w:r>
            <w:r>
              <w:rPr>
                <w:noProof/>
                <w:webHidden/>
              </w:rPr>
              <w:instrText xml:space="preserve"> PAGEREF _Toc187144074 \h </w:instrText>
            </w:r>
            <w:r>
              <w:rPr>
                <w:noProof/>
                <w:webHidden/>
              </w:rPr>
              <w:fldChar w:fldCharType="separate"/>
            </w:r>
            <w:r>
              <w:rPr>
                <w:noProof/>
                <w:webHidden/>
              </w:rPr>
              <w:t>13</w:t>
            </w:r>
            <w:r>
              <w:rPr>
                <w:noProof/>
                <w:webHidden/>
              </w:rPr>
              <w:fldChar w:fldCharType="end"/>
            </w:r>
          </w:hyperlink>
        </w:p>
        <w:p w:rsidR="00147259" w14:paraId="03365BE8" w14:textId="002B1A12">
          <w:pPr>
            <w:pStyle w:val="TOC1"/>
            <w:rPr>
              <w:rFonts w:asciiTheme="minorHAnsi" w:eastAsiaTheme="minorEastAsia" w:hAnsiTheme="minorHAnsi" w:cstheme="minorBidi"/>
              <w:b w:val="0"/>
              <w:bCs w:val="0"/>
              <w:noProof/>
              <w:snapToGrid/>
              <w:kern w:val="2"/>
              <w:sz w:val="22"/>
              <w:szCs w:val="22"/>
              <w14:ligatures w14:val="standardContextual"/>
            </w:rPr>
          </w:pPr>
          <w:hyperlink w:anchor="_Toc187144075" w:history="1">
            <w:r w:rsidRPr="009D0A47">
              <w:rPr>
                <w:rStyle w:val="Hyperlink"/>
                <w:noProof/>
              </w:rPr>
              <w:t>B.4</w:t>
            </w:r>
            <w:r>
              <w:rPr>
                <w:rFonts w:asciiTheme="minorHAnsi" w:eastAsiaTheme="minorEastAsia" w:hAnsiTheme="minorHAnsi" w:cstheme="minorBidi"/>
                <w:b w:val="0"/>
                <w:bCs w:val="0"/>
                <w:noProof/>
                <w:snapToGrid/>
                <w:kern w:val="2"/>
                <w:sz w:val="22"/>
                <w:szCs w:val="22"/>
                <w14:ligatures w14:val="standardContextual"/>
              </w:rPr>
              <w:tab/>
            </w:r>
            <w:r w:rsidRPr="009D0A47">
              <w:rPr>
                <w:rStyle w:val="Hyperlink"/>
                <w:noProof/>
              </w:rPr>
              <w:t>Tests of Procedures and Methods</w:t>
            </w:r>
            <w:r>
              <w:rPr>
                <w:noProof/>
                <w:webHidden/>
              </w:rPr>
              <w:tab/>
            </w:r>
            <w:r>
              <w:rPr>
                <w:noProof/>
                <w:webHidden/>
              </w:rPr>
              <w:fldChar w:fldCharType="begin"/>
            </w:r>
            <w:r>
              <w:rPr>
                <w:noProof/>
                <w:webHidden/>
              </w:rPr>
              <w:instrText xml:space="preserve"> PAGEREF _Toc187144075 \h </w:instrText>
            </w:r>
            <w:r>
              <w:rPr>
                <w:noProof/>
                <w:webHidden/>
              </w:rPr>
              <w:fldChar w:fldCharType="separate"/>
            </w:r>
            <w:r>
              <w:rPr>
                <w:noProof/>
                <w:webHidden/>
              </w:rPr>
              <w:t>14</w:t>
            </w:r>
            <w:r>
              <w:rPr>
                <w:noProof/>
                <w:webHidden/>
              </w:rPr>
              <w:fldChar w:fldCharType="end"/>
            </w:r>
          </w:hyperlink>
        </w:p>
        <w:p w:rsidR="00147259" w14:paraId="57708EA0" w14:textId="0297D7CD">
          <w:pPr>
            <w:pStyle w:val="TOC2"/>
            <w:rPr>
              <w:rFonts w:asciiTheme="minorHAnsi" w:eastAsiaTheme="minorEastAsia" w:hAnsiTheme="minorHAnsi" w:cstheme="minorBidi"/>
              <w:noProof/>
              <w:snapToGrid/>
              <w:kern w:val="2"/>
              <w:sz w:val="22"/>
              <w:szCs w:val="22"/>
              <w14:ligatures w14:val="standardContextual"/>
            </w:rPr>
          </w:pPr>
          <w:hyperlink w:anchor="_Toc187144076" w:history="1">
            <w:r w:rsidRPr="009D0A47">
              <w:rPr>
                <w:rStyle w:val="Hyperlink"/>
                <w:noProof/>
              </w:rPr>
              <w:t>B.4.1 Testing the use of text messages in PFS</w:t>
            </w:r>
            <w:r>
              <w:rPr>
                <w:noProof/>
                <w:webHidden/>
              </w:rPr>
              <w:tab/>
            </w:r>
            <w:r>
              <w:rPr>
                <w:noProof/>
                <w:webHidden/>
              </w:rPr>
              <w:fldChar w:fldCharType="begin"/>
            </w:r>
            <w:r>
              <w:rPr>
                <w:noProof/>
                <w:webHidden/>
              </w:rPr>
              <w:instrText xml:space="preserve"> PAGEREF _Toc187144076 \h </w:instrText>
            </w:r>
            <w:r>
              <w:rPr>
                <w:noProof/>
                <w:webHidden/>
              </w:rPr>
              <w:fldChar w:fldCharType="separate"/>
            </w:r>
            <w:r>
              <w:rPr>
                <w:noProof/>
                <w:webHidden/>
              </w:rPr>
              <w:t>14</w:t>
            </w:r>
            <w:r>
              <w:rPr>
                <w:noProof/>
                <w:webHidden/>
              </w:rPr>
              <w:fldChar w:fldCharType="end"/>
            </w:r>
          </w:hyperlink>
        </w:p>
        <w:p w:rsidR="00147259" w14:paraId="141C6493" w14:textId="17AC30C9">
          <w:pPr>
            <w:pStyle w:val="TOC2"/>
            <w:rPr>
              <w:rFonts w:asciiTheme="minorHAnsi" w:eastAsiaTheme="minorEastAsia" w:hAnsiTheme="minorHAnsi" w:cstheme="minorBidi"/>
              <w:noProof/>
              <w:snapToGrid/>
              <w:kern w:val="2"/>
              <w:sz w:val="22"/>
              <w:szCs w:val="22"/>
              <w14:ligatures w14:val="standardContextual"/>
            </w:rPr>
          </w:pPr>
          <w:hyperlink w:anchor="_Toc187144077" w:history="1">
            <w:r w:rsidRPr="009D0A47">
              <w:rPr>
                <w:rStyle w:val="Hyperlink"/>
                <w:noProof/>
              </w:rPr>
              <w:t>B.4.2 Testing the impact of updated SPD 15</w:t>
            </w:r>
            <w:r>
              <w:rPr>
                <w:noProof/>
                <w:webHidden/>
              </w:rPr>
              <w:tab/>
            </w:r>
            <w:r>
              <w:rPr>
                <w:noProof/>
                <w:webHidden/>
              </w:rPr>
              <w:fldChar w:fldCharType="begin"/>
            </w:r>
            <w:r>
              <w:rPr>
                <w:noProof/>
                <w:webHidden/>
              </w:rPr>
              <w:instrText xml:space="preserve"> PAGEREF _Toc187144077 \h </w:instrText>
            </w:r>
            <w:r>
              <w:rPr>
                <w:noProof/>
                <w:webHidden/>
              </w:rPr>
              <w:fldChar w:fldCharType="separate"/>
            </w:r>
            <w:r>
              <w:rPr>
                <w:noProof/>
                <w:webHidden/>
              </w:rPr>
              <w:t>17</w:t>
            </w:r>
            <w:r>
              <w:rPr>
                <w:noProof/>
                <w:webHidden/>
              </w:rPr>
              <w:fldChar w:fldCharType="end"/>
            </w:r>
          </w:hyperlink>
        </w:p>
        <w:p w:rsidR="00147259" w14:paraId="204B1AB8" w14:textId="046323CA">
          <w:pPr>
            <w:pStyle w:val="TOC1"/>
            <w:rPr>
              <w:rFonts w:asciiTheme="minorHAnsi" w:eastAsiaTheme="minorEastAsia" w:hAnsiTheme="minorHAnsi" w:cstheme="minorBidi"/>
              <w:b w:val="0"/>
              <w:bCs w:val="0"/>
              <w:noProof/>
              <w:snapToGrid/>
              <w:kern w:val="2"/>
              <w:sz w:val="22"/>
              <w:szCs w:val="22"/>
              <w14:ligatures w14:val="standardContextual"/>
            </w:rPr>
          </w:pPr>
          <w:hyperlink w:anchor="_Toc187144078" w:history="1">
            <w:r w:rsidRPr="009D0A47">
              <w:rPr>
                <w:rStyle w:val="Hyperlink"/>
                <w:noProof/>
              </w:rPr>
              <w:t>B.5</w:t>
            </w:r>
            <w:r>
              <w:rPr>
                <w:rFonts w:asciiTheme="minorHAnsi" w:eastAsiaTheme="minorEastAsia" w:hAnsiTheme="minorHAnsi" w:cstheme="minorBidi"/>
                <w:b w:val="0"/>
                <w:bCs w:val="0"/>
                <w:noProof/>
                <w:snapToGrid/>
                <w:kern w:val="2"/>
                <w:sz w:val="22"/>
                <w:szCs w:val="22"/>
                <w14:ligatures w14:val="standardContextual"/>
              </w:rPr>
              <w:tab/>
            </w:r>
            <w:r w:rsidRPr="009D0A47">
              <w:rPr>
                <w:rStyle w:val="Hyperlink"/>
                <w:noProof/>
              </w:rPr>
              <w:t>Reviewing Statisticians</w:t>
            </w:r>
            <w:r>
              <w:rPr>
                <w:noProof/>
                <w:webHidden/>
              </w:rPr>
              <w:tab/>
            </w:r>
            <w:r>
              <w:rPr>
                <w:noProof/>
                <w:webHidden/>
              </w:rPr>
              <w:fldChar w:fldCharType="begin"/>
            </w:r>
            <w:r>
              <w:rPr>
                <w:noProof/>
                <w:webHidden/>
              </w:rPr>
              <w:instrText xml:space="preserve"> PAGEREF _Toc187144078 \h </w:instrText>
            </w:r>
            <w:r>
              <w:rPr>
                <w:noProof/>
                <w:webHidden/>
              </w:rPr>
              <w:fldChar w:fldCharType="separate"/>
            </w:r>
            <w:r>
              <w:rPr>
                <w:noProof/>
                <w:webHidden/>
              </w:rPr>
              <w:t>18</w:t>
            </w:r>
            <w:r>
              <w:rPr>
                <w:noProof/>
                <w:webHidden/>
              </w:rPr>
              <w:fldChar w:fldCharType="end"/>
            </w:r>
          </w:hyperlink>
        </w:p>
        <w:p w:rsidR="008A0E27" w:rsidRPr="00DC7187" w14:paraId="0F55DD37" w14:textId="23E486FA">
          <w:pPr>
            <w:rPr>
              <w:sz w:val="22"/>
              <w:szCs w:val="18"/>
            </w:rPr>
          </w:pPr>
          <w:r w:rsidRPr="00DC7187">
            <w:rPr>
              <w:b/>
              <w:bCs/>
              <w:noProof/>
              <w:sz w:val="22"/>
              <w:szCs w:val="18"/>
            </w:rPr>
            <w:fldChar w:fldCharType="end"/>
          </w:r>
        </w:p>
      </w:sdtContent>
    </w:sdt>
    <w:p w:rsidR="00FA3F84" w:rsidRPr="00DC7187" w:rsidP="00172662" w14:paraId="15FC78DA" w14:textId="77777777">
      <w:pPr>
        <w:widowControl/>
        <w:ind w:right="-36"/>
        <w:rPr>
          <w:b/>
          <w:sz w:val="22"/>
          <w:szCs w:val="22"/>
        </w:rPr>
      </w:pPr>
      <w:r w:rsidRPr="00DC7187">
        <w:rPr>
          <w:bCs/>
          <w:sz w:val="22"/>
          <w:szCs w:val="22"/>
        </w:rPr>
        <w:br w:type="page"/>
      </w:r>
    </w:p>
    <w:p w:rsidR="00BC0330" w:rsidRPr="00DC7187" w:rsidP="00BC0330" w14:paraId="74E3486D" w14:textId="591D2C0F">
      <w:pPr>
        <w:pStyle w:val="Heading1"/>
        <w:rPr>
          <w:sz w:val="22"/>
          <w:szCs w:val="22"/>
        </w:rPr>
      </w:pPr>
      <w:bookmarkStart w:id="0" w:name="_Toc57039274"/>
      <w:bookmarkStart w:id="1" w:name="_Toc187144060"/>
      <w:r w:rsidRPr="00DC7187">
        <w:rPr>
          <w:sz w:val="22"/>
          <w:szCs w:val="22"/>
        </w:rPr>
        <w:t>PART B. COLLECTION OF INFORMATION EMPLOYING STATISTICAL METHODS</w:t>
      </w:r>
      <w:bookmarkEnd w:id="0"/>
      <w:bookmarkEnd w:id="1"/>
    </w:p>
    <w:p w:rsidR="00BC0330" w:rsidRPr="00DC7187" w:rsidP="00BC0330" w14:paraId="4F3014B0" w14:textId="77777777">
      <w:pPr>
        <w:rPr>
          <w:sz w:val="22"/>
          <w:szCs w:val="18"/>
        </w:rPr>
      </w:pPr>
    </w:p>
    <w:p w:rsidR="00BC0330" w:rsidRPr="00DC7187" w:rsidP="008B5B06" w14:paraId="4E5E6A52" w14:textId="3B2BFF8C">
      <w:pPr>
        <w:rPr>
          <w:sz w:val="22"/>
          <w:szCs w:val="18"/>
        </w:rPr>
      </w:pPr>
      <w:r w:rsidRPr="00DC7187">
        <w:rPr>
          <w:sz w:val="22"/>
          <w:szCs w:val="18"/>
        </w:rPr>
        <w:t>This request is to conduct data collection for the two follow-up surveys to the 202</w:t>
      </w:r>
      <w:r w:rsidRPr="00DC7187" w:rsidR="00A56FA3">
        <w:rPr>
          <w:sz w:val="22"/>
          <w:szCs w:val="18"/>
        </w:rPr>
        <w:t>3</w:t>
      </w:r>
      <w:r w:rsidRPr="00DC7187">
        <w:rPr>
          <w:sz w:val="22"/>
          <w:szCs w:val="18"/>
        </w:rPr>
        <w:t>-2</w:t>
      </w:r>
      <w:r w:rsidRPr="00DC7187" w:rsidR="00A56FA3">
        <w:rPr>
          <w:sz w:val="22"/>
          <w:szCs w:val="18"/>
        </w:rPr>
        <w:t>4</w:t>
      </w:r>
      <w:r w:rsidRPr="00DC7187">
        <w:rPr>
          <w:sz w:val="22"/>
          <w:szCs w:val="18"/>
        </w:rPr>
        <w:t xml:space="preserve"> National Teacher and Principal Survey (NTPS) – the 202</w:t>
      </w:r>
      <w:r w:rsidRPr="00DC7187" w:rsidR="00A56FA3">
        <w:rPr>
          <w:sz w:val="22"/>
          <w:szCs w:val="18"/>
        </w:rPr>
        <w:t>4</w:t>
      </w:r>
      <w:r w:rsidRPr="00DC7187">
        <w:rPr>
          <w:sz w:val="22"/>
          <w:szCs w:val="18"/>
        </w:rPr>
        <w:t>-2</w:t>
      </w:r>
      <w:r w:rsidRPr="00DC7187" w:rsidR="00A56FA3">
        <w:rPr>
          <w:sz w:val="22"/>
          <w:szCs w:val="18"/>
        </w:rPr>
        <w:t>5</w:t>
      </w:r>
      <w:r w:rsidRPr="00DC7187">
        <w:rPr>
          <w:sz w:val="22"/>
          <w:szCs w:val="18"/>
        </w:rPr>
        <w:t xml:space="preserve"> Teacher Follow-up Survey (TFS) and the 202</w:t>
      </w:r>
      <w:r w:rsidRPr="00DC7187" w:rsidR="00A56FA3">
        <w:rPr>
          <w:sz w:val="22"/>
          <w:szCs w:val="18"/>
        </w:rPr>
        <w:t>4</w:t>
      </w:r>
      <w:r w:rsidRPr="00DC7187">
        <w:rPr>
          <w:sz w:val="22"/>
          <w:szCs w:val="18"/>
        </w:rPr>
        <w:t>-2</w:t>
      </w:r>
      <w:r w:rsidRPr="00DC7187" w:rsidR="00A56FA3">
        <w:rPr>
          <w:sz w:val="22"/>
          <w:szCs w:val="18"/>
        </w:rPr>
        <w:t>5</w:t>
      </w:r>
      <w:r w:rsidRPr="00DC7187">
        <w:rPr>
          <w:sz w:val="22"/>
          <w:szCs w:val="18"/>
        </w:rPr>
        <w:t xml:space="preserve"> Principal Follow-up Survey (PFS). </w:t>
      </w:r>
    </w:p>
    <w:p w:rsidR="00BC0330" w:rsidRPr="00DC7187" w:rsidP="008B5B06" w14:paraId="644F96D9" w14:textId="77777777">
      <w:pPr>
        <w:rPr>
          <w:sz w:val="22"/>
          <w:szCs w:val="18"/>
        </w:rPr>
      </w:pPr>
    </w:p>
    <w:p w:rsidR="00BC0330" w:rsidRPr="00DC7187" w:rsidP="008B5B06" w14:paraId="1721A063" w14:textId="58C5D202">
      <w:pPr>
        <w:rPr>
          <w:sz w:val="22"/>
          <w:szCs w:val="18"/>
        </w:rPr>
      </w:pPr>
      <w:bookmarkStart w:id="2" w:name="_Toc455153278"/>
      <w:r w:rsidRPr="00DC7187">
        <w:rPr>
          <w:sz w:val="22"/>
          <w:szCs w:val="18"/>
        </w:rPr>
        <w:t>Section B.1 of this document describes the universe, sample design, and estimation details for the 202</w:t>
      </w:r>
      <w:r w:rsidRPr="00DC7187" w:rsidR="00A56FA3">
        <w:rPr>
          <w:sz w:val="22"/>
          <w:szCs w:val="18"/>
        </w:rPr>
        <w:t>4</w:t>
      </w:r>
      <w:r w:rsidRPr="00DC7187">
        <w:rPr>
          <w:sz w:val="22"/>
          <w:szCs w:val="18"/>
        </w:rPr>
        <w:t>-2</w:t>
      </w:r>
      <w:r w:rsidRPr="00DC7187" w:rsidR="00A56FA3">
        <w:rPr>
          <w:sz w:val="22"/>
          <w:szCs w:val="18"/>
        </w:rPr>
        <w:t>5</w:t>
      </w:r>
      <w:r w:rsidRPr="00DC7187">
        <w:rPr>
          <w:sz w:val="22"/>
          <w:szCs w:val="18"/>
        </w:rPr>
        <w:t xml:space="preserve"> TFS and PFS. Section B.2 describes the data collection procedures for both surveys. Section B.3 discusses methods to secure cooperation and mitigate nonresponse. In particular, it describes methods used to improve response rates in the 202</w:t>
      </w:r>
      <w:r w:rsidRPr="00DC7187" w:rsidR="00A56FA3">
        <w:rPr>
          <w:sz w:val="22"/>
          <w:szCs w:val="18"/>
        </w:rPr>
        <w:t>3</w:t>
      </w:r>
      <w:r w:rsidRPr="00DC7187">
        <w:rPr>
          <w:sz w:val="22"/>
          <w:szCs w:val="18"/>
        </w:rPr>
        <w:t>-2</w:t>
      </w:r>
      <w:r w:rsidRPr="00DC7187" w:rsidR="00A56FA3">
        <w:rPr>
          <w:sz w:val="22"/>
          <w:szCs w:val="18"/>
        </w:rPr>
        <w:t>4</w:t>
      </w:r>
      <w:r w:rsidRPr="00DC7187">
        <w:rPr>
          <w:sz w:val="22"/>
          <w:szCs w:val="18"/>
        </w:rPr>
        <w:t xml:space="preserve"> NTPS and how those methods will be used in its two follow-up surveys. Section B.4 describes recent developments in a long history of tests of methods and procedures to improve data quality. Section B.5 lists the names of those involved in the design of the study and the development of these materials.</w:t>
      </w:r>
      <w:bookmarkEnd w:id="2"/>
    </w:p>
    <w:p w:rsidR="00EE56B3" w:rsidRPr="00DC7187" w:rsidP="00BC0330" w14:paraId="523B8731" w14:textId="77777777">
      <w:pPr>
        <w:rPr>
          <w:sz w:val="22"/>
          <w:szCs w:val="18"/>
        </w:rPr>
      </w:pPr>
    </w:p>
    <w:p w:rsidR="00675CC0" w:rsidRPr="00DC7187" w:rsidP="00675CC0" w14:paraId="4FBEBFA8" w14:textId="77777777">
      <w:pPr>
        <w:pStyle w:val="Heading1"/>
        <w:keepNext w:val="0"/>
        <w:spacing w:after="120"/>
        <w:rPr>
          <w:sz w:val="22"/>
          <w:szCs w:val="22"/>
        </w:rPr>
      </w:pPr>
      <w:bookmarkStart w:id="3" w:name="_Toc187144061"/>
      <w:bookmarkStart w:id="4" w:name="_Toc391625750"/>
      <w:bookmarkStart w:id="5" w:name="_Toc392706708"/>
      <w:bookmarkStart w:id="6" w:name="_Toc420609070"/>
      <w:bookmarkStart w:id="7" w:name="_Toc455154250"/>
      <w:bookmarkStart w:id="8" w:name="_Toc455496443"/>
      <w:bookmarkStart w:id="9" w:name="_Toc468187456"/>
      <w:bookmarkStart w:id="10" w:name="_Toc21957885"/>
      <w:bookmarkStart w:id="11" w:name="_Toc57039279"/>
      <w:r>
        <w:rPr>
          <w:sz w:val="22"/>
          <w:szCs w:val="22"/>
        </w:rPr>
        <w:t xml:space="preserve">B.1 </w:t>
      </w:r>
      <w:r w:rsidRPr="00DC7187">
        <w:rPr>
          <w:sz w:val="22"/>
          <w:szCs w:val="22"/>
        </w:rPr>
        <w:t>Respondent Universe and Sample Design</w:t>
      </w:r>
      <w:bookmarkEnd w:id="3"/>
    </w:p>
    <w:p w:rsidR="00675CC0" w:rsidRPr="00DC7187" w:rsidP="00675CC0" w14:paraId="63CB5DE1" w14:textId="77777777">
      <w:pPr>
        <w:pStyle w:val="Heading2"/>
        <w:rPr>
          <w:rFonts w:eastAsiaTheme="minorEastAsia"/>
          <w:sz w:val="22"/>
          <w:szCs w:val="18"/>
        </w:rPr>
      </w:pPr>
      <w:bookmarkStart w:id="12" w:name="_Toc57039276"/>
      <w:bookmarkStart w:id="13" w:name="_Toc57039496"/>
      <w:bookmarkStart w:id="14" w:name="_Toc187144062"/>
      <w:r w:rsidRPr="00DC7187">
        <w:rPr>
          <w:rFonts w:eastAsiaTheme="minorEastAsia"/>
          <w:sz w:val="22"/>
          <w:szCs w:val="18"/>
        </w:rPr>
        <w:t>B.1.1</w:t>
      </w:r>
      <w:r w:rsidRPr="00DC7187">
        <w:rPr>
          <w:rFonts w:eastAsiaTheme="minorEastAsia"/>
          <w:sz w:val="22"/>
          <w:szCs w:val="18"/>
        </w:rPr>
        <w:tab/>
        <w:t>Background on the 2023-24 NTPS Sample</w:t>
      </w:r>
      <w:bookmarkEnd w:id="12"/>
      <w:bookmarkEnd w:id="13"/>
      <w:bookmarkEnd w:id="14"/>
    </w:p>
    <w:p w:rsidR="00675CC0" w:rsidRPr="0059301B" w:rsidP="00675CC0" w14:paraId="0BDD7661" w14:textId="77777777">
      <w:pPr>
        <w:rPr>
          <w:sz w:val="22"/>
          <w:szCs w:val="18"/>
        </w:rPr>
      </w:pPr>
      <w:r w:rsidRPr="0059301B">
        <w:rPr>
          <w:sz w:val="22"/>
          <w:szCs w:val="18"/>
        </w:rPr>
        <w:t>The 2023-24 National Teacher and Principal Survey (2023-24 NTPS) sample was a two-stage stratified sample. The schools were sampled first, and then teachers were selected within each sampled school.</w:t>
      </w:r>
    </w:p>
    <w:p w:rsidR="00675CC0" w:rsidRPr="0059301B" w:rsidP="00675CC0" w14:paraId="4A132175" w14:textId="77777777">
      <w:pPr>
        <w:rPr>
          <w:sz w:val="22"/>
          <w:szCs w:val="18"/>
        </w:rPr>
      </w:pPr>
    </w:p>
    <w:p w:rsidR="00675CC0" w:rsidRPr="0059301B" w:rsidP="00675CC0" w14:paraId="5AF76483" w14:textId="4786C2C0">
      <w:pPr>
        <w:rPr>
          <w:rFonts w:eastAsia="MS Mincho"/>
          <w:sz w:val="22"/>
        </w:rPr>
      </w:pPr>
      <w:r w:rsidRPr="0059301B">
        <w:rPr>
          <w:rFonts w:eastAsia="MS Mincho"/>
          <w:sz w:val="22"/>
          <w:szCs w:val="18"/>
        </w:rPr>
        <w:t xml:space="preserve">The 2023-24 NTPS school sampling used implicit stratification based on proposed systematic sampling order, which uses a hierarchy of domains which vary between public and private schools. The 2023-24 NTPS oversampling stratification for public schools was based primarily on the following domains: charter status (charter, non-charter), school level (elementary, middle, secondary/high, combined/other), urbanicity (city, suburb, town, rural), and state. </w:t>
      </w:r>
      <w:r w:rsidRPr="0059301B">
        <w:rPr>
          <w:rFonts w:eastAsia="MS Mincho"/>
          <w:sz w:val="22"/>
        </w:rPr>
        <w:t>The private school oversampling domains are defined by affiliation (</w:t>
      </w:r>
      <w:r w:rsidRPr="0059301B" w:rsidR="00E84688">
        <w:rPr>
          <w:rFonts w:eastAsia="MS Mincho"/>
          <w:sz w:val="22"/>
          <w:szCs w:val="18"/>
        </w:rPr>
        <w:t>three</w:t>
      </w:r>
      <w:r w:rsidRPr="0059301B">
        <w:rPr>
          <w:rFonts w:eastAsia="MS Mincho"/>
          <w:sz w:val="22"/>
        </w:rPr>
        <w:t xml:space="preserve"> levels), </w:t>
      </w:r>
      <w:r w:rsidRPr="0059301B" w:rsidR="001724ED">
        <w:rPr>
          <w:rFonts w:eastAsia="MS Mincho"/>
          <w:sz w:val="22"/>
        </w:rPr>
        <w:t xml:space="preserve">and </w:t>
      </w:r>
      <w:r w:rsidRPr="0059301B">
        <w:rPr>
          <w:rFonts w:eastAsia="MS Mincho"/>
          <w:sz w:val="22"/>
        </w:rPr>
        <w:t xml:space="preserve">school </w:t>
      </w:r>
      <w:r w:rsidR="00287983">
        <w:rPr>
          <w:rFonts w:eastAsia="MS Mincho"/>
          <w:sz w:val="22"/>
        </w:rPr>
        <w:t>level</w:t>
      </w:r>
      <w:r w:rsidRPr="0059301B" w:rsidR="00287983">
        <w:rPr>
          <w:rFonts w:eastAsia="MS Mincho"/>
          <w:sz w:val="22"/>
        </w:rPr>
        <w:t xml:space="preserve"> </w:t>
      </w:r>
      <w:r w:rsidRPr="0059301B">
        <w:rPr>
          <w:rFonts w:eastAsia="MS Mincho"/>
          <w:sz w:val="22"/>
        </w:rPr>
        <w:t>(Elementary/</w:t>
      </w:r>
      <w:r w:rsidRPr="0059301B">
        <w:rPr>
          <w:rFonts w:eastAsia="MS Mincho"/>
          <w:sz w:val="22"/>
          <w:szCs w:val="18"/>
        </w:rPr>
        <w:t xml:space="preserve">Middle; </w:t>
      </w:r>
      <w:r w:rsidRPr="0059301B">
        <w:rPr>
          <w:rFonts w:eastAsia="MS Mincho"/>
          <w:sz w:val="22"/>
        </w:rPr>
        <w:t>Secondary/</w:t>
      </w:r>
      <w:r w:rsidRPr="0059301B">
        <w:rPr>
          <w:rFonts w:eastAsia="MS Mincho"/>
          <w:sz w:val="22"/>
          <w:szCs w:val="18"/>
        </w:rPr>
        <w:t xml:space="preserve">High; </w:t>
      </w:r>
      <w:r w:rsidRPr="0059301B">
        <w:rPr>
          <w:rFonts w:eastAsia="MS Mincho"/>
          <w:sz w:val="22"/>
        </w:rPr>
        <w:t>Combined</w:t>
      </w:r>
      <w:r w:rsidRPr="0059301B">
        <w:rPr>
          <w:rFonts w:eastAsia="MS Mincho"/>
          <w:sz w:val="22"/>
          <w:szCs w:val="18"/>
        </w:rPr>
        <w:t>/Other</w:t>
      </w:r>
      <w:r w:rsidRPr="0059301B">
        <w:rPr>
          <w:rFonts w:eastAsia="MS Mincho"/>
          <w:sz w:val="22"/>
        </w:rPr>
        <w:t>).</w:t>
      </w:r>
      <w:r w:rsidRPr="0059301B" w:rsidR="00121CFB">
        <w:rPr>
          <w:rFonts w:eastAsia="MS Mincho"/>
          <w:sz w:val="22"/>
        </w:rPr>
        <w:t xml:space="preserve"> The oversampling rates for public and private school</w:t>
      </w:r>
      <w:r w:rsidRPr="0059301B" w:rsidR="006E6501">
        <w:rPr>
          <w:rFonts w:eastAsia="MS Mincho"/>
          <w:sz w:val="22"/>
        </w:rPr>
        <w:t xml:space="preserve">s </w:t>
      </w:r>
      <w:r w:rsidR="00287983">
        <w:rPr>
          <w:rFonts w:eastAsia="MS Mincho"/>
          <w:sz w:val="22"/>
        </w:rPr>
        <w:t>were</w:t>
      </w:r>
      <w:r w:rsidRPr="0059301B" w:rsidR="00287983">
        <w:rPr>
          <w:rFonts w:eastAsia="MS Mincho"/>
          <w:sz w:val="22"/>
        </w:rPr>
        <w:t xml:space="preserve"> </w:t>
      </w:r>
      <w:r w:rsidRPr="0059301B" w:rsidR="006E6501">
        <w:rPr>
          <w:rFonts w:eastAsia="MS Mincho"/>
          <w:sz w:val="22"/>
        </w:rPr>
        <w:t>as follows:</w:t>
      </w:r>
    </w:p>
    <w:p w:rsidR="006E6501" w:rsidRPr="0059301B" w:rsidP="00675CC0" w14:paraId="77D4AE49" w14:textId="77777777">
      <w:pPr>
        <w:rPr>
          <w:rFonts w:eastAsia="MS Mincho"/>
          <w:sz w:val="22"/>
        </w:rPr>
      </w:pPr>
    </w:p>
    <w:p w:rsidR="00C15783" w:rsidRPr="0059301B" w:rsidP="00675CC0" w14:paraId="44E8A698" w14:textId="4301DAE2">
      <w:pPr>
        <w:rPr>
          <w:rFonts w:eastAsia="MS Mincho"/>
          <w:b/>
          <w:sz w:val="20"/>
        </w:rPr>
      </w:pPr>
      <w:r w:rsidRPr="0059301B">
        <w:rPr>
          <w:rFonts w:eastAsia="MS Mincho"/>
          <w:b/>
          <w:sz w:val="20"/>
        </w:rPr>
        <w:t xml:space="preserve">Table </w:t>
      </w:r>
      <w:r w:rsidRPr="0059301B" w:rsidR="007859DD">
        <w:rPr>
          <w:rFonts w:eastAsia="MS Mincho"/>
          <w:b/>
          <w:bCs/>
          <w:sz w:val="20"/>
        </w:rPr>
        <w:t>B</w:t>
      </w:r>
      <w:r w:rsidRPr="0059301B">
        <w:rPr>
          <w:rFonts w:eastAsia="MS Mincho"/>
          <w:b/>
          <w:sz w:val="20"/>
        </w:rPr>
        <w:t>1. NTPS 2023-24 public school oversampling domain and oversampling rates.</w:t>
      </w:r>
    </w:p>
    <w:tbl>
      <w:tblPr>
        <w:tblW w:w="7623" w:type="dxa"/>
        <w:tblInd w:w="-5" w:type="dxa"/>
        <w:tblBorders>
          <w:top w:val="single" w:sz="2" w:space="0" w:color="auto"/>
          <w:left w:val="single" w:sz="4" w:space="0" w:color="auto"/>
          <w:bottom w:val="single" w:sz="2" w:space="0" w:color="auto"/>
          <w:right w:val="single" w:sz="4" w:space="0" w:color="auto"/>
          <w:insideH w:val="single" w:sz="2" w:space="0" w:color="auto"/>
          <w:insideV w:val="single" w:sz="2" w:space="0" w:color="auto"/>
        </w:tblBorders>
        <w:tblLayout w:type="fixed"/>
        <w:tblLook w:val="04A0"/>
      </w:tblPr>
      <w:tblGrid>
        <w:gridCol w:w="2616"/>
        <w:gridCol w:w="1722"/>
        <w:gridCol w:w="1620"/>
        <w:gridCol w:w="1665"/>
      </w:tblGrid>
      <w:tr w14:paraId="7354D556" w14:textId="77777777" w:rsidTr="0088647E">
        <w:tblPrEx>
          <w:tblW w:w="7623" w:type="dxa"/>
          <w:tblInd w:w="-5" w:type="dxa"/>
          <w:tblBorders>
            <w:top w:val="single" w:sz="2" w:space="0" w:color="auto"/>
            <w:left w:val="single" w:sz="4" w:space="0" w:color="auto"/>
            <w:bottom w:val="single" w:sz="2" w:space="0" w:color="auto"/>
            <w:right w:val="single" w:sz="4" w:space="0" w:color="auto"/>
            <w:insideH w:val="single" w:sz="2" w:space="0" w:color="auto"/>
            <w:insideV w:val="single" w:sz="2" w:space="0" w:color="auto"/>
          </w:tblBorders>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735D4E" w:rsidRPr="0059301B" w14:paraId="11CC4138" w14:textId="387EE765">
            <w:pPr>
              <w:jc w:val="center"/>
              <w:rPr>
                <w:b/>
                <w:bCs/>
                <w:color w:val="000000"/>
                <w:sz w:val="20"/>
              </w:rPr>
            </w:pPr>
            <w:r w:rsidRPr="0059301B">
              <w:rPr>
                <w:b/>
                <w:bCs/>
                <w:color w:val="000000"/>
                <w:sz w:val="20"/>
              </w:rPr>
              <w:t>Charter type</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735D4E" w:rsidRPr="0059301B" w14:paraId="63EEAC20" w14:textId="2A08D716">
            <w:pPr>
              <w:jc w:val="center"/>
              <w:rPr>
                <w:b/>
                <w:bCs/>
                <w:sz w:val="20"/>
              </w:rPr>
            </w:pPr>
            <w:r w:rsidRPr="0059301B">
              <w:rPr>
                <w:b/>
                <w:bCs/>
                <w:sz w:val="20"/>
              </w:rPr>
              <w:t>School level</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735D4E" w:rsidRPr="0059301B" w14:paraId="564E3CF6" w14:textId="23807991">
            <w:pPr>
              <w:jc w:val="center"/>
              <w:rPr>
                <w:b/>
                <w:bCs/>
                <w:sz w:val="20"/>
              </w:rPr>
            </w:pPr>
            <w:r w:rsidRPr="0059301B">
              <w:rPr>
                <w:b/>
                <w:bCs/>
                <w:sz w:val="20"/>
              </w:rPr>
              <w:t>Urbanicity</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735D4E" w:rsidRPr="0059301B" w14:paraId="12859471" w14:textId="3CCBF715">
            <w:pPr>
              <w:jc w:val="center"/>
              <w:rPr>
                <w:b/>
                <w:bCs/>
                <w:sz w:val="20"/>
              </w:rPr>
            </w:pPr>
            <w:r w:rsidRPr="0059301B">
              <w:rPr>
                <w:b/>
                <w:bCs/>
                <w:sz w:val="20"/>
              </w:rPr>
              <w:t>School domain oversampling rate</w:t>
            </w:r>
          </w:p>
        </w:tc>
      </w:tr>
      <w:tr w14:paraId="33DC24FF" w14:textId="77777777" w:rsidTr="0088647E">
        <w:tblPrEx>
          <w:tblW w:w="7623"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hideMark/>
          </w:tcPr>
          <w:p w:rsidR="00735D4E" w:rsidRPr="0059301B" w14:paraId="18894246" w14:textId="33C95659">
            <w:pPr>
              <w:rPr>
                <w:b/>
                <w:bCs/>
                <w:color w:val="000000"/>
                <w:sz w:val="20"/>
              </w:rPr>
            </w:pPr>
            <w:r w:rsidRPr="0059301B">
              <w:rPr>
                <w:sz w:val="20"/>
              </w:rPr>
              <w:t>Charter</w:t>
            </w:r>
          </w:p>
        </w:tc>
        <w:tc>
          <w:tcPr>
            <w:tcW w:w="1722" w:type="dxa"/>
            <w:tcBorders>
              <w:top w:val="single" w:sz="2" w:space="0" w:color="auto"/>
              <w:left w:val="single" w:sz="2" w:space="0" w:color="auto"/>
              <w:bottom w:val="single" w:sz="2" w:space="0" w:color="auto"/>
              <w:right w:val="single" w:sz="2" w:space="0" w:color="auto"/>
            </w:tcBorders>
            <w:noWrap/>
            <w:hideMark/>
          </w:tcPr>
          <w:p w:rsidR="00735D4E" w:rsidRPr="0059301B" w14:paraId="64C03EFC" w14:textId="4DF8E347">
            <w:pPr>
              <w:jc w:val="center"/>
              <w:rPr>
                <w:sz w:val="20"/>
              </w:rPr>
            </w:pPr>
            <w:r w:rsidRPr="0059301B">
              <w:rPr>
                <w:sz w:val="20"/>
              </w:rPr>
              <w:t>All</w:t>
            </w:r>
          </w:p>
        </w:tc>
        <w:tc>
          <w:tcPr>
            <w:tcW w:w="1620" w:type="dxa"/>
            <w:tcBorders>
              <w:top w:val="single" w:sz="2" w:space="0" w:color="auto"/>
              <w:left w:val="single" w:sz="2" w:space="0" w:color="auto"/>
              <w:bottom w:val="single" w:sz="2" w:space="0" w:color="auto"/>
              <w:right w:val="single" w:sz="2" w:space="0" w:color="auto"/>
            </w:tcBorders>
            <w:noWrap/>
            <w:hideMark/>
          </w:tcPr>
          <w:p w:rsidR="00735D4E" w:rsidRPr="0059301B" w14:paraId="3E3D354B" w14:textId="4436FCC8">
            <w:pPr>
              <w:jc w:val="center"/>
              <w:rPr>
                <w:sz w:val="20"/>
              </w:rPr>
            </w:pPr>
            <w:r w:rsidRPr="0059301B">
              <w:rPr>
                <w:sz w:val="20"/>
              </w:rPr>
              <w:t xml:space="preserve">All  </w:t>
            </w:r>
          </w:p>
        </w:tc>
        <w:tc>
          <w:tcPr>
            <w:tcW w:w="1665" w:type="dxa"/>
            <w:tcBorders>
              <w:top w:val="single" w:sz="2" w:space="0" w:color="auto"/>
              <w:left w:val="single" w:sz="2" w:space="0" w:color="auto"/>
              <w:bottom w:val="single" w:sz="2" w:space="0" w:color="auto"/>
              <w:right w:val="single" w:sz="2" w:space="0" w:color="auto"/>
            </w:tcBorders>
            <w:noWrap/>
            <w:hideMark/>
          </w:tcPr>
          <w:p w:rsidR="00735D4E" w:rsidRPr="0059301B" w14:paraId="4D325FBA" w14:textId="013CF25D">
            <w:pPr>
              <w:jc w:val="center"/>
              <w:rPr>
                <w:sz w:val="20"/>
              </w:rPr>
            </w:pPr>
            <w:r w:rsidRPr="0059301B">
              <w:rPr>
                <w:sz w:val="20"/>
              </w:rPr>
              <w:t>2.91</w:t>
            </w:r>
          </w:p>
        </w:tc>
      </w:tr>
      <w:tr w14:paraId="73B049C9" w14:textId="77777777" w:rsidTr="0088647E">
        <w:tblPrEx>
          <w:tblW w:w="7623"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hideMark/>
          </w:tcPr>
          <w:p w:rsidR="00735D4E" w:rsidRPr="0059301B" w14:paraId="1F8418B7" w14:textId="6C6BE12B">
            <w:pPr>
              <w:rPr>
                <w:color w:val="000000"/>
                <w:sz w:val="20"/>
              </w:rPr>
            </w:pPr>
            <w:r w:rsidRPr="0059301B">
              <w:rPr>
                <w:sz w:val="20"/>
              </w:rPr>
              <w:t>Non-charter</w:t>
            </w:r>
          </w:p>
        </w:tc>
        <w:tc>
          <w:tcPr>
            <w:tcW w:w="1722" w:type="dxa"/>
            <w:tcBorders>
              <w:top w:val="single" w:sz="2" w:space="0" w:color="auto"/>
              <w:left w:val="single" w:sz="2" w:space="0" w:color="auto"/>
              <w:bottom w:val="single" w:sz="2" w:space="0" w:color="auto"/>
              <w:right w:val="single" w:sz="2" w:space="0" w:color="auto"/>
            </w:tcBorders>
            <w:noWrap/>
            <w:hideMark/>
          </w:tcPr>
          <w:p w:rsidR="00735D4E" w:rsidRPr="0059301B" w14:paraId="29B4E24C" w14:textId="27272054">
            <w:pPr>
              <w:jc w:val="center"/>
              <w:rPr>
                <w:sz w:val="20"/>
              </w:rPr>
            </w:pPr>
            <w:r w:rsidRPr="0059301B">
              <w:rPr>
                <w:sz w:val="20"/>
              </w:rPr>
              <w:t>Elementary</w:t>
            </w:r>
          </w:p>
        </w:tc>
        <w:tc>
          <w:tcPr>
            <w:tcW w:w="1620" w:type="dxa"/>
            <w:tcBorders>
              <w:top w:val="single" w:sz="2" w:space="0" w:color="auto"/>
              <w:left w:val="single" w:sz="2" w:space="0" w:color="auto"/>
              <w:bottom w:val="single" w:sz="2" w:space="0" w:color="auto"/>
              <w:right w:val="single" w:sz="2" w:space="0" w:color="auto"/>
            </w:tcBorders>
            <w:noWrap/>
            <w:hideMark/>
          </w:tcPr>
          <w:p w:rsidR="00735D4E" w:rsidRPr="0059301B" w14:paraId="1B5A51D5" w14:textId="3762067C">
            <w:pPr>
              <w:jc w:val="center"/>
              <w:rPr>
                <w:sz w:val="20"/>
              </w:rPr>
            </w:pPr>
            <w:r w:rsidRPr="0059301B">
              <w:rPr>
                <w:sz w:val="20"/>
              </w:rPr>
              <w:t>City</w:t>
            </w:r>
          </w:p>
        </w:tc>
        <w:tc>
          <w:tcPr>
            <w:tcW w:w="1665" w:type="dxa"/>
            <w:tcBorders>
              <w:top w:val="single" w:sz="2" w:space="0" w:color="auto"/>
              <w:left w:val="single" w:sz="2" w:space="0" w:color="auto"/>
              <w:bottom w:val="single" w:sz="2" w:space="0" w:color="auto"/>
              <w:right w:val="single" w:sz="2" w:space="0" w:color="auto"/>
            </w:tcBorders>
            <w:noWrap/>
            <w:hideMark/>
          </w:tcPr>
          <w:p w:rsidR="00735D4E" w:rsidRPr="0059301B" w14:paraId="73021225" w14:textId="7477E074">
            <w:pPr>
              <w:jc w:val="center"/>
              <w:rPr>
                <w:sz w:val="20"/>
              </w:rPr>
            </w:pPr>
            <w:r w:rsidRPr="0059301B">
              <w:rPr>
                <w:sz w:val="20"/>
              </w:rPr>
              <w:t>1.</w:t>
            </w:r>
            <w:r w:rsidRPr="0059301B" w:rsidR="00C15783">
              <w:rPr>
                <w:sz w:val="20"/>
              </w:rPr>
              <w:t>04</w:t>
            </w:r>
          </w:p>
        </w:tc>
      </w:tr>
      <w:tr w14:paraId="225E9739" w14:textId="77777777" w:rsidTr="0088647E">
        <w:tblPrEx>
          <w:tblW w:w="7623"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hideMark/>
          </w:tcPr>
          <w:p w:rsidR="00735D4E" w:rsidRPr="0059301B" w14:paraId="4D0B9FA7" w14:textId="77777777">
            <w:pPr>
              <w:rPr>
                <w:color w:val="000000"/>
                <w:sz w:val="20"/>
              </w:rPr>
            </w:pPr>
            <w:r w:rsidRPr="0059301B">
              <w:rPr>
                <w:sz w:val="20"/>
              </w:rPr>
              <w:t>Non-charter</w:t>
            </w:r>
          </w:p>
        </w:tc>
        <w:tc>
          <w:tcPr>
            <w:tcW w:w="1722" w:type="dxa"/>
            <w:tcBorders>
              <w:top w:val="single" w:sz="2" w:space="0" w:color="auto"/>
              <w:left w:val="single" w:sz="2" w:space="0" w:color="auto"/>
              <w:bottom w:val="single" w:sz="2" w:space="0" w:color="auto"/>
              <w:right w:val="single" w:sz="2" w:space="0" w:color="auto"/>
            </w:tcBorders>
            <w:noWrap/>
            <w:hideMark/>
          </w:tcPr>
          <w:p w:rsidR="00735D4E" w:rsidRPr="0059301B" w14:paraId="51F8986B" w14:textId="6D772CD3">
            <w:pPr>
              <w:jc w:val="center"/>
              <w:rPr>
                <w:sz w:val="20"/>
              </w:rPr>
            </w:pPr>
            <w:r w:rsidRPr="0059301B">
              <w:rPr>
                <w:sz w:val="20"/>
              </w:rPr>
              <w:t>Elementary</w:t>
            </w:r>
          </w:p>
        </w:tc>
        <w:tc>
          <w:tcPr>
            <w:tcW w:w="1620" w:type="dxa"/>
            <w:tcBorders>
              <w:top w:val="single" w:sz="2" w:space="0" w:color="auto"/>
              <w:left w:val="single" w:sz="2" w:space="0" w:color="auto"/>
              <w:bottom w:val="single" w:sz="2" w:space="0" w:color="auto"/>
              <w:right w:val="single" w:sz="2" w:space="0" w:color="auto"/>
            </w:tcBorders>
            <w:noWrap/>
            <w:hideMark/>
          </w:tcPr>
          <w:p w:rsidR="00735D4E" w:rsidRPr="0059301B" w14:paraId="48FC170A" w14:textId="5A3B2872">
            <w:pPr>
              <w:jc w:val="center"/>
              <w:rPr>
                <w:sz w:val="20"/>
              </w:rPr>
            </w:pPr>
            <w:r w:rsidRPr="0059301B">
              <w:rPr>
                <w:sz w:val="20"/>
              </w:rPr>
              <w:t>Suburb</w:t>
            </w:r>
          </w:p>
        </w:tc>
        <w:tc>
          <w:tcPr>
            <w:tcW w:w="1665" w:type="dxa"/>
            <w:tcBorders>
              <w:top w:val="single" w:sz="2" w:space="0" w:color="auto"/>
              <w:left w:val="single" w:sz="2" w:space="0" w:color="auto"/>
              <w:bottom w:val="single" w:sz="2" w:space="0" w:color="auto"/>
              <w:right w:val="single" w:sz="2" w:space="0" w:color="auto"/>
            </w:tcBorders>
            <w:noWrap/>
            <w:hideMark/>
          </w:tcPr>
          <w:p w:rsidR="00735D4E" w:rsidRPr="0059301B" w14:paraId="0A0CB021" w14:textId="43CF65C2">
            <w:pPr>
              <w:jc w:val="center"/>
              <w:rPr>
                <w:sz w:val="20"/>
              </w:rPr>
            </w:pPr>
            <w:r w:rsidRPr="0059301B">
              <w:rPr>
                <w:sz w:val="20"/>
              </w:rPr>
              <w:t>1.00</w:t>
            </w:r>
          </w:p>
        </w:tc>
      </w:tr>
      <w:tr w14:paraId="58562C1E" w14:textId="77777777" w:rsidTr="0088647E">
        <w:tblPrEx>
          <w:tblW w:w="7623"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hideMark/>
          </w:tcPr>
          <w:p w:rsidR="00735D4E" w:rsidRPr="0059301B" w14:paraId="21DC1E35" w14:textId="6A134EF7">
            <w:pPr>
              <w:rPr>
                <w:color w:val="000000"/>
                <w:sz w:val="20"/>
              </w:rPr>
            </w:pPr>
            <w:r w:rsidRPr="0059301B">
              <w:rPr>
                <w:sz w:val="20"/>
              </w:rPr>
              <w:t>Non-charter</w:t>
            </w:r>
          </w:p>
        </w:tc>
        <w:tc>
          <w:tcPr>
            <w:tcW w:w="1722" w:type="dxa"/>
            <w:tcBorders>
              <w:top w:val="single" w:sz="2" w:space="0" w:color="auto"/>
              <w:left w:val="single" w:sz="2" w:space="0" w:color="auto"/>
              <w:bottom w:val="single" w:sz="2" w:space="0" w:color="auto"/>
              <w:right w:val="single" w:sz="2" w:space="0" w:color="auto"/>
            </w:tcBorders>
            <w:noWrap/>
            <w:hideMark/>
          </w:tcPr>
          <w:p w:rsidR="00735D4E" w:rsidRPr="0059301B" w14:paraId="147F8916" w14:textId="2DD2C00D">
            <w:pPr>
              <w:jc w:val="center"/>
              <w:rPr>
                <w:sz w:val="20"/>
              </w:rPr>
            </w:pPr>
            <w:r w:rsidRPr="0059301B">
              <w:rPr>
                <w:sz w:val="20"/>
              </w:rPr>
              <w:t>Elementary</w:t>
            </w:r>
          </w:p>
        </w:tc>
        <w:tc>
          <w:tcPr>
            <w:tcW w:w="1620" w:type="dxa"/>
            <w:tcBorders>
              <w:top w:val="single" w:sz="2" w:space="0" w:color="auto"/>
              <w:left w:val="single" w:sz="2" w:space="0" w:color="auto"/>
              <w:bottom w:val="single" w:sz="2" w:space="0" w:color="auto"/>
              <w:right w:val="single" w:sz="2" w:space="0" w:color="auto"/>
            </w:tcBorders>
            <w:noWrap/>
            <w:hideMark/>
          </w:tcPr>
          <w:p w:rsidR="00735D4E" w:rsidRPr="0059301B" w14:paraId="7BBABC73" w14:textId="3E67F735">
            <w:pPr>
              <w:jc w:val="center"/>
              <w:rPr>
                <w:sz w:val="20"/>
              </w:rPr>
            </w:pPr>
            <w:r w:rsidRPr="0059301B">
              <w:rPr>
                <w:sz w:val="20"/>
              </w:rPr>
              <w:t>Town</w:t>
            </w:r>
          </w:p>
        </w:tc>
        <w:tc>
          <w:tcPr>
            <w:tcW w:w="1665" w:type="dxa"/>
            <w:tcBorders>
              <w:top w:val="single" w:sz="2" w:space="0" w:color="auto"/>
              <w:left w:val="single" w:sz="2" w:space="0" w:color="auto"/>
              <w:bottom w:val="single" w:sz="2" w:space="0" w:color="auto"/>
              <w:right w:val="single" w:sz="2" w:space="0" w:color="auto"/>
            </w:tcBorders>
            <w:noWrap/>
            <w:hideMark/>
          </w:tcPr>
          <w:p w:rsidR="00735D4E" w:rsidRPr="0059301B" w14:paraId="45DC6F1A" w14:textId="1082C67E">
            <w:pPr>
              <w:jc w:val="center"/>
              <w:rPr>
                <w:sz w:val="20"/>
              </w:rPr>
            </w:pPr>
            <w:r w:rsidRPr="0059301B">
              <w:rPr>
                <w:sz w:val="20"/>
              </w:rPr>
              <w:t>1.34</w:t>
            </w:r>
          </w:p>
        </w:tc>
      </w:tr>
      <w:tr w14:paraId="4E50B966" w14:textId="77777777" w:rsidTr="0088647E">
        <w:tblPrEx>
          <w:tblW w:w="7623"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hideMark/>
          </w:tcPr>
          <w:p w:rsidR="00735D4E" w:rsidRPr="0059301B" w14:paraId="7CE76212" w14:textId="60CB73F7">
            <w:pPr>
              <w:rPr>
                <w:color w:val="000000"/>
                <w:sz w:val="20"/>
              </w:rPr>
            </w:pPr>
            <w:r w:rsidRPr="0059301B">
              <w:rPr>
                <w:sz w:val="20"/>
              </w:rPr>
              <w:t>Non-charter</w:t>
            </w:r>
          </w:p>
        </w:tc>
        <w:tc>
          <w:tcPr>
            <w:tcW w:w="1722" w:type="dxa"/>
            <w:tcBorders>
              <w:top w:val="single" w:sz="2" w:space="0" w:color="auto"/>
              <w:left w:val="single" w:sz="2" w:space="0" w:color="auto"/>
              <w:bottom w:val="single" w:sz="2" w:space="0" w:color="auto"/>
              <w:right w:val="single" w:sz="2" w:space="0" w:color="auto"/>
            </w:tcBorders>
            <w:noWrap/>
            <w:hideMark/>
          </w:tcPr>
          <w:p w:rsidR="00735D4E" w:rsidRPr="0059301B" w14:paraId="53AA5150" w14:textId="675E3C6B">
            <w:pPr>
              <w:jc w:val="center"/>
              <w:rPr>
                <w:sz w:val="20"/>
              </w:rPr>
            </w:pPr>
            <w:r w:rsidRPr="0059301B">
              <w:rPr>
                <w:sz w:val="20"/>
              </w:rPr>
              <w:t>Elementary</w:t>
            </w:r>
          </w:p>
        </w:tc>
        <w:tc>
          <w:tcPr>
            <w:tcW w:w="1620" w:type="dxa"/>
            <w:tcBorders>
              <w:top w:val="single" w:sz="2" w:space="0" w:color="auto"/>
              <w:left w:val="single" w:sz="2" w:space="0" w:color="auto"/>
              <w:bottom w:val="single" w:sz="2" w:space="0" w:color="auto"/>
              <w:right w:val="single" w:sz="2" w:space="0" w:color="auto"/>
            </w:tcBorders>
            <w:noWrap/>
            <w:hideMark/>
          </w:tcPr>
          <w:p w:rsidR="00735D4E" w:rsidRPr="0059301B" w14:paraId="47FE3ECE" w14:textId="4271D4A1">
            <w:pPr>
              <w:jc w:val="center"/>
              <w:rPr>
                <w:sz w:val="20"/>
              </w:rPr>
            </w:pPr>
            <w:r w:rsidRPr="0059301B">
              <w:rPr>
                <w:sz w:val="20"/>
              </w:rPr>
              <w:t>Rural</w:t>
            </w:r>
          </w:p>
        </w:tc>
        <w:tc>
          <w:tcPr>
            <w:tcW w:w="1665" w:type="dxa"/>
            <w:tcBorders>
              <w:top w:val="single" w:sz="2" w:space="0" w:color="auto"/>
              <w:left w:val="single" w:sz="2" w:space="0" w:color="auto"/>
              <w:bottom w:val="single" w:sz="2" w:space="0" w:color="auto"/>
              <w:right w:val="single" w:sz="2" w:space="0" w:color="auto"/>
            </w:tcBorders>
            <w:noWrap/>
            <w:hideMark/>
          </w:tcPr>
          <w:p w:rsidR="00735D4E" w:rsidRPr="0059301B" w14:paraId="7FBC4F61" w14:textId="52B34EC7">
            <w:pPr>
              <w:jc w:val="center"/>
              <w:rPr>
                <w:sz w:val="20"/>
              </w:rPr>
            </w:pPr>
            <w:r w:rsidRPr="0059301B">
              <w:rPr>
                <w:sz w:val="20"/>
              </w:rPr>
              <w:t>1.</w:t>
            </w:r>
            <w:r w:rsidRPr="0059301B" w:rsidR="00C15783">
              <w:rPr>
                <w:sz w:val="20"/>
              </w:rPr>
              <w:t>12</w:t>
            </w:r>
          </w:p>
        </w:tc>
      </w:tr>
      <w:tr w14:paraId="51DC5733" w14:textId="77777777" w:rsidTr="0088647E">
        <w:tblPrEx>
          <w:tblW w:w="7623"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hideMark/>
          </w:tcPr>
          <w:p w:rsidR="00735D4E" w:rsidRPr="0059301B" w14:paraId="09E55A25" w14:textId="2B79BC4A">
            <w:pPr>
              <w:rPr>
                <w:color w:val="000000"/>
                <w:sz w:val="20"/>
              </w:rPr>
            </w:pPr>
            <w:r w:rsidRPr="0059301B">
              <w:rPr>
                <w:sz w:val="20"/>
              </w:rPr>
              <w:t>Non-charter</w:t>
            </w:r>
          </w:p>
        </w:tc>
        <w:tc>
          <w:tcPr>
            <w:tcW w:w="1722" w:type="dxa"/>
            <w:tcBorders>
              <w:top w:val="single" w:sz="2" w:space="0" w:color="auto"/>
              <w:left w:val="single" w:sz="2" w:space="0" w:color="auto"/>
              <w:bottom w:val="single" w:sz="2" w:space="0" w:color="auto"/>
              <w:right w:val="single" w:sz="2" w:space="0" w:color="auto"/>
            </w:tcBorders>
            <w:noWrap/>
            <w:hideMark/>
          </w:tcPr>
          <w:p w:rsidR="00735D4E" w:rsidRPr="0059301B" w14:paraId="3EBFF9FC" w14:textId="4040BDC0">
            <w:pPr>
              <w:jc w:val="center"/>
              <w:rPr>
                <w:sz w:val="20"/>
              </w:rPr>
            </w:pPr>
            <w:r w:rsidRPr="0059301B">
              <w:rPr>
                <w:sz w:val="20"/>
              </w:rPr>
              <w:t>Middle</w:t>
            </w:r>
          </w:p>
        </w:tc>
        <w:tc>
          <w:tcPr>
            <w:tcW w:w="1620" w:type="dxa"/>
            <w:tcBorders>
              <w:top w:val="single" w:sz="2" w:space="0" w:color="auto"/>
              <w:left w:val="single" w:sz="2" w:space="0" w:color="auto"/>
              <w:bottom w:val="single" w:sz="2" w:space="0" w:color="auto"/>
              <w:right w:val="single" w:sz="2" w:space="0" w:color="auto"/>
            </w:tcBorders>
            <w:noWrap/>
            <w:hideMark/>
          </w:tcPr>
          <w:p w:rsidR="00735D4E" w:rsidRPr="0059301B" w14:paraId="65E60964" w14:textId="673F85C7">
            <w:pPr>
              <w:jc w:val="center"/>
              <w:rPr>
                <w:sz w:val="20"/>
              </w:rPr>
            </w:pPr>
            <w:r w:rsidRPr="0059301B">
              <w:rPr>
                <w:sz w:val="20"/>
              </w:rPr>
              <w:t>City</w:t>
            </w:r>
          </w:p>
        </w:tc>
        <w:tc>
          <w:tcPr>
            <w:tcW w:w="1665" w:type="dxa"/>
            <w:tcBorders>
              <w:top w:val="single" w:sz="2" w:space="0" w:color="auto"/>
              <w:left w:val="single" w:sz="2" w:space="0" w:color="auto"/>
              <w:bottom w:val="single" w:sz="2" w:space="0" w:color="auto"/>
              <w:right w:val="single" w:sz="2" w:space="0" w:color="auto"/>
            </w:tcBorders>
            <w:noWrap/>
            <w:hideMark/>
          </w:tcPr>
          <w:p w:rsidR="00735D4E" w:rsidRPr="0059301B" w14:paraId="45034128" w14:textId="02165CEA">
            <w:pPr>
              <w:jc w:val="center"/>
              <w:rPr>
                <w:sz w:val="20"/>
              </w:rPr>
            </w:pPr>
            <w:r w:rsidRPr="0059301B">
              <w:rPr>
                <w:sz w:val="20"/>
              </w:rPr>
              <w:t>1.</w:t>
            </w:r>
            <w:r w:rsidRPr="0059301B" w:rsidR="00C15783">
              <w:rPr>
                <w:sz w:val="20"/>
              </w:rPr>
              <w:t>33</w:t>
            </w:r>
          </w:p>
        </w:tc>
      </w:tr>
      <w:tr w14:paraId="5AD93DF7" w14:textId="77777777" w:rsidTr="0088647E">
        <w:tblPrEx>
          <w:tblW w:w="7623"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hideMark/>
          </w:tcPr>
          <w:p w:rsidR="00735D4E" w:rsidRPr="0059301B" w14:paraId="0D0A323F" w14:textId="59DB4FF0">
            <w:pPr>
              <w:rPr>
                <w:color w:val="000000"/>
                <w:sz w:val="20"/>
              </w:rPr>
            </w:pPr>
            <w:r w:rsidRPr="0059301B">
              <w:rPr>
                <w:sz w:val="20"/>
              </w:rPr>
              <w:t>Non-charter</w:t>
            </w:r>
          </w:p>
        </w:tc>
        <w:tc>
          <w:tcPr>
            <w:tcW w:w="1722" w:type="dxa"/>
            <w:tcBorders>
              <w:top w:val="single" w:sz="2" w:space="0" w:color="auto"/>
              <w:left w:val="single" w:sz="2" w:space="0" w:color="auto"/>
              <w:bottom w:val="single" w:sz="2" w:space="0" w:color="auto"/>
              <w:right w:val="single" w:sz="2" w:space="0" w:color="auto"/>
            </w:tcBorders>
            <w:noWrap/>
            <w:hideMark/>
          </w:tcPr>
          <w:p w:rsidR="00735D4E" w:rsidRPr="0059301B" w14:paraId="5B3651E2" w14:textId="1EB61F4C">
            <w:pPr>
              <w:jc w:val="center"/>
              <w:rPr>
                <w:sz w:val="20"/>
              </w:rPr>
            </w:pPr>
            <w:r w:rsidRPr="0059301B">
              <w:rPr>
                <w:sz w:val="20"/>
              </w:rPr>
              <w:t>Middle</w:t>
            </w:r>
          </w:p>
        </w:tc>
        <w:tc>
          <w:tcPr>
            <w:tcW w:w="1620" w:type="dxa"/>
            <w:tcBorders>
              <w:top w:val="single" w:sz="2" w:space="0" w:color="auto"/>
              <w:left w:val="single" w:sz="2" w:space="0" w:color="auto"/>
              <w:bottom w:val="single" w:sz="2" w:space="0" w:color="auto"/>
              <w:right w:val="single" w:sz="2" w:space="0" w:color="auto"/>
            </w:tcBorders>
            <w:noWrap/>
            <w:hideMark/>
          </w:tcPr>
          <w:p w:rsidR="00735D4E" w:rsidRPr="0059301B" w14:paraId="4DF03161" w14:textId="72A4473F">
            <w:pPr>
              <w:jc w:val="center"/>
              <w:rPr>
                <w:sz w:val="20"/>
              </w:rPr>
            </w:pPr>
            <w:r w:rsidRPr="0059301B">
              <w:rPr>
                <w:sz w:val="20"/>
              </w:rPr>
              <w:t>Suburb</w:t>
            </w:r>
          </w:p>
        </w:tc>
        <w:tc>
          <w:tcPr>
            <w:tcW w:w="1665" w:type="dxa"/>
            <w:tcBorders>
              <w:top w:val="single" w:sz="2" w:space="0" w:color="auto"/>
              <w:left w:val="single" w:sz="2" w:space="0" w:color="auto"/>
              <w:bottom w:val="single" w:sz="2" w:space="0" w:color="auto"/>
              <w:right w:val="single" w:sz="2" w:space="0" w:color="auto"/>
            </w:tcBorders>
            <w:noWrap/>
            <w:hideMark/>
          </w:tcPr>
          <w:p w:rsidR="00735D4E" w:rsidRPr="0059301B" w14:paraId="12A32DC2" w14:textId="0BF6A996">
            <w:pPr>
              <w:jc w:val="center"/>
              <w:rPr>
                <w:sz w:val="20"/>
              </w:rPr>
            </w:pPr>
            <w:r w:rsidRPr="0059301B">
              <w:rPr>
                <w:sz w:val="20"/>
              </w:rPr>
              <w:t>1.25</w:t>
            </w:r>
          </w:p>
        </w:tc>
      </w:tr>
      <w:tr w14:paraId="06F6CD04" w14:textId="77777777" w:rsidTr="0088647E">
        <w:tblPrEx>
          <w:tblW w:w="7623"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hideMark/>
          </w:tcPr>
          <w:p w:rsidR="00735D4E" w:rsidRPr="0059301B" w14:paraId="5B2B15B4" w14:textId="455C2E2C">
            <w:pPr>
              <w:rPr>
                <w:color w:val="000000"/>
                <w:sz w:val="20"/>
              </w:rPr>
            </w:pPr>
            <w:r w:rsidRPr="0059301B">
              <w:rPr>
                <w:sz w:val="20"/>
              </w:rPr>
              <w:t>Non-charter</w:t>
            </w:r>
          </w:p>
        </w:tc>
        <w:tc>
          <w:tcPr>
            <w:tcW w:w="1722" w:type="dxa"/>
            <w:tcBorders>
              <w:top w:val="single" w:sz="2" w:space="0" w:color="auto"/>
              <w:left w:val="single" w:sz="2" w:space="0" w:color="auto"/>
              <w:bottom w:val="single" w:sz="2" w:space="0" w:color="auto"/>
              <w:right w:val="single" w:sz="2" w:space="0" w:color="auto"/>
            </w:tcBorders>
            <w:noWrap/>
            <w:hideMark/>
          </w:tcPr>
          <w:p w:rsidR="00735D4E" w:rsidRPr="0059301B" w14:paraId="1EEC8697" w14:textId="512B6442">
            <w:pPr>
              <w:jc w:val="center"/>
              <w:rPr>
                <w:sz w:val="20"/>
              </w:rPr>
            </w:pPr>
            <w:r w:rsidRPr="0059301B">
              <w:rPr>
                <w:sz w:val="20"/>
              </w:rPr>
              <w:t>Middle</w:t>
            </w:r>
          </w:p>
        </w:tc>
        <w:tc>
          <w:tcPr>
            <w:tcW w:w="1620" w:type="dxa"/>
            <w:tcBorders>
              <w:top w:val="single" w:sz="2" w:space="0" w:color="auto"/>
              <w:left w:val="single" w:sz="2" w:space="0" w:color="auto"/>
              <w:bottom w:val="single" w:sz="2" w:space="0" w:color="auto"/>
              <w:right w:val="single" w:sz="2" w:space="0" w:color="auto"/>
            </w:tcBorders>
            <w:noWrap/>
            <w:hideMark/>
          </w:tcPr>
          <w:p w:rsidR="00735D4E" w:rsidRPr="0059301B" w14:paraId="72F40D6B" w14:textId="56FEF0E7">
            <w:pPr>
              <w:jc w:val="center"/>
              <w:rPr>
                <w:sz w:val="20"/>
              </w:rPr>
            </w:pPr>
            <w:r w:rsidRPr="0059301B">
              <w:rPr>
                <w:sz w:val="20"/>
              </w:rPr>
              <w:t>Town</w:t>
            </w:r>
          </w:p>
        </w:tc>
        <w:tc>
          <w:tcPr>
            <w:tcW w:w="1665" w:type="dxa"/>
            <w:tcBorders>
              <w:top w:val="single" w:sz="2" w:space="0" w:color="auto"/>
              <w:left w:val="single" w:sz="2" w:space="0" w:color="auto"/>
              <w:bottom w:val="single" w:sz="2" w:space="0" w:color="auto"/>
              <w:right w:val="single" w:sz="2" w:space="0" w:color="auto"/>
            </w:tcBorders>
            <w:noWrap/>
            <w:hideMark/>
          </w:tcPr>
          <w:p w:rsidR="00735D4E" w:rsidRPr="0059301B" w14:paraId="17B3B56A" w14:textId="1DA3012F">
            <w:pPr>
              <w:jc w:val="center"/>
              <w:rPr>
                <w:sz w:val="20"/>
              </w:rPr>
            </w:pPr>
            <w:r w:rsidRPr="0059301B">
              <w:rPr>
                <w:sz w:val="20"/>
              </w:rPr>
              <w:t>1.</w:t>
            </w:r>
            <w:r w:rsidRPr="0059301B" w:rsidR="00C15783">
              <w:rPr>
                <w:sz w:val="20"/>
              </w:rPr>
              <w:t>81</w:t>
            </w:r>
          </w:p>
        </w:tc>
      </w:tr>
      <w:tr w14:paraId="483E8063" w14:textId="77777777" w:rsidTr="0088647E">
        <w:tblPrEx>
          <w:tblW w:w="7623"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hideMark/>
          </w:tcPr>
          <w:p w:rsidR="00735D4E" w:rsidRPr="0059301B" w14:paraId="4523BF7C" w14:textId="3D73E84A">
            <w:pPr>
              <w:rPr>
                <w:color w:val="000000"/>
                <w:sz w:val="20"/>
              </w:rPr>
            </w:pPr>
            <w:r w:rsidRPr="0059301B">
              <w:rPr>
                <w:sz w:val="20"/>
              </w:rPr>
              <w:t>Non-charter</w:t>
            </w:r>
          </w:p>
        </w:tc>
        <w:tc>
          <w:tcPr>
            <w:tcW w:w="1722" w:type="dxa"/>
            <w:tcBorders>
              <w:top w:val="single" w:sz="2" w:space="0" w:color="auto"/>
              <w:left w:val="single" w:sz="2" w:space="0" w:color="auto"/>
              <w:bottom w:val="single" w:sz="2" w:space="0" w:color="auto"/>
              <w:right w:val="single" w:sz="2" w:space="0" w:color="auto"/>
            </w:tcBorders>
            <w:noWrap/>
            <w:hideMark/>
          </w:tcPr>
          <w:p w:rsidR="00735D4E" w:rsidRPr="0059301B" w14:paraId="0775D842" w14:textId="193BC205">
            <w:pPr>
              <w:jc w:val="center"/>
              <w:rPr>
                <w:sz w:val="20"/>
              </w:rPr>
            </w:pPr>
            <w:r w:rsidRPr="0059301B">
              <w:rPr>
                <w:sz w:val="20"/>
              </w:rPr>
              <w:t>Middle</w:t>
            </w:r>
          </w:p>
        </w:tc>
        <w:tc>
          <w:tcPr>
            <w:tcW w:w="1620" w:type="dxa"/>
            <w:tcBorders>
              <w:top w:val="single" w:sz="2" w:space="0" w:color="auto"/>
              <w:left w:val="single" w:sz="2" w:space="0" w:color="auto"/>
              <w:bottom w:val="single" w:sz="2" w:space="0" w:color="auto"/>
              <w:right w:val="single" w:sz="2" w:space="0" w:color="auto"/>
            </w:tcBorders>
            <w:noWrap/>
            <w:hideMark/>
          </w:tcPr>
          <w:p w:rsidR="00735D4E" w:rsidRPr="0059301B" w14:paraId="4EF61825" w14:textId="544ACC12">
            <w:pPr>
              <w:jc w:val="center"/>
              <w:rPr>
                <w:sz w:val="20"/>
              </w:rPr>
            </w:pPr>
            <w:r w:rsidRPr="0059301B">
              <w:rPr>
                <w:sz w:val="20"/>
              </w:rPr>
              <w:t>Rural</w:t>
            </w:r>
          </w:p>
        </w:tc>
        <w:tc>
          <w:tcPr>
            <w:tcW w:w="1665" w:type="dxa"/>
            <w:tcBorders>
              <w:top w:val="single" w:sz="2" w:space="0" w:color="auto"/>
              <w:left w:val="single" w:sz="2" w:space="0" w:color="auto"/>
              <w:bottom w:val="single" w:sz="2" w:space="0" w:color="auto"/>
              <w:right w:val="single" w:sz="2" w:space="0" w:color="auto"/>
            </w:tcBorders>
            <w:noWrap/>
            <w:hideMark/>
          </w:tcPr>
          <w:p w:rsidR="00735D4E" w:rsidRPr="0059301B" w14:paraId="520917CF" w14:textId="599D45E2">
            <w:pPr>
              <w:jc w:val="center"/>
              <w:rPr>
                <w:sz w:val="20"/>
              </w:rPr>
            </w:pPr>
            <w:r w:rsidRPr="0059301B">
              <w:rPr>
                <w:sz w:val="20"/>
              </w:rPr>
              <w:t>1.</w:t>
            </w:r>
            <w:r w:rsidRPr="0059301B" w:rsidR="00C15783">
              <w:rPr>
                <w:sz w:val="20"/>
              </w:rPr>
              <w:t>45</w:t>
            </w:r>
          </w:p>
        </w:tc>
      </w:tr>
      <w:tr w14:paraId="184BD15C" w14:textId="77777777" w:rsidTr="0088647E">
        <w:tblPrEx>
          <w:tblW w:w="7623"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hideMark/>
          </w:tcPr>
          <w:p w:rsidR="00735D4E" w:rsidRPr="0059301B" w14:paraId="20D02F35" w14:textId="606318D4">
            <w:pPr>
              <w:rPr>
                <w:color w:val="000000"/>
                <w:sz w:val="20"/>
              </w:rPr>
            </w:pPr>
            <w:r w:rsidRPr="0059301B">
              <w:rPr>
                <w:sz w:val="20"/>
              </w:rPr>
              <w:t>Non-charter</w:t>
            </w:r>
          </w:p>
        </w:tc>
        <w:tc>
          <w:tcPr>
            <w:tcW w:w="1722" w:type="dxa"/>
            <w:tcBorders>
              <w:top w:val="single" w:sz="2" w:space="0" w:color="auto"/>
              <w:left w:val="single" w:sz="2" w:space="0" w:color="auto"/>
              <w:bottom w:val="single" w:sz="2" w:space="0" w:color="auto"/>
              <w:right w:val="single" w:sz="2" w:space="0" w:color="auto"/>
            </w:tcBorders>
            <w:noWrap/>
            <w:hideMark/>
          </w:tcPr>
          <w:p w:rsidR="00735D4E" w:rsidRPr="0059301B" w14:paraId="6DAFC48A" w14:textId="5CA41B6B">
            <w:pPr>
              <w:jc w:val="center"/>
              <w:rPr>
                <w:sz w:val="20"/>
              </w:rPr>
            </w:pPr>
            <w:r w:rsidRPr="0059301B">
              <w:rPr>
                <w:sz w:val="20"/>
              </w:rPr>
              <w:t>Secondary/high</w:t>
            </w:r>
          </w:p>
        </w:tc>
        <w:tc>
          <w:tcPr>
            <w:tcW w:w="1620" w:type="dxa"/>
            <w:tcBorders>
              <w:top w:val="single" w:sz="2" w:space="0" w:color="auto"/>
              <w:left w:val="single" w:sz="2" w:space="0" w:color="auto"/>
              <w:bottom w:val="single" w:sz="2" w:space="0" w:color="auto"/>
              <w:right w:val="single" w:sz="2" w:space="0" w:color="auto"/>
            </w:tcBorders>
            <w:noWrap/>
            <w:hideMark/>
          </w:tcPr>
          <w:p w:rsidR="00735D4E" w:rsidRPr="0059301B" w14:paraId="0B13DC7F" w14:textId="4CDFAC67">
            <w:pPr>
              <w:jc w:val="center"/>
              <w:rPr>
                <w:sz w:val="20"/>
              </w:rPr>
            </w:pPr>
            <w:r w:rsidRPr="0059301B">
              <w:rPr>
                <w:sz w:val="20"/>
              </w:rPr>
              <w:t>City</w:t>
            </w:r>
          </w:p>
        </w:tc>
        <w:tc>
          <w:tcPr>
            <w:tcW w:w="1665" w:type="dxa"/>
            <w:tcBorders>
              <w:top w:val="single" w:sz="2" w:space="0" w:color="auto"/>
              <w:left w:val="single" w:sz="2" w:space="0" w:color="auto"/>
              <w:bottom w:val="single" w:sz="2" w:space="0" w:color="auto"/>
              <w:right w:val="single" w:sz="2" w:space="0" w:color="auto"/>
            </w:tcBorders>
            <w:noWrap/>
            <w:hideMark/>
          </w:tcPr>
          <w:p w:rsidR="00735D4E" w:rsidRPr="0059301B" w14:paraId="13FE9914" w14:textId="79AD7C8F">
            <w:pPr>
              <w:jc w:val="center"/>
              <w:rPr>
                <w:sz w:val="20"/>
              </w:rPr>
            </w:pPr>
            <w:r w:rsidRPr="0059301B">
              <w:rPr>
                <w:sz w:val="20"/>
              </w:rPr>
              <w:t>1.</w:t>
            </w:r>
            <w:r w:rsidRPr="0059301B" w:rsidR="00C15783">
              <w:rPr>
                <w:sz w:val="20"/>
              </w:rPr>
              <w:t>33</w:t>
            </w:r>
          </w:p>
        </w:tc>
      </w:tr>
      <w:tr w14:paraId="30CD8189" w14:textId="77777777" w:rsidTr="0088647E">
        <w:tblPrEx>
          <w:tblW w:w="7623"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hideMark/>
          </w:tcPr>
          <w:p w:rsidR="00735D4E" w:rsidRPr="0059301B" w14:paraId="2FAB6255" w14:textId="326C15C8">
            <w:pPr>
              <w:rPr>
                <w:color w:val="000000"/>
                <w:sz w:val="20"/>
              </w:rPr>
            </w:pPr>
            <w:r w:rsidRPr="0059301B">
              <w:rPr>
                <w:sz w:val="20"/>
              </w:rPr>
              <w:t>Non-charter</w:t>
            </w:r>
          </w:p>
        </w:tc>
        <w:tc>
          <w:tcPr>
            <w:tcW w:w="1722" w:type="dxa"/>
            <w:tcBorders>
              <w:top w:val="single" w:sz="2" w:space="0" w:color="auto"/>
              <w:left w:val="single" w:sz="2" w:space="0" w:color="auto"/>
              <w:bottom w:val="single" w:sz="2" w:space="0" w:color="auto"/>
              <w:right w:val="single" w:sz="2" w:space="0" w:color="auto"/>
            </w:tcBorders>
            <w:noWrap/>
            <w:hideMark/>
          </w:tcPr>
          <w:p w:rsidR="00735D4E" w:rsidRPr="0059301B" w14:paraId="5CE81B49" w14:textId="4C71C804">
            <w:pPr>
              <w:jc w:val="center"/>
              <w:rPr>
                <w:sz w:val="20"/>
              </w:rPr>
            </w:pPr>
            <w:r w:rsidRPr="0059301B">
              <w:rPr>
                <w:sz w:val="20"/>
              </w:rPr>
              <w:t>Secondary/high</w:t>
            </w:r>
          </w:p>
        </w:tc>
        <w:tc>
          <w:tcPr>
            <w:tcW w:w="1620" w:type="dxa"/>
            <w:tcBorders>
              <w:top w:val="single" w:sz="2" w:space="0" w:color="auto"/>
              <w:left w:val="single" w:sz="2" w:space="0" w:color="auto"/>
              <w:bottom w:val="single" w:sz="2" w:space="0" w:color="auto"/>
              <w:right w:val="single" w:sz="2" w:space="0" w:color="auto"/>
            </w:tcBorders>
            <w:noWrap/>
            <w:hideMark/>
          </w:tcPr>
          <w:p w:rsidR="00735D4E" w:rsidRPr="0059301B" w14:paraId="4F6BB981" w14:textId="2CE833F6">
            <w:pPr>
              <w:jc w:val="center"/>
              <w:rPr>
                <w:sz w:val="20"/>
              </w:rPr>
            </w:pPr>
            <w:r w:rsidRPr="0059301B">
              <w:rPr>
                <w:sz w:val="20"/>
              </w:rPr>
              <w:t>Suburb</w:t>
            </w:r>
          </w:p>
        </w:tc>
        <w:tc>
          <w:tcPr>
            <w:tcW w:w="1665" w:type="dxa"/>
            <w:tcBorders>
              <w:top w:val="single" w:sz="2" w:space="0" w:color="auto"/>
              <w:left w:val="single" w:sz="2" w:space="0" w:color="auto"/>
              <w:bottom w:val="single" w:sz="2" w:space="0" w:color="auto"/>
              <w:right w:val="single" w:sz="2" w:space="0" w:color="auto"/>
            </w:tcBorders>
            <w:noWrap/>
            <w:hideMark/>
          </w:tcPr>
          <w:p w:rsidR="00735D4E" w:rsidRPr="0059301B" w14:paraId="72B8589C" w14:textId="18A47BAE">
            <w:pPr>
              <w:jc w:val="center"/>
              <w:rPr>
                <w:sz w:val="20"/>
              </w:rPr>
            </w:pPr>
            <w:r w:rsidRPr="0059301B">
              <w:rPr>
                <w:sz w:val="20"/>
              </w:rPr>
              <w:t>1.</w:t>
            </w:r>
            <w:r w:rsidRPr="0059301B" w:rsidR="00C15783">
              <w:rPr>
                <w:sz w:val="20"/>
              </w:rPr>
              <w:t>22</w:t>
            </w:r>
          </w:p>
        </w:tc>
      </w:tr>
      <w:tr w14:paraId="7E29FEDB" w14:textId="77777777" w:rsidTr="0088647E">
        <w:tblPrEx>
          <w:tblW w:w="7623"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hideMark/>
          </w:tcPr>
          <w:p w:rsidR="00735D4E" w:rsidRPr="0059301B" w14:paraId="56EF2FD9" w14:textId="49D36D3C">
            <w:pPr>
              <w:rPr>
                <w:color w:val="000000"/>
                <w:sz w:val="20"/>
              </w:rPr>
            </w:pPr>
            <w:r w:rsidRPr="0059301B">
              <w:rPr>
                <w:sz w:val="20"/>
              </w:rPr>
              <w:t>Non-charter</w:t>
            </w:r>
          </w:p>
        </w:tc>
        <w:tc>
          <w:tcPr>
            <w:tcW w:w="1722" w:type="dxa"/>
            <w:tcBorders>
              <w:top w:val="single" w:sz="2" w:space="0" w:color="auto"/>
              <w:left w:val="single" w:sz="2" w:space="0" w:color="auto"/>
              <w:bottom w:val="single" w:sz="2" w:space="0" w:color="auto"/>
              <w:right w:val="single" w:sz="2" w:space="0" w:color="auto"/>
            </w:tcBorders>
            <w:noWrap/>
            <w:hideMark/>
          </w:tcPr>
          <w:p w:rsidR="00735D4E" w:rsidRPr="0059301B" w14:paraId="310B71D2" w14:textId="6789011B">
            <w:pPr>
              <w:jc w:val="center"/>
              <w:rPr>
                <w:sz w:val="20"/>
              </w:rPr>
            </w:pPr>
            <w:r w:rsidRPr="0059301B">
              <w:rPr>
                <w:sz w:val="20"/>
              </w:rPr>
              <w:t>Secondary/high</w:t>
            </w:r>
          </w:p>
        </w:tc>
        <w:tc>
          <w:tcPr>
            <w:tcW w:w="1620" w:type="dxa"/>
            <w:tcBorders>
              <w:top w:val="single" w:sz="2" w:space="0" w:color="auto"/>
              <w:left w:val="single" w:sz="2" w:space="0" w:color="auto"/>
              <w:bottom w:val="single" w:sz="2" w:space="0" w:color="auto"/>
              <w:right w:val="single" w:sz="2" w:space="0" w:color="auto"/>
            </w:tcBorders>
            <w:noWrap/>
            <w:hideMark/>
          </w:tcPr>
          <w:p w:rsidR="00735D4E" w:rsidRPr="0059301B" w14:paraId="1F1A64E6" w14:textId="22C09E87">
            <w:pPr>
              <w:jc w:val="center"/>
              <w:rPr>
                <w:sz w:val="20"/>
              </w:rPr>
            </w:pPr>
            <w:r w:rsidRPr="0059301B">
              <w:rPr>
                <w:sz w:val="20"/>
              </w:rPr>
              <w:t>Town</w:t>
            </w:r>
          </w:p>
        </w:tc>
        <w:tc>
          <w:tcPr>
            <w:tcW w:w="1665" w:type="dxa"/>
            <w:tcBorders>
              <w:top w:val="single" w:sz="2" w:space="0" w:color="auto"/>
              <w:left w:val="single" w:sz="2" w:space="0" w:color="auto"/>
              <w:bottom w:val="single" w:sz="2" w:space="0" w:color="auto"/>
              <w:right w:val="single" w:sz="2" w:space="0" w:color="auto"/>
            </w:tcBorders>
            <w:noWrap/>
            <w:hideMark/>
          </w:tcPr>
          <w:p w:rsidR="00735D4E" w:rsidRPr="0059301B" w14:paraId="529D9CB4" w14:textId="3DFECDEE">
            <w:pPr>
              <w:jc w:val="center"/>
              <w:rPr>
                <w:sz w:val="20"/>
              </w:rPr>
            </w:pPr>
            <w:r w:rsidRPr="0059301B">
              <w:rPr>
                <w:sz w:val="20"/>
              </w:rPr>
              <w:t>1.81</w:t>
            </w:r>
          </w:p>
        </w:tc>
      </w:tr>
      <w:tr w14:paraId="17C1E066" w14:textId="77777777" w:rsidTr="0088647E">
        <w:tblPrEx>
          <w:tblW w:w="7623"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hideMark/>
          </w:tcPr>
          <w:p w:rsidR="00735D4E" w:rsidRPr="0059301B" w14:paraId="2C23070E" w14:textId="6D36BEF4">
            <w:pPr>
              <w:rPr>
                <w:color w:val="000000"/>
                <w:sz w:val="20"/>
              </w:rPr>
            </w:pPr>
            <w:r w:rsidRPr="0059301B">
              <w:rPr>
                <w:sz w:val="20"/>
              </w:rPr>
              <w:t>Non-charter</w:t>
            </w:r>
          </w:p>
        </w:tc>
        <w:tc>
          <w:tcPr>
            <w:tcW w:w="1722" w:type="dxa"/>
            <w:tcBorders>
              <w:top w:val="single" w:sz="2" w:space="0" w:color="auto"/>
              <w:left w:val="single" w:sz="2" w:space="0" w:color="auto"/>
              <w:bottom w:val="single" w:sz="2" w:space="0" w:color="auto"/>
              <w:right w:val="single" w:sz="2" w:space="0" w:color="auto"/>
            </w:tcBorders>
            <w:noWrap/>
            <w:hideMark/>
          </w:tcPr>
          <w:p w:rsidR="00735D4E" w:rsidRPr="0059301B" w14:paraId="56D2625A" w14:textId="19EFCD74">
            <w:pPr>
              <w:jc w:val="center"/>
              <w:rPr>
                <w:sz w:val="20"/>
              </w:rPr>
            </w:pPr>
            <w:r w:rsidRPr="0059301B">
              <w:rPr>
                <w:sz w:val="20"/>
              </w:rPr>
              <w:t>Secondary/high</w:t>
            </w:r>
          </w:p>
        </w:tc>
        <w:tc>
          <w:tcPr>
            <w:tcW w:w="1620" w:type="dxa"/>
            <w:tcBorders>
              <w:top w:val="single" w:sz="2" w:space="0" w:color="auto"/>
              <w:left w:val="single" w:sz="2" w:space="0" w:color="auto"/>
              <w:bottom w:val="single" w:sz="2" w:space="0" w:color="auto"/>
              <w:right w:val="single" w:sz="2" w:space="0" w:color="auto"/>
            </w:tcBorders>
            <w:noWrap/>
            <w:hideMark/>
          </w:tcPr>
          <w:p w:rsidR="00735D4E" w:rsidRPr="0059301B" w14:paraId="6013EE5C" w14:textId="46585A80">
            <w:pPr>
              <w:jc w:val="center"/>
              <w:rPr>
                <w:sz w:val="20"/>
              </w:rPr>
            </w:pPr>
            <w:r w:rsidRPr="0059301B">
              <w:rPr>
                <w:sz w:val="20"/>
              </w:rPr>
              <w:t>Rural</w:t>
            </w:r>
          </w:p>
        </w:tc>
        <w:tc>
          <w:tcPr>
            <w:tcW w:w="1665" w:type="dxa"/>
            <w:tcBorders>
              <w:top w:val="single" w:sz="2" w:space="0" w:color="auto"/>
              <w:left w:val="single" w:sz="2" w:space="0" w:color="auto"/>
              <w:bottom w:val="single" w:sz="2" w:space="0" w:color="auto"/>
              <w:right w:val="single" w:sz="2" w:space="0" w:color="auto"/>
            </w:tcBorders>
            <w:noWrap/>
            <w:hideMark/>
          </w:tcPr>
          <w:p w:rsidR="00735D4E" w:rsidRPr="0059301B" w14:paraId="77AC2D30" w14:textId="559D4C2B">
            <w:pPr>
              <w:jc w:val="center"/>
              <w:rPr>
                <w:sz w:val="20"/>
              </w:rPr>
            </w:pPr>
            <w:r w:rsidRPr="0059301B">
              <w:rPr>
                <w:sz w:val="20"/>
              </w:rPr>
              <w:t>1.46</w:t>
            </w:r>
          </w:p>
        </w:tc>
      </w:tr>
      <w:tr w14:paraId="1C6BD5A8" w14:textId="77777777" w:rsidTr="0088647E">
        <w:tblPrEx>
          <w:tblW w:w="7623"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hideMark/>
          </w:tcPr>
          <w:p w:rsidR="00735D4E" w:rsidRPr="0059301B" w14:paraId="03CA67D9" w14:textId="5EAE0B35">
            <w:pPr>
              <w:rPr>
                <w:color w:val="000000"/>
                <w:sz w:val="20"/>
              </w:rPr>
            </w:pPr>
            <w:r w:rsidRPr="0059301B">
              <w:rPr>
                <w:sz w:val="20"/>
              </w:rPr>
              <w:t>Non-charter</w:t>
            </w:r>
          </w:p>
        </w:tc>
        <w:tc>
          <w:tcPr>
            <w:tcW w:w="1722" w:type="dxa"/>
            <w:tcBorders>
              <w:top w:val="single" w:sz="2" w:space="0" w:color="auto"/>
              <w:left w:val="single" w:sz="2" w:space="0" w:color="auto"/>
              <w:bottom w:val="single" w:sz="2" w:space="0" w:color="auto"/>
              <w:right w:val="single" w:sz="2" w:space="0" w:color="auto"/>
            </w:tcBorders>
            <w:noWrap/>
            <w:hideMark/>
          </w:tcPr>
          <w:p w:rsidR="00735D4E" w:rsidRPr="0059301B" w14:paraId="06FEAB8E" w14:textId="33D13BDC">
            <w:pPr>
              <w:jc w:val="center"/>
              <w:rPr>
                <w:sz w:val="20"/>
              </w:rPr>
            </w:pPr>
            <w:r w:rsidRPr="0059301B">
              <w:rPr>
                <w:sz w:val="20"/>
              </w:rPr>
              <w:t>Combined/other</w:t>
            </w:r>
          </w:p>
        </w:tc>
        <w:tc>
          <w:tcPr>
            <w:tcW w:w="1620" w:type="dxa"/>
            <w:tcBorders>
              <w:top w:val="single" w:sz="2" w:space="0" w:color="auto"/>
              <w:left w:val="single" w:sz="2" w:space="0" w:color="auto"/>
              <w:bottom w:val="single" w:sz="2" w:space="0" w:color="auto"/>
              <w:right w:val="single" w:sz="2" w:space="0" w:color="auto"/>
            </w:tcBorders>
            <w:noWrap/>
            <w:hideMark/>
          </w:tcPr>
          <w:p w:rsidR="00735D4E" w:rsidRPr="0059301B" w14:paraId="73081124" w14:textId="712A72DC">
            <w:pPr>
              <w:jc w:val="center"/>
              <w:rPr>
                <w:sz w:val="20"/>
              </w:rPr>
            </w:pPr>
            <w:r w:rsidRPr="0059301B">
              <w:rPr>
                <w:sz w:val="20"/>
              </w:rPr>
              <w:t xml:space="preserve">All </w:t>
            </w:r>
          </w:p>
        </w:tc>
        <w:tc>
          <w:tcPr>
            <w:tcW w:w="1665" w:type="dxa"/>
            <w:tcBorders>
              <w:top w:val="single" w:sz="2" w:space="0" w:color="auto"/>
              <w:left w:val="single" w:sz="2" w:space="0" w:color="auto"/>
              <w:bottom w:val="single" w:sz="2" w:space="0" w:color="auto"/>
              <w:right w:val="single" w:sz="2" w:space="0" w:color="auto"/>
            </w:tcBorders>
            <w:noWrap/>
            <w:hideMark/>
          </w:tcPr>
          <w:p w:rsidR="00735D4E" w:rsidRPr="0059301B" w14:paraId="178698E0" w14:textId="093DD7F7">
            <w:pPr>
              <w:jc w:val="center"/>
              <w:rPr>
                <w:sz w:val="20"/>
              </w:rPr>
            </w:pPr>
            <w:r w:rsidRPr="0059301B">
              <w:rPr>
                <w:sz w:val="20"/>
              </w:rPr>
              <w:t>4.69</w:t>
            </w:r>
          </w:p>
        </w:tc>
      </w:tr>
    </w:tbl>
    <w:p w:rsidR="006E6501" w:rsidRPr="0059301B" w:rsidP="00675CC0" w14:paraId="2BB2E540" w14:textId="77777777">
      <w:pPr>
        <w:rPr>
          <w:rFonts w:eastAsia="MS Mincho"/>
          <w:sz w:val="22"/>
        </w:rPr>
      </w:pPr>
    </w:p>
    <w:p w:rsidR="00C15783" w:rsidRPr="0059301B" w:rsidP="00C15783" w14:paraId="67178054" w14:textId="674AE7D0">
      <w:pPr>
        <w:rPr>
          <w:rFonts w:eastAsia="MS Mincho"/>
          <w:b/>
          <w:bCs/>
          <w:sz w:val="20"/>
        </w:rPr>
      </w:pPr>
      <w:r w:rsidRPr="0059301B">
        <w:rPr>
          <w:rFonts w:eastAsia="MS Mincho"/>
          <w:b/>
          <w:bCs/>
          <w:sz w:val="20"/>
        </w:rPr>
        <w:t xml:space="preserve">Table </w:t>
      </w:r>
      <w:r w:rsidRPr="0059301B" w:rsidR="007859DD">
        <w:rPr>
          <w:rFonts w:eastAsia="MS Mincho"/>
          <w:b/>
          <w:bCs/>
          <w:sz w:val="20"/>
        </w:rPr>
        <w:t>B</w:t>
      </w:r>
      <w:r w:rsidRPr="0059301B" w:rsidR="00D7088A">
        <w:rPr>
          <w:rFonts w:eastAsia="MS Mincho"/>
          <w:b/>
          <w:bCs/>
          <w:sz w:val="20"/>
        </w:rPr>
        <w:t>2</w:t>
      </w:r>
      <w:r w:rsidRPr="0059301B">
        <w:rPr>
          <w:rFonts w:eastAsia="MS Mincho"/>
          <w:b/>
          <w:bCs/>
          <w:sz w:val="20"/>
        </w:rPr>
        <w:t>. NTPS 2023-24 p</w:t>
      </w:r>
      <w:r w:rsidRPr="0059301B" w:rsidR="00D7088A">
        <w:rPr>
          <w:rFonts w:eastAsia="MS Mincho"/>
          <w:b/>
          <w:bCs/>
          <w:sz w:val="20"/>
        </w:rPr>
        <w:t>rivate</w:t>
      </w:r>
      <w:r w:rsidRPr="0059301B">
        <w:rPr>
          <w:rFonts w:eastAsia="MS Mincho"/>
          <w:b/>
          <w:bCs/>
          <w:sz w:val="20"/>
        </w:rPr>
        <w:t xml:space="preserve"> school oversampling domain and oversampling rates.</w:t>
      </w:r>
    </w:p>
    <w:tbl>
      <w:tblPr>
        <w:tblW w:w="6539" w:type="dxa"/>
        <w:tblInd w:w="-3" w:type="dxa"/>
        <w:tblBorders>
          <w:top w:val="single" w:sz="2" w:space="0" w:color="auto"/>
          <w:left w:val="single" w:sz="4" w:space="0" w:color="auto"/>
          <w:bottom w:val="single" w:sz="2" w:space="0" w:color="auto"/>
          <w:right w:val="single" w:sz="4" w:space="0" w:color="auto"/>
          <w:insideH w:val="single" w:sz="2" w:space="0" w:color="auto"/>
          <w:insideV w:val="single" w:sz="2" w:space="0" w:color="auto"/>
        </w:tblBorders>
        <w:tblLayout w:type="fixed"/>
        <w:tblLook w:val="04A0"/>
      </w:tblPr>
      <w:tblGrid>
        <w:gridCol w:w="2249"/>
        <w:gridCol w:w="2116"/>
        <w:gridCol w:w="2174"/>
      </w:tblGrid>
      <w:tr w14:paraId="13942A3B" w14:textId="77777777" w:rsidTr="0088647E">
        <w:tblPrEx>
          <w:tblW w:w="6539" w:type="dxa"/>
          <w:tblInd w:w="-3" w:type="dxa"/>
          <w:tblBorders>
            <w:top w:val="single" w:sz="2" w:space="0" w:color="auto"/>
            <w:left w:val="single" w:sz="4" w:space="0" w:color="auto"/>
            <w:bottom w:val="single" w:sz="2" w:space="0" w:color="auto"/>
            <w:right w:val="single" w:sz="4" w:space="0" w:color="auto"/>
            <w:insideH w:val="single" w:sz="2" w:space="0" w:color="auto"/>
            <w:insideV w:val="single" w:sz="2" w:space="0" w:color="auto"/>
          </w:tblBorders>
          <w:tblLayout w:type="fixed"/>
          <w:tblLook w:val="04A0"/>
        </w:tblPrEx>
        <w:trPr>
          <w:trHeight w:val="27"/>
        </w:trPr>
        <w:tc>
          <w:tcPr>
            <w:tcW w:w="2249" w:type="dxa"/>
            <w:tcBorders>
              <w:top w:val="single" w:sz="2" w:space="0" w:color="auto"/>
              <w:left w:val="single" w:sz="2" w:space="0" w:color="auto"/>
              <w:bottom w:val="single" w:sz="2" w:space="0" w:color="auto"/>
              <w:right w:val="single" w:sz="2" w:space="0" w:color="auto"/>
            </w:tcBorders>
            <w:noWrap/>
            <w:vAlign w:val="center"/>
            <w:hideMark/>
          </w:tcPr>
          <w:p w:rsidR="00C15783" w:rsidRPr="0059301B" w14:paraId="056A1F0B" w14:textId="77777777">
            <w:pPr>
              <w:jc w:val="center"/>
              <w:rPr>
                <w:b/>
                <w:bCs/>
                <w:sz w:val="20"/>
              </w:rPr>
            </w:pPr>
            <w:r w:rsidRPr="0059301B">
              <w:rPr>
                <w:b/>
                <w:bCs/>
                <w:sz w:val="20"/>
              </w:rPr>
              <w:t>School level</w:t>
            </w:r>
          </w:p>
        </w:tc>
        <w:tc>
          <w:tcPr>
            <w:tcW w:w="2116" w:type="dxa"/>
            <w:tcBorders>
              <w:top w:val="single" w:sz="2" w:space="0" w:color="auto"/>
              <w:left w:val="single" w:sz="2" w:space="0" w:color="auto"/>
              <w:bottom w:val="single" w:sz="2" w:space="0" w:color="auto"/>
              <w:right w:val="single" w:sz="2" w:space="0" w:color="auto"/>
            </w:tcBorders>
            <w:noWrap/>
            <w:vAlign w:val="center"/>
            <w:hideMark/>
          </w:tcPr>
          <w:p w:rsidR="00C15783" w:rsidRPr="0059301B" w14:paraId="5335A683" w14:textId="149CB67C">
            <w:pPr>
              <w:jc w:val="center"/>
              <w:rPr>
                <w:b/>
                <w:bCs/>
                <w:sz w:val="20"/>
              </w:rPr>
            </w:pPr>
            <w:r w:rsidRPr="0059301B">
              <w:rPr>
                <w:b/>
                <w:bCs/>
                <w:sz w:val="20"/>
              </w:rPr>
              <w:t>Affiliation</w:t>
            </w:r>
          </w:p>
        </w:tc>
        <w:tc>
          <w:tcPr>
            <w:tcW w:w="2174" w:type="dxa"/>
            <w:tcBorders>
              <w:top w:val="single" w:sz="2" w:space="0" w:color="auto"/>
              <w:left w:val="single" w:sz="2" w:space="0" w:color="auto"/>
              <w:bottom w:val="single" w:sz="2" w:space="0" w:color="auto"/>
              <w:right w:val="single" w:sz="2" w:space="0" w:color="auto"/>
            </w:tcBorders>
            <w:noWrap/>
            <w:vAlign w:val="center"/>
            <w:hideMark/>
          </w:tcPr>
          <w:p w:rsidR="00C15783" w:rsidRPr="0059301B" w14:paraId="4C41CE4C" w14:textId="77777777">
            <w:pPr>
              <w:jc w:val="center"/>
              <w:rPr>
                <w:b/>
                <w:bCs/>
                <w:sz w:val="20"/>
              </w:rPr>
            </w:pPr>
            <w:r w:rsidRPr="0059301B">
              <w:rPr>
                <w:b/>
                <w:bCs/>
                <w:sz w:val="20"/>
              </w:rPr>
              <w:t>School domain oversampling rate</w:t>
            </w:r>
          </w:p>
        </w:tc>
      </w:tr>
      <w:tr w14:paraId="2053DE08" w14:textId="77777777" w:rsidTr="0088647E">
        <w:tblPrEx>
          <w:tblW w:w="6539" w:type="dxa"/>
          <w:tblInd w:w="-3" w:type="dxa"/>
          <w:tblLayout w:type="fixed"/>
          <w:tblLook w:val="04A0"/>
        </w:tblPrEx>
        <w:trPr>
          <w:trHeight w:val="27"/>
        </w:trPr>
        <w:tc>
          <w:tcPr>
            <w:tcW w:w="2249" w:type="dxa"/>
            <w:tcBorders>
              <w:top w:val="single" w:sz="2" w:space="0" w:color="auto"/>
              <w:left w:val="single" w:sz="2" w:space="0" w:color="auto"/>
              <w:bottom w:val="single" w:sz="2" w:space="0" w:color="auto"/>
              <w:right w:val="single" w:sz="2" w:space="0" w:color="auto"/>
            </w:tcBorders>
            <w:noWrap/>
            <w:vAlign w:val="center"/>
            <w:hideMark/>
          </w:tcPr>
          <w:p w:rsidR="00C15783" w:rsidRPr="0059301B" w:rsidP="0088647E" w14:paraId="3CDE77EE" w14:textId="2EAF688F">
            <w:pPr>
              <w:rPr>
                <w:sz w:val="20"/>
              </w:rPr>
            </w:pPr>
            <w:r w:rsidRPr="0059301B">
              <w:rPr>
                <w:sz w:val="20"/>
              </w:rPr>
              <w:t>Elementary/Middle</w:t>
            </w:r>
          </w:p>
        </w:tc>
        <w:tc>
          <w:tcPr>
            <w:tcW w:w="2116" w:type="dxa"/>
            <w:tcBorders>
              <w:top w:val="single" w:sz="2" w:space="0" w:color="auto"/>
              <w:left w:val="single" w:sz="2" w:space="0" w:color="auto"/>
              <w:bottom w:val="single" w:sz="2" w:space="0" w:color="auto"/>
              <w:right w:val="single" w:sz="2" w:space="0" w:color="auto"/>
            </w:tcBorders>
            <w:noWrap/>
            <w:vAlign w:val="center"/>
            <w:hideMark/>
          </w:tcPr>
          <w:p w:rsidR="00C15783" w:rsidRPr="0059301B" w14:paraId="3DABB27D" w14:textId="24CA43AD">
            <w:pPr>
              <w:jc w:val="center"/>
              <w:rPr>
                <w:sz w:val="20"/>
              </w:rPr>
            </w:pPr>
            <w:r w:rsidRPr="0059301B">
              <w:rPr>
                <w:sz w:val="20"/>
              </w:rPr>
              <w:t>Nonreligious</w:t>
            </w:r>
          </w:p>
        </w:tc>
        <w:tc>
          <w:tcPr>
            <w:tcW w:w="2174" w:type="dxa"/>
            <w:tcBorders>
              <w:top w:val="single" w:sz="2" w:space="0" w:color="auto"/>
              <w:left w:val="single" w:sz="2" w:space="0" w:color="auto"/>
              <w:bottom w:val="single" w:sz="2" w:space="0" w:color="auto"/>
              <w:right w:val="single" w:sz="2" w:space="0" w:color="auto"/>
            </w:tcBorders>
            <w:noWrap/>
            <w:hideMark/>
          </w:tcPr>
          <w:p w:rsidR="00C15783" w:rsidRPr="0059301B" w14:paraId="7EEB34C1" w14:textId="243C714B">
            <w:pPr>
              <w:jc w:val="center"/>
              <w:rPr>
                <w:sz w:val="20"/>
              </w:rPr>
            </w:pPr>
            <w:r w:rsidRPr="0059301B">
              <w:rPr>
                <w:sz w:val="20"/>
              </w:rPr>
              <w:t>1.28</w:t>
            </w:r>
          </w:p>
        </w:tc>
      </w:tr>
      <w:tr w14:paraId="4E5BAE7B" w14:textId="77777777" w:rsidTr="0088647E">
        <w:tblPrEx>
          <w:tblW w:w="6539" w:type="dxa"/>
          <w:tblInd w:w="-3" w:type="dxa"/>
          <w:tblLayout w:type="fixed"/>
          <w:tblLook w:val="04A0"/>
        </w:tblPrEx>
        <w:trPr>
          <w:trHeight w:val="27"/>
        </w:trPr>
        <w:tc>
          <w:tcPr>
            <w:tcW w:w="2249" w:type="dxa"/>
            <w:tcBorders>
              <w:top w:val="single" w:sz="2" w:space="0" w:color="auto"/>
              <w:left w:val="single" w:sz="2" w:space="0" w:color="auto"/>
              <w:bottom w:val="single" w:sz="2" w:space="0" w:color="auto"/>
              <w:right w:val="single" w:sz="2" w:space="0" w:color="auto"/>
            </w:tcBorders>
            <w:noWrap/>
            <w:vAlign w:val="center"/>
            <w:hideMark/>
          </w:tcPr>
          <w:p w:rsidR="00C15783" w:rsidRPr="0059301B" w:rsidP="0088647E" w14:paraId="6E395B34" w14:textId="6650465B">
            <w:pPr>
              <w:rPr>
                <w:sz w:val="20"/>
              </w:rPr>
            </w:pPr>
            <w:r w:rsidRPr="0059301B">
              <w:rPr>
                <w:sz w:val="20"/>
              </w:rPr>
              <w:t>Elementary</w:t>
            </w:r>
            <w:r w:rsidRPr="0059301B" w:rsidR="009B11C6">
              <w:rPr>
                <w:sz w:val="20"/>
              </w:rPr>
              <w:t>/Middle</w:t>
            </w:r>
          </w:p>
        </w:tc>
        <w:tc>
          <w:tcPr>
            <w:tcW w:w="2116" w:type="dxa"/>
            <w:tcBorders>
              <w:top w:val="single" w:sz="2" w:space="0" w:color="auto"/>
              <w:left w:val="single" w:sz="2" w:space="0" w:color="auto"/>
              <w:bottom w:val="single" w:sz="2" w:space="0" w:color="auto"/>
              <w:right w:val="single" w:sz="2" w:space="0" w:color="auto"/>
            </w:tcBorders>
            <w:noWrap/>
            <w:vAlign w:val="center"/>
            <w:hideMark/>
          </w:tcPr>
          <w:p w:rsidR="00C15783" w:rsidRPr="0059301B" w14:paraId="296CBE12" w14:textId="35EDFF97">
            <w:pPr>
              <w:jc w:val="center"/>
              <w:rPr>
                <w:sz w:val="20"/>
              </w:rPr>
            </w:pPr>
            <w:r w:rsidRPr="0059301B">
              <w:rPr>
                <w:sz w:val="20"/>
              </w:rPr>
              <w:t>Baptist</w:t>
            </w:r>
          </w:p>
        </w:tc>
        <w:tc>
          <w:tcPr>
            <w:tcW w:w="2174" w:type="dxa"/>
            <w:tcBorders>
              <w:top w:val="single" w:sz="2" w:space="0" w:color="auto"/>
              <w:left w:val="single" w:sz="2" w:space="0" w:color="auto"/>
              <w:bottom w:val="single" w:sz="2" w:space="0" w:color="auto"/>
              <w:right w:val="single" w:sz="2" w:space="0" w:color="auto"/>
            </w:tcBorders>
            <w:noWrap/>
            <w:hideMark/>
          </w:tcPr>
          <w:p w:rsidR="00C15783" w:rsidRPr="0059301B" w14:paraId="4BC48CD5" w14:textId="055EB458">
            <w:pPr>
              <w:jc w:val="center"/>
              <w:rPr>
                <w:sz w:val="20"/>
              </w:rPr>
            </w:pPr>
            <w:r w:rsidRPr="0059301B">
              <w:rPr>
                <w:sz w:val="20"/>
              </w:rPr>
              <w:t>1.</w:t>
            </w:r>
            <w:r w:rsidRPr="0059301B" w:rsidR="009B11C6">
              <w:rPr>
                <w:sz w:val="20"/>
              </w:rPr>
              <w:t>23</w:t>
            </w:r>
          </w:p>
        </w:tc>
      </w:tr>
      <w:tr w14:paraId="0D59984B" w14:textId="77777777" w:rsidTr="0088647E">
        <w:tblPrEx>
          <w:tblW w:w="6539" w:type="dxa"/>
          <w:tblInd w:w="-3" w:type="dxa"/>
          <w:tblLayout w:type="fixed"/>
          <w:tblLook w:val="04A0"/>
        </w:tblPrEx>
        <w:trPr>
          <w:trHeight w:val="27"/>
        </w:trPr>
        <w:tc>
          <w:tcPr>
            <w:tcW w:w="2249" w:type="dxa"/>
            <w:tcBorders>
              <w:top w:val="single" w:sz="2" w:space="0" w:color="auto"/>
              <w:left w:val="single" w:sz="2" w:space="0" w:color="auto"/>
              <w:bottom w:val="single" w:sz="2" w:space="0" w:color="auto"/>
              <w:right w:val="single" w:sz="2" w:space="0" w:color="auto"/>
            </w:tcBorders>
            <w:noWrap/>
            <w:vAlign w:val="center"/>
            <w:hideMark/>
          </w:tcPr>
          <w:p w:rsidR="00C15783" w:rsidRPr="0059301B" w:rsidP="0088647E" w14:paraId="2143B07E" w14:textId="3B98D984">
            <w:pPr>
              <w:rPr>
                <w:sz w:val="20"/>
              </w:rPr>
            </w:pPr>
            <w:r w:rsidRPr="0059301B">
              <w:rPr>
                <w:sz w:val="20"/>
              </w:rPr>
              <w:t>Elementary</w:t>
            </w:r>
            <w:r w:rsidRPr="0059301B" w:rsidR="009B11C6">
              <w:rPr>
                <w:sz w:val="20"/>
              </w:rPr>
              <w:t>/Middle</w:t>
            </w:r>
          </w:p>
        </w:tc>
        <w:tc>
          <w:tcPr>
            <w:tcW w:w="2116" w:type="dxa"/>
            <w:tcBorders>
              <w:top w:val="single" w:sz="2" w:space="0" w:color="auto"/>
              <w:left w:val="single" w:sz="2" w:space="0" w:color="auto"/>
              <w:bottom w:val="single" w:sz="2" w:space="0" w:color="auto"/>
              <w:right w:val="single" w:sz="2" w:space="0" w:color="auto"/>
            </w:tcBorders>
            <w:noWrap/>
            <w:vAlign w:val="center"/>
            <w:hideMark/>
          </w:tcPr>
          <w:p w:rsidR="00C15783" w:rsidRPr="0059301B" w14:paraId="3CD69596" w14:textId="1DFBC84A">
            <w:pPr>
              <w:jc w:val="center"/>
              <w:rPr>
                <w:sz w:val="20"/>
              </w:rPr>
            </w:pPr>
            <w:r w:rsidRPr="0059301B">
              <w:rPr>
                <w:sz w:val="20"/>
              </w:rPr>
              <w:t>Other religious</w:t>
            </w:r>
          </w:p>
        </w:tc>
        <w:tc>
          <w:tcPr>
            <w:tcW w:w="2174" w:type="dxa"/>
            <w:tcBorders>
              <w:top w:val="single" w:sz="2" w:space="0" w:color="auto"/>
              <w:left w:val="single" w:sz="2" w:space="0" w:color="auto"/>
              <w:bottom w:val="single" w:sz="2" w:space="0" w:color="auto"/>
              <w:right w:val="single" w:sz="2" w:space="0" w:color="auto"/>
            </w:tcBorders>
            <w:noWrap/>
            <w:hideMark/>
          </w:tcPr>
          <w:p w:rsidR="00C15783" w:rsidRPr="0059301B" w14:paraId="0F355DBB" w14:textId="39423982">
            <w:pPr>
              <w:jc w:val="center"/>
              <w:rPr>
                <w:sz w:val="20"/>
              </w:rPr>
            </w:pPr>
            <w:r w:rsidRPr="0059301B">
              <w:rPr>
                <w:sz w:val="20"/>
              </w:rPr>
              <w:t>1.00</w:t>
            </w:r>
          </w:p>
        </w:tc>
      </w:tr>
      <w:tr w14:paraId="56011CE4" w14:textId="77777777" w:rsidTr="0088647E">
        <w:tblPrEx>
          <w:tblW w:w="6539" w:type="dxa"/>
          <w:tblInd w:w="-3" w:type="dxa"/>
          <w:tblLayout w:type="fixed"/>
          <w:tblLook w:val="04A0"/>
        </w:tblPrEx>
        <w:trPr>
          <w:trHeight w:val="27"/>
        </w:trPr>
        <w:tc>
          <w:tcPr>
            <w:tcW w:w="2249" w:type="dxa"/>
            <w:tcBorders>
              <w:top w:val="single" w:sz="2" w:space="0" w:color="auto"/>
              <w:left w:val="single" w:sz="2" w:space="0" w:color="auto"/>
              <w:bottom w:val="single" w:sz="2" w:space="0" w:color="auto"/>
              <w:right w:val="single" w:sz="2" w:space="0" w:color="auto"/>
            </w:tcBorders>
            <w:noWrap/>
            <w:vAlign w:val="center"/>
            <w:hideMark/>
          </w:tcPr>
          <w:p w:rsidR="00C15783" w:rsidRPr="0059301B" w:rsidP="0088647E" w14:paraId="080B3E65" w14:textId="23EA2F8E">
            <w:pPr>
              <w:rPr>
                <w:sz w:val="20"/>
              </w:rPr>
            </w:pPr>
            <w:r w:rsidRPr="0059301B">
              <w:rPr>
                <w:sz w:val="20"/>
              </w:rPr>
              <w:t>Secondary/High</w:t>
            </w:r>
          </w:p>
        </w:tc>
        <w:tc>
          <w:tcPr>
            <w:tcW w:w="2116" w:type="dxa"/>
            <w:tcBorders>
              <w:top w:val="single" w:sz="2" w:space="0" w:color="auto"/>
              <w:left w:val="single" w:sz="2" w:space="0" w:color="auto"/>
              <w:bottom w:val="single" w:sz="2" w:space="0" w:color="auto"/>
              <w:right w:val="single" w:sz="2" w:space="0" w:color="auto"/>
            </w:tcBorders>
            <w:noWrap/>
            <w:vAlign w:val="center"/>
            <w:hideMark/>
          </w:tcPr>
          <w:p w:rsidR="00C15783" w:rsidRPr="0059301B" w14:paraId="32654ADC" w14:textId="2CD62F7B">
            <w:pPr>
              <w:jc w:val="center"/>
              <w:rPr>
                <w:sz w:val="20"/>
              </w:rPr>
            </w:pPr>
            <w:r w:rsidRPr="0059301B">
              <w:rPr>
                <w:sz w:val="20"/>
              </w:rPr>
              <w:t>Nonreligious</w:t>
            </w:r>
          </w:p>
        </w:tc>
        <w:tc>
          <w:tcPr>
            <w:tcW w:w="2174" w:type="dxa"/>
            <w:tcBorders>
              <w:top w:val="single" w:sz="2" w:space="0" w:color="auto"/>
              <w:left w:val="single" w:sz="2" w:space="0" w:color="auto"/>
              <w:bottom w:val="single" w:sz="2" w:space="0" w:color="auto"/>
              <w:right w:val="single" w:sz="2" w:space="0" w:color="auto"/>
            </w:tcBorders>
            <w:noWrap/>
            <w:hideMark/>
          </w:tcPr>
          <w:p w:rsidR="00C15783" w:rsidRPr="0059301B" w14:paraId="72F5AD2A" w14:textId="006DB0F5">
            <w:pPr>
              <w:jc w:val="center"/>
              <w:rPr>
                <w:sz w:val="20"/>
              </w:rPr>
            </w:pPr>
            <w:r w:rsidRPr="0059301B">
              <w:rPr>
                <w:sz w:val="20"/>
              </w:rPr>
              <w:t>3.58</w:t>
            </w:r>
          </w:p>
        </w:tc>
      </w:tr>
      <w:tr w14:paraId="0E4EA770" w14:textId="77777777" w:rsidTr="0088647E">
        <w:tblPrEx>
          <w:tblW w:w="6539" w:type="dxa"/>
          <w:tblInd w:w="-3" w:type="dxa"/>
          <w:tblLayout w:type="fixed"/>
          <w:tblLook w:val="04A0"/>
        </w:tblPrEx>
        <w:trPr>
          <w:trHeight w:val="27"/>
        </w:trPr>
        <w:tc>
          <w:tcPr>
            <w:tcW w:w="2249" w:type="dxa"/>
            <w:tcBorders>
              <w:top w:val="single" w:sz="2" w:space="0" w:color="auto"/>
              <w:left w:val="single" w:sz="2" w:space="0" w:color="auto"/>
              <w:bottom w:val="single" w:sz="2" w:space="0" w:color="auto"/>
              <w:right w:val="single" w:sz="2" w:space="0" w:color="auto"/>
            </w:tcBorders>
            <w:noWrap/>
            <w:vAlign w:val="center"/>
            <w:hideMark/>
          </w:tcPr>
          <w:p w:rsidR="00C15783" w:rsidRPr="0059301B" w:rsidP="0088647E" w14:paraId="34ED444F" w14:textId="74CC5C1C">
            <w:pPr>
              <w:rPr>
                <w:sz w:val="20"/>
              </w:rPr>
            </w:pPr>
            <w:r w:rsidRPr="0059301B">
              <w:rPr>
                <w:sz w:val="20"/>
              </w:rPr>
              <w:t>Secondary/High</w:t>
            </w:r>
          </w:p>
        </w:tc>
        <w:tc>
          <w:tcPr>
            <w:tcW w:w="2116" w:type="dxa"/>
            <w:tcBorders>
              <w:top w:val="single" w:sz="2" w:space="0" w:color="auto"/>
              <w:left w:val="single" w:sz="2" w:space="0" w:color="auto"/>
              <w:bottom w:val="single" w:sz="2" w:space="0" w:color="auto"/>
              <w:right w:val="single" w:sz="2" w:space="0" w:color="auto"/>
            </w:tcBorders>
            <w:noWrap/>
            <w:vAlign w:val="center"/>
            <w:hideMark/>
          </w:tcPr>
          <w:p w:rsidR="00C15783" w:rsidRPr="0059301B" w14:paraId="0D625136" w14:textId="35113724">
            <w:pPr>
              <w:jc w:val="center"/>
              <w:rPr>
                <w:sz w:val="20"/>
              </w:rPr>
            </w:pPr>
            <w:r w:rsidRPr="0059301B">
              <w:rPr>
                <w:sz w:val="20"/>
              </w:rPr>
              <w:t>Baptist</w:t>
            </w:r>
          </w:p>
        </w:tc>
        <w:tc>
          <w:tcPr>
            <w:tcW w:w="2174" w:type="dxa"/>
            <w:tcBorders>
              <w:top w:val="single" w:sz="2" w:space="0" w:color="auto"/>
              <w:left w:val="single" w:sz="2" w:space="0" w:color="auto"/>
              <w:bottom w:val="single" w:sz="2" w:space="0" w:color="auto"/>
              <w:right w:val="single" w:sz="2" w:space="0" w:color="auto"/>
            </w:tcBorders>
            <w:noWrap/>
            <w:hideMark/>
          </w:tcPr>
          <w:p w:rsidR="00C15783" w:rsidRPr="0059301B" w14:paraId="0FD2352D" w14:textId="0CFEB6BF">
            <w:pPr>
              <w:jc w:val="center"/>
              <w:rPr>
                <w:sz w:val="20"/>
              </w:rPr>
            </w:pPr>
            <w:r w:rsidRPr="0059301B">
              <w:rPr>
                <w:sz w:val="20"/>
              </w:rPr>
              <w:t>3.44</w:t>
            </w:r>
          </w:p>
        </w:tc>
      </w:tr>
      <w:tr w14:paraId="77832674" w14:textId="77777777" w:rsidTr="0088647E">
        <w:tblPrEx>
          <w:tblW w:w="6539" w:type="dxa"/>
          <w:tblInd w:w="-3" w:type="dxa"/>
          <w:tblLayout w:type="fixed"/>
          <w:tblLook w:val="04A0"/>
        </w:tblPrEx>
        <w:trPr>
          <w:trHeight w:val="27"/>
        </w:trPr>
        <w:tc>
          <w:tcPr>
            <w:tcW w:w="2249" w:type="dxa"/>
            <w:tcBorders>
              <w:top w:val="single" w:sz="2" w:space="0" w:color="auto"/>
              <w:left w:val="single" w:sz="2" w:space="0" w:color="auto"/>
              <w:bottom w:val="single" w:sz="2" w:space="0" w:color="auto"/>
              <w:right w:val="single" w:sz="2" w:space="0" w:color="auto"/>
            </w:tcBorders>
            <w:noWrap/>
            <w:vAlign w:val="center"/>
            <w:hideMark/>
          </w:tcPr>
          <w:p w:rsidR="00C15783" w:rsidRPr="0059301B" w:rsidP="0088647E" w14:paraId="3C42DC29" w14:textId="28A2FE56">
            <w:pPr>
              <w:rPr>
                <w:sz w:val="20"/>
              </w:rPr>
            </w:pPr>
            <w:r w:rsidRPr="0059301B">
              <w:rPr>
                <w:sz w:val="20"/>
              </w:rPr>
              <w:t>Secondary/High</w:t>
            </w:r>
          </w:p>
        </w:tc>
        <w:tc>
          <w:tcPr>
            <w:tcW w:w="2116" w:type="dxa"/>
            <w:tcBorders>
              <w:top w:val="single" w:sz="2" w:space="0" w:color="auto"/>
              <w:left w:val="single" w:sz="2" w:space="0" w:color="auto"/>
              <w:bottom w:val="single" w:sz="2" w:space="0" w:color="auto"/>
              <w:right w:val="single" w:sz="2" w:space="0" w:color="auto"/>
            </w:tcBorders>
            <w:noWrap/>
            <w:vAlign w:val="center"/>
            <w:hideMark/>
          </w:tcPr>
          <w:p w:rsidR="00C15783" w:rsidRPr="0059301B" w14:paraId="6C04F2F9" w14:textId="7F8D8CA2">
            <w:pPr>
              <w:jc w:val="center"/>
              <w:rPr>
                <w:sz w:val="20"/>
              </w:rPr>
            </w:pPr>
            <w:r w:rsidRPr="0059301B">
              <w:rPr>
                <w:sz w:val="20"/>
              </w:rPr>
              <w:t>Other religious</w:t>
            </w:r>
          </w:p>
        </w:tc>
        <w:tc>
          <w:tcPr>
            <w:tcW w:w="2174" w:type="dxa"/>
            <w:tcBorders>
              <w:top w:val="single" w:sz="2" w:space="0" w:color="auto"/>
              <w:left w:val="single" w:sz="2" w:space="0" w:color="auto"/>
              <w:bottom w:val="single" w:sz="2" w:space="0" w:color="auto"/>
              <w:right w:val="single" w:sz="2" w:space="0" w:color="auto"/>
            </w:tcBorders>
            <w:noWrap/>
            <w:hideMark/>
          </w:tcPr>
          <w:p w:rsidR="00C15783" w:rsidRPr="0059301B" w14:paraId="14EA31BF" w14:textId="1949B15B">
            <w:pPr>
              <w:jc w:val="center"/>
              <w:rPr>
                <w:sz w:val="20"/>
              </w:rPr>
            </w:pPr>
            <w:r w:rsidRPr="0059301B">
              <w:rPr>
                <w:sz w:val="20"/>
              </w:rPr>
              <w:t>2.80</w:t>
            </w:r>
          </w:p>
        </w:tc>
      </w:tr>
      <w:tr w14:paraId="6A65AA89" w14:textId="77777777" w:rsidTr="0088647E">
        <w:tblPrEx>
          <w:tblW w:w="6539" w:type="dxa"/>
          <w:tblInd w:w="-3" w:type="dxa"/>
          <w:tblLayout w:type="fixed"/>
          <w:tblLook w:val="04A0"/>
        </w:tblPrEx>
        <w:trPr>
          <w:trHeight w:val="27"/>
        </w:trPr>
        <w:tc>
          <w:tcPr>
            <w:tcW w:w="2249" w:type="dxa"/>
            <w:tcBorders>
              <w:top w:val="single" w:sz="2" w:space="0" w:color="auto"/>
              <w:left w:val="single" w:sz="2" w:space="0" w:color="auto"/>
              <w:bottom w:val="single" w:sz="2" w:space="0" w:color="auto"/>
              <w:right w:val="single" w:sz="2" w:space="0" w:color="auto"/>
            </w:tcBorders>
            <w:noWrap/>
            <w:vAlign w:val="center"/>
            <w:hideMark/>
          </w:tcPr>
          <w:p w:rsidR="00C15783" w:rsidRPr="0059301B" w:rsidP="0088647E" w14:paraId="796620EB" w14:textId="2E5B8C4E">
            <w:pPr>
              <w:rPr>
                <w:sz w:val="20"/>
              </w:rPr>
            </w:pPr>
            <w:r w:rsidRPr="0059301B">
              <w:rPr>
                <w:sz w:val="20"/>
              </w:rPr>
              <w:t>Combined/Other</w:t>
            </w:r>
          </w:p>
        </w:tc>
        <w:tc>
          <w:tcPr>
            <w:tcW w:w="2116" w:type="dxa"/>
            <w:tcBorders>
              <w:top w:val="single" w:sz="2" w:space="0" w:color="auto"/>
              <w:left w:val="single" w:sz="2" w:space="0" w:color="auto"/>
              <w:bottom w:val="single" w:sz="2" w:space="0" w:color="auto"/>
              <w:right w:val="single" w:sz="2" w:space="0" w:color="auto"/>
            </w:tcBorders>
            <w:noWrap/>
            <w:vAlign w:val="center"/>
            <w:hideMark/>
          </w:tcPr>
          <w:p w:rsidR="00C15783" w:rsidRPr="0059301B" w14:paraId="5E09D493" w14:textId="05217BC5">
            <w:pPr>
              <w:jc w:val="center"/>
              <w:rPr>
                <w:sz w:val="20"/>
              </w:rPr>
            </w:pPr>
            <w:r w:rsidRPr="0059301B">
              <w:rPr>
                <w:sz w:val="20"/>
              </w:rPr>
              <w:t>Nonreligious</w:t>
            </w:r>
          </w:p>
        </w:tc>
        <w:tc>
          <w:tcPr>
            <w:tcW w:w="2174" w:type="dxa"/>
            <w:tcBorders>
              <w:top w:val="single" w:sz="2" w:space="0" w:color="auto"/>
              <w:left w:val="single" w:sz="2" w:space="0" w:color="auto"/>
              <w:bottom w:val="single" w:sz="2" w:space="0" w:color="auto"/>
              <w:right w:val="single" w:sz="2" w:space="0" w:color="auto"/>
            </w:tcBorders>
            <w:noWrap/>
            <w:hideMark/>
          </w:tcPr>
          <w:p w:rsidR="00C15783" w:rsidRPr="0059301B" w14:paraId="3A2CF953" w14:textId="403353D8">
            <w:pPr>
              <w:jc w:val="center"/>
              <w:rPr>
                <w:sz w:val="20"/>
              </w:rPr>
            </w:pPr>
            <w:r w:rsidRPr="0059301B">
              <w:rPr>
                <w:sz w:val="20"/>
              </w:rPr>
              <w:t>1.</w:t>
            </w:r>
            <w:r w:rsidRPr="0059301B" w:rsidR="009B11C6">
              <w:rPr>
                <w:sz w:val="20"/>
              </w:rPr>
              <w:t>56</w:t>
            </w:r>
          </w:p>
        </w:tc>
      </w:tr>
      <w:tr w14:paraId="2F66F4B2" w14:textId="77777777" w:rsidTr="0088647E">
        <w:tblPrEx>
          <w:tblW w:w="6539" w:type="dxa"/>
          <w:tblInd w:w="-3" w:type="dxa"/>
          <w:tblLayout w:type="fixed"/>
          <w:tblLook w:val="04A0"/>
        </w:tblPrEx>
        <w:trPr>
          <w:trHeight w:val="27"/>
        </w:trPr>
        <w:tc>
          <w:tcPr>
            <w:tcW w:w="2249" w:type="dxa"/>
            <w:tcBorders>
              <w:top w:val="single" w:sz="2" w:space="0" w:color="auto"/>
              <w:left w:val="single" w:sz="2" w:space="0" w:color="auto"/>
              <w:bottom w:val="single" w:sz="2" w:space="0" w:color="auto"/>
              <w:right w:val="single" w:sz="2" w:space="0" w:color="auto"/>
            </w:tcBorders>
            <w:noWrap/>
            <w:vAlign w:val="center"/>
            <w:hideMark/>
          </w:tcPr>
          <w:p w:rsidR="00C15783" w:rsidRPr="0059301B" w:rsidP="0088647E" w14:paraId="5A241C27" w14:textId="68F93BEC">
            <w:pPr>
              <w:rPr>
                <w:sz w:val="20"/>
              </w:rPr>
            </w:pPr>
            <w:r w:rsidRPr="0059301B">
              <w:rPr>
                <w:sz w:val="20"/>
              </w:rPr>
              <w:t>Combined/Other</w:t>
            </w:r>
          </w:p>
        </w:tc>
        <w:tc>
          <w:tcPr>
            <w:tcW w:w="2116" w:type="dxa"/>
            <w:tcBorders>
              <w:top w:val="single" w:sz="2" w:space="0" w:color="auto"/>
              <w:left w:val="single" w:sz="2" w:space="0" w:color="auto"/>
              <w:bottom w:val="single" w:sz="2" w:space="0" w:color="auto"/>
              <w:right w:val="single" w:sz="2" w:space="0" w:color="auto"/>
            </w:tcBorders>
            <w:noWrap/>
            <w:vAlign w:val="center"/>
            <w:hideMark/>
          </w:tcPr>
          <w:p w:rsidR="00C15783" w:rsidRPr="0059301B" w14:paraId="3658DF35" w14:textId="194DB631">
            <w:pPr>
              <w:jc w:val="center"/>
              <w:rPr>
                <w:sz w:val="20"/>
              </w:rPr>
            </w:pPr>
            <w:r w:rsidRPr="0059301B">
              <w:rPr>
                <w:sz w:val="20"/>
              </w:rPr>
              <w:t>Baptist</w:t>
            </w:r>
          </w:p>
        </w:tc>
        <w:tc>
          <w:tcPr>
            <w:tcW w:w="2174" w:type="dxa"/>
            <w:tcBorders>
              <w:top w:val="single" w:sz="2" w:space="0" w:color="auto"/>
              <w:left w:val="single" w:sz="2" w:space="0" w:color="auto"/>
              <w:bottom w:val="single" w:sz="2" w:space="0" w:color="auto"/>
              <w:right w:val="single" w:sz="2" w:space="0" w:color="auto"/>
            </w:tcBorders>
            <w:noWrap/>
            <w:hideMark/>
          </w:tcPr>
          <w:p w:rsidR="00C15783" w:rsidRPr="0059301B" w14:paraId="0A77C255" w14:textId="7496C11D">
            <w:pPr>
              <w:jc w:val="center"/>
              <w:rPr>
                <w:sz w:val="20"/>
              </w:rPr>
            </w:pPr>
            <w:r w:rsidRPr="0059301B">
              <w:rPr>
                <w:sz w:val="20"/>
              </w:rPr>
              <w:t>1.</w:t>
            </w:r>
            <w:r w:rsidRPr="0059301B" w:rsidR="009B11C6">
              <w:rPr>
                <w:sz w:val="20"/>
              </w:rPr>
              <w:t>50</w:t>
            </w:r>
          </w:p>
        </w:tc>
      </w:tr>
      <w:tr w14:paraId="3FB7D057" w14:textId="77777777" w:rsidTr="0088647E">
        <w:tblPrEx>
          <w:tblW w:w="6539" w:type="dxa"/>
          <w:tblInd w:w="-3" w:type="dxa"/>
          <w:tblLayout w:type="fixed"/>
          <w:tblLook w:val="04A0"/>
        </w:tblPrEx>
        <w:trPr>
          <w:trHeight w:val="27"/>
        </w:trPr>
        <w:tc>
          <w:tcPr>
            <w:tcW w:w="2249" w:type="dxa"/>
            <w:tcBorders>
              <w:top w:val="single" w:sz="2" w:space="0" w:color="auto"/>
              <w:left w:val="single" w:sz="2" w:space="0" w:color="auto"/>
              <w:bottom w:val="single" w:sz="2" w:space="0" w:color="auto"/>
              <w:right w:val="single" w:sz="2" w:space="0" w:color="auto"/>
            </w:tcBorders>
            <w:noWrap/>
            <w:vAlign w:val="center"/>
            <w:hideMark/>
          </w:tcPr>
          <w:p w:rsidR="00C15783" w:rsidRPr="0059301B" w:rsidP="0088647E" w14:paraId="1B81D23D" w14:textId="58FEE9CE">
            <w:pPr>
              <w:rPr>
                <w:sz w:val="20"/>
              </w:rPr>
            </w:pPr>
            <w:r w:rsidRPr="0059301B">
              <w:rPr>
                <w:sz w:val="20"/>
              </w:rPr>
              <w:t>Combined/Other</w:t>
            </w:r>
          </w:p>
        </w:tc>
        <w:tc>
          <w:tcPr>
            <w:tcW w:w="2116" w:type="dxa"/>
            <w:tcBorders>
              <w:top w:val="single" w:sz="2" w:space="0" w:color="auto"/>
              <w:left w:val="single" w:sz="2" w:space="0" w:color="auto"/>
              <w:bottom w:val="single" w:sz="2" w:space="0" w:color="auto"/>
              <w:right w:val="single" w:sz="2" w:space="0" w:color="auto"/>
            </w:tcBorders>
            <w:noWrap/>
            <w:vAlign w:val="center"/>
            <w:hideMark/>
          </w:tcPr>
          <w:p w:rsidR="00C15783" w:rsidRPr="0059301B" w14:paraId="5E6B235C" w14:textId="5F7CF349">
            <w:pPr>
              <w:jc w:val="center"/>
              <w:rPr>
                <w:sz w:val="20"/>
              </w:rPr>
            </w:pPr>
            <w:r w:rsidRPr="0059301B">
              <w:rPr>
                <w:sz w:val="20"/>
              </w:rPr>
              <w:t>Other religious</w:t>
            </w:r>
          </w:p>
        </w:tc>
        <w:tc>
          <w:tcPr>
            <w:tcW w:w="2174" w:type="dxa"/>
            <w:tcBorders>
              <w:top w:val="single" w:sz="2" w:space="0" w:color="auto"/>
              <w:left w:val="single" w:sz="2" w:space="0" w:color="auto"/>
              <w:bottom w:val="single" w:sz="2" w:space="0" w:color="auto"/>
              <w:right w:val="single" w:sz="2" w:space="0" w:color="auto"/>
            </w:tcBorders>
            <w:noWrap/>
            <w:hideMark/>
          </w:tcPr>
          <w:p w:rsidR="00C15783" w:rsidRPr="0059301B" w14:paraId="4F3858E9" w14:textId="04A0B588">
            <w:pPr>
              <w:jc w:val="center"/>
              <w:rPr>
                <w:sz w:val="20"/>
              </w:rPr>
            </w:pPr>
            <w:r w:rsidRPr="0059301B">
              <w:rPr>
                <w:sz w:val="20"/>
              </w:rPr>
              <w:t>1.</w:t>
            </w:r>
            <w:r w:rsidRPr="0059301B" w:rsidR="009B11C6">
              <w:rPr>
                <w:sz w:val="20"/>
              </w:rPr>
              <w:t>22</w:t>
            </w:r>
          </w:p>
        </w:tc>
      </w:tr>
      <w:tr w14:paraId="5303C602" w14:textId="77777777" w:rsidTr="0088647E">
        <w:tblPrEx>
          <w:tblW w:w="6539" w:type="dxa"/>
          <w:tblInd w:w="-3" w:type="dxa"/>
          <w:tblLayout w:type="fixed"/>
          <w:tblLook w:val="04A0"/>
        </w:tblPrEx>
        <w:trPr>
          <w:trHeight w:val="27"/>
        </w:trPr>
        <w:tc>
          <w:tcPr>
            <w:tcW w:w="2249" w:type="dxa"/>
            <w:tcBorders>
              <w:top w:val="single" w:sz="2" w:space="0" w:color="auto"/>
              <w:left w:val="single" w:sz="2" w:space="0" w:color="auto"/>
              <w:bottom w:val="single" w:sz="2" w:space="0" w:color="auto"/>
              <w:right w:val="single" w:sz="2" w:space="0" w:color="auto"/>
            </w:tcBorders>
            <w:noWrap/>
            <w:vAlign w:val="center"/>
            <w:hideMark/>
          </w:tcPr>
          <w:p w:rsidR="00C15783" w:rsidRPr="0059301B" w:rsidP="0088647E" w14:paraId="36A6B343" w14:textId="31E5F1AE">
            <w:pPr>
              <w:rPr>
                <w:sz w:val="20"/>
              </w:rPr>
            </w:pPr>
            <w:r w:rsidRPr="0059301B">
              <w:rPr>
                <w:sz w:val="20"/>
              </w:rPr>
              <w:t>Elementary/Middle</w:t>
            </w:r>
          </w:p>
        </w:tc>
        <w:tc>
          <w:tcPr>
            <w:tcW w:w="2116" w:type="dxa"/>
            <w:tcBorders>
              <w:top w:val="single" w:sz="2" w:space="0" w:color="auto"/>
              <w:left w:val="single" w:sz="2" w:space="0" w:color="auto"/>
              <w:bottom w:val="single" w:sz="2" w:space="0" w:color="auto"/>
              <w:right w:val="single" w:sz="2" w:space="0" w:color="auto"/>
            </w:tcBorders>
            <w:noWrap/>
            <w:vAlign w:val="center"/>
            <w:hideMark/>
          </w:tcPr>
          <w:p w:rsidR="00C15783" w:rsidRPr="0059301B" w14:paraId="3437CFC2" w14:textId="7E215233">
            <w:pPr>
              <w:jc w:val="center"/>
              <w:rPr>
                <w:sz w:val="20"/>
              </w:rPr>
            </w:pPr>
            <w:r w:rsidRPr="0059301B">
              <w:rPr>
                <w:sz w:val="20"/>
              </w:rPr>
              <w:t>Nonreligious</w:t>
            </w:r>
          </w:p>
        </w:tc>
        <w:tc>
          <w:tcPr>
            <w:tcW w:w="2174" w:type="dxa"/>
            <w:tcBorders>
              <w:top w:val="single" w:sz="2" w:space="0" w:color="auto"/>
              <w:left w:val="single" w:sz="2" w:space="0" w:color="auto"/>
              <w:bottom w:val="single" w:sz="2" w:space="0" w:color="auto"/>
              <w:right w:val="single" w:sz="2" w:space="0" w:color="auto"/>
            </w:tcBorders>
            <w:noWrap/>
            <w:hideMark/>
          </w:tcPr>
          <w:p w:rsidR="00C15783" w:rsidRPr="0059301B" w14:paraId="5C2A04B7" w14:textId="3FE84A4F">
            <w:pPr>
              <w:jc w:val="center"/>
              <w:rPr>
                <w:sz w:val="20"/>
              </w:rPr>
            </w:pPr>
            <w:r w:rsidRPr="0059301B">
              <w:rPr>
                <w:sz w:val="20"/>
              </w:rPr>
              <w:t>1.</w:t>
            </w:r>
            <w:r w:rsidRPr="0059301B" w:rsidR="009B11C6">
              <w:rPr>
                <w:sz w:val="20"/>
              </w:rPr>
              <w:t>28</w:t>
            </w:r>
          </w:p>
        </w:tc>
      </w:tr>
      <w:tr w14:paraId="08B07054" w14:textId="77777777" w:rsidTr="0088647E">
        <w:tblPrEx>
          <w:tblW w:w="6539" w:type="dxa"/>
          <w:tblInd w:w="-3" w:type="dxa"/>
          <w:tblLayout w:type="fixed"/>
          <w:tblLook w:val="04A0"/>
        </w:tblPrEx>
        <w:trPr>
          <w:trHeight w:val="27"/>
        </w:trPr>
        <w:tc>
          <w:tcPr>
            <w:tcW w:w="2249" w:type="dxa"/>
            <w:tcBorders>
              <w:top w:val="single" w:sz="2" w:space="0" w:color="auto"/>
              <w:left w:val="single" w:sz="2" w:space="0" w:color="auto"/>
              <w:bottom w:val="single" w:sz="2" w:space="0" w:color="auto"/>
              <w:right w:val="single" w:sz="2" w:space="0" w:color="auto"/>
            </w:tcBorders>
            <w:noWrap/>
            <w:vAlign w:val="center"/>
            <w:hideMark/>
          </w:tcPr>
          <w:p w:rsidR="00C15783" w:rsidRPr="0059301B" w:rsidP="0088647E" w14:paraId="1466E834" w14:textId="00B8F8BD">
            <w:pPr>
              <w:rPr>
                <w:sz w:val="20"/>
              </w:rPr>
            </w:pPr>
            <w:r w:rsidRPr="0059301B">
              <w:rPr>
                <w:sz w:val="20"/>
              </w:rPr>
              <w:t>Elementary/Middle</w:t>
            </w:r>
          </w:p>
        </w:tc>
        <w:tc>
          <w:tcPr>
            <w:tcW w:w="2116" w:type="dxa"/>
            <w:tcBorders>
              <w:top w:val="single" w:sz="2" w:space="0" w:color="auto"/>
              <w:left w:val="single" w:sz="2" w:space="0" w:color="auto"/>
              <w:bottom w:val="single" w:sz="2" w:space="0" w:color="auto"/>
              <w:right w:val="single" w:sz="2" w:space="0" w:color="auto"/>
            </w:tcBorders>
            <w:noWrap/>
            <w:vAlign w:val="center"/>
            <w:hideMark/>
          </w:tcPr>
          <w:p w:rsidR="00C15783" w:rsidRPr="0059301B" w14:paraId="4AE6CED5" w14:textId="37164310">
            <w:pPr>
              <w:jc w:val="center"/>
              <w:rPr>
                <w:sz w:val="20"/>
              </w:rPr>
            </w:pPr>
            <w:r w:rsidRPr="0059301B">
              <w:rPr>
                <w:sz w:val="20"/>
              </w:rPr>
              <w:t>Baptist</w:t>
            </w:r>
          </w:p>
        </w:tc>
        <w:tc>
          <w:tcPr>
            <w:tcW w:w="2174" w:type="dxa"/>
            <w:tcBorders>
              <w:top w:val="single" w:sz="2" w:space="0" w:color="auto"/>
              <w:left w:val="single" w:sz="2" w:space="0" w:color="auto"/>
              <w:bottom w:val="single" w:sz="2" w:space="0" w:color="auto"/>
              <w:right w:val="single" w:sz="2" w:space="0" w:color="auto"/>
            </w:tcBorders>
            <w:noWrap/>
            <w:hideMark/>
          </w:tcPr>
          <w:p w:rsidR="00C15783" w:rsidRPr="0059301B" w14:paraId="1399A736" w14:textId="5EEA42A0">
            <w:pPr>
              <w:jc w:val="center"/>
              <w:rPr>
                <w:sz w:val="20"/>
              </w:rPr>
            </w:pPr>
            <w:r w:rsidRPr="0059301B">
              <w:rPr>
                <w:sz w:val="20"/>
              </w:rPr>
              <w:t>1.</w:t>
            </w:r>
            <w:r w:rsidRPr="0059301B" w:rsidR="009B11C6">
              <w:rPr>
                <w:sz w:val="20"/>
              </w:rPr>
              <w:t>23</w:t>
            </w:r>
          </w:p>
        </w:tc>
      </w:tr>
      <w:tr w14:paraId="1500C96E" w14:textId="77777777" w:rsidTr="0088647E">
        <w:tblPrEx>
          <w:tblW w:w="6539" w:type="dxa"/>
          <w:tblInd w:w="-3" w:type="dxa"/>
          <w:tblLayout w:type="fixed"/>
          <w:tblLook w:val="04A0"/>
        </w:tblPrEx>
        <w:trPr>
          <w:trHeight w:val="27"/>
        </w:trPr>
        <w:tc>
          <w:tcPr>
            <w:tcW w:w="2249" w:type="dxa"/>
            <w:tcBorders>
              <w:top w:val="single" w:sz="2" w:space="0" w:color="auto"/>
              <w:left w:val="single" w:sz="2" w:space="0" w:color="auto"/>
              <w:bottom w:val="single" w:sz="2" w:space="0" w:color="auto"/>
              <w:right w:val="single" w:sz="2" w:space="0" w:color="auto"/>
            </w:tcBorders>
            <w:noWrap/>
            <w:vAlign w:val="center"/>
            <w:hideMark/>
          </w:tcPr>
          <w:p w:rsidR="00C15783" w:rsidRPr="0059301B" w:rsidP="0088647E" w14:paraId="584B2423" w14:textId="26ABC179">
            <w:pPr>
              <w:rPr>
                <w:sz w:val="20"/>
              </w:rPr>
            </w:pPr>
            <w:r w:rsidRPr="0059301B">
              <w:rPr>
                <w:sz w:val="20"/>
              </w:rPr>
              <w:t>Elementary/Middle</w:t>
            </w:r>
          </w:p>
        </w:tc>
        <w:tc>
          <w:tcPr>
            <w:tcW w:w="2116" w:type="dxa"/>
            <w:tcBorders>
              <w:top w:val="single" w:sz="2" w:space="0" w:color="auto"/>
              <w:left w:val="single" w:sz="2" w:space="0" w:color="auto"/>
              <w:bottom w:val="single" w:sz="2" w:space="0" w:color="auto"/>
              <w:right w:val="single" w:sz="2" w:space="0" w:color="auto"/>
            </w:tcBorders>
            <w:noWrap/>
            <w:vAlign w:val="center"/>
            <w:hideMark/>
          </w:tcPr>
          <w:p w:rsidR="00C15783" w:rsidRPr="0059301B" w14:paraId="55B62A74" w14:textId="408D5BAC">
            <w:pPr>
              <w:jc w:val="center"/>
              <w:rPr>
                <w:sz w:val="20"/>
              </w:rPr>
            </w:pPr>
            <w:r w:rsidRPr="0059301B">
              <w:rPr>
                <w:sz w:val="20"/>
              </w:rPr>
              <w:t>Other religious</w:t>
            </w:r>
          </w:p>
        </w:tc>
        <w:tc>
          <w:tcPr>
            <w:tcW w:w="2174" w:type="dxa"/>
            <w:tcBorders>
              <w:top w:val="single" w:sz="2" w:space="0" w:color="auto"/>
              <w:left w:val="single" w:sz="2" w:space="0" w:color="auto"/>
              <w:bottom w:val="single" w:sz="2" w:space="0" w:color="auto"/>
              <w:right w:val="single" w:sz="2" w:space="0" w:color="auto"/>
            </w:tcBorders>
            <w:noWrap/>
            <w:hideMark/>
          </w:tcPr>
          <w:p w:rsidR="00C15783" w:rsidRPr="0059301B" w14:paraId="488798E1" w14:textId="7F722950">
            <w:pPr>
              <w:jc w:val="center"/>
              <w:rPr>
                <w:sz w:val="20"/>
              </w:rPr>
            </w:pPr>
            <w:r w:rsidRPr="0059301B">
              <w:rPr>
                <w:sz w:val="20"/>
              </w:rPr>
              <w:t>1.</w:t>
            </w:r>
            <w:r w:rsidRPr="0059301B" w:rsidR="009B11C6">
              <w:rPr>
                <w:sz w:val="20"/>
              </w:rPr>
              <w:t>00</w:t>
            </w:r>
          </w:p>
        </w:tc>
      </w:tr>
      <w:tr w14:paraId="68EABD48" w14:textId="77777777" w:rsidTr="0088647E">
        <w:tblPrEx>
          <w:tblW w:w="6539" w:type="dxa"/>
          <w:tblInd w:w="-3" w:type="dxa"/>
          <w:tblLayout w:type="fixed"/>
          <w:tblLook w:val="04A0"/>
        </w:tblPrEx>
        <w:trPr>
          <w:trHeight w:val="27"/>
        </w:trPr>
        <w:tc>
          <w:tcPr>
            <w:tcW w:w="2249" w:type="dxa"/>
            <w:tcBorders>
              <w:top w:val="single" w:sz="2" w:space="0" w:color="auto"/>
              <w:left w:val="single" w:sz="2" w:space="0" w:color="auto"/>
              <w:bottom w:val="single" w:sz="2" w:space="0" w:color="auto"/>
              <w:right w:val="single" w:sz="2" w:space="0" w:color="auto"/>
            </w:tcBorders>
            <w:noWrap/>
            <w:vAlign w:val="center"/>
            <w:hideMark/>
          </w:tcPr>
          <w:p w:rsidR="00C15783" w:rsidRPr="0059301B" w:rsidP="0088647E" w14:paraId="5524424B" w14:textId="1901D80E">
            <w:pPr>
              <w:rPr>
                <w:sz w:val="20"/>
              </w:rPr>
            </w:pPr>
            <w:r w:rsidRPr="0059301B">
              <w:rPr>
                <w:sz w:val="20"/>
              </w:rPr>
              <w:t>Secondary/</w:t>
            </w:r>
            <w:r w:rsidRPr="0059301B" w:rsidR="009B11C6">
              <w:rPr>
                <w:sz w:val="20"/>
              </w:rPr>
              <w:t>High</w:t>
            </w:r>
          </w:p>
        </w:tc>
        <w:tc>
          <w:tcPr>
            <w:tcW w:w="2116" w:type="dxa"/>
            <w:tcBorders>
              <w:top w:val="single" w:sz="2" w:space="0" w:color="auto"/>
              <w:left w:val="single" w:sz="2" w:space="0" w:color="auto"/>
              <w:bottom w:val="single" w:sz="2" w:space="0" w:color="auto"/>
              <w:right w:val="single" w:sz="2" w:space="0" w:color="auto"/>
            </w:tcBorders>
            <w:noWrap/>
            <w:vAlign w:val="center"/>
            <w:hideMark/>
          </w:tcPr>
          <w:p w:rsidR="00C15783" w:rsidRPr="0059301B" w14:paraId="6B102B15" w14:textId="4BAED7B6">
            <w:pPr>
              <w:jc w:val="center"/>
              <w:rPr>
                <w:sz w:val="20"/>
              </w:rPr>
            </w:pPr>
            <w:r w:rsidRPr="0059301B">
              <w:rPr>
                <w:sz w:val="20"/>
              </w:rPr>
              <w:t>Nonreligious</w:t>
            </w:r>
          </w:p>
        </w:tc>
        <w:tc>
          <w:tcPr>
            <w:tcW w:w="2174" w:type="dxa"/>
            <w:tcBorders>
              <w:top w:val="single" w:sz="2" w:space="0" w:color="auto"/>
              <w:left w:val="single" w:sz="2" w:space="0" w:color="auto"/>
              <w:bottom w:val="single" w:sz="2" w:space="0" w:color="auto"/>
              <w:right w:val="single" w:sz="2" w:space="0" w:color="auto"/>
            </w:tcBorders>
            <w:noWrap/>
            <w:hideMark/>
          </w:tcPr>
          <w:p w:rsidR="00C15783" w:rsidRPr="0059301B" w14:paraId="6651BDC9" w14:textId="5A62F804">
            <w:pPr>
              <w:jc w:val="center"/>
              <w:rPr>
                <w:sz w:val="20"/>
              </w:rPr>
            </w:pPr>
            <w:r w:rsidRPr="0059301B">
              <w:rPr>
                <w:sz w:val="20"/>
              </w:rPr>
              <w:t>3.58</w:t>
            </w:r>
          </w:p>
        </w:tc>
      </w:tr>
      <w:tr w14:paraId="2F2D056F" w14:textId="77777777" w:rsidTr="0088647E">
        <w:tblPrEx>
          <w:tblW w:w="6539" w:type="dxa"/>
          <w:tblInd w:w="-3" w:type="dxa"/>
          <w:tblLayout w:type="fixed"/>
          <w:tblLook w:val="04A0"/>
        </w:tblPrEx>
        <w:trPr>
          <w:trHeight w:val="27"/>
        </w:trPr>
        <w:tc>
          <w:tcPr>
            <w:tcW w:w="2249" w:type="dxa"/>
            <w:tcBorders>
              <w:top w:val="single" w:sz="2" w:space="0" w:color="auto"/>
              <w:left w:val="single" w:sz="2" w:space="0" w:color="auto"/>
              <w:bottom w:val="single" w:sz="2" w:space="0" w:color="auto"/>
              <w:right w:val="single" w:sz="2" w:space="0" w:color="auto"/>
            </w:tcBorders>
            <w:noWrap/>
            <w:vAlign w:val="center"/>
            <w:hideMark/>
          </w:tcPr>
          <w:p w:rsidR="00C15783" w:rsidRPr="0059301B" w:rsidP="0088647E" w14:paraId="275C7298" w14:textId="7FFEC0B9">
            <w:pPr>
              <w:rPr>
                <w:sz w:val="20"/>
              </w:rPr>
            </w:pPr>
            <w:r w:rsidRPr="0059301B">
              <w:rPr>
                <w:sz w:val="20"/>
              </w:rPr>
              <w:t>Secondary/High</w:t>
            </w:r>
          </w:p>
        </w:tc>
        <w:tc>
          <w:tcPr>
            <w:tcW w:w="2116" w:type="dxa"/>
            <w:tcBorders>
              <w:top w:val="single" w:sz="2" w:space="0" w:color="auto"/>
              <w:left w:val="single" w:sz="2" w:space="0" w:color="auto"/>
              <w:bottom w:val="single" w:sz="2" w:space="0" w:color="auto"/>
              <w:right w:val="single" w:sz="2" w:space="0" w:color="auto"/>
            </w:tcBorders>
            <w:noWrap/>
            <w:vAlign w:val="center"/>
            <w:hideMark/>
          </w:tcPr>
          <w:p w:rsidR="00C15783" w:rsidRPr="0059301B" w14:paraId="20A4EF1D" w14:textId="575080D2">
            <w:pPr>
              <w:jc w:val="center"/>
              <w:rPr>
                <w:sz w:val="20"/>
              </w:rPr>
            </w:pPr>
            <w:r w:rsidRPr="0059301B">
              <w:rPr>
                <w:sz w:val="20"/>
              </w:rPr>
              <w:t>Baptist</w:t>
            </w:r>
          </w:p>
        </w:tc>
        <w:tc>
          <w:tcPr>
            <w:tcW w:w="2174" w:type="dxa"/>
            <w:tcBorders>
              <w:top w:val="single" w:sz="2" w:space="0" w:color="auto"/>
              <w:left w:val="single" w:sz="2" w:space="0" w:color="auto"/>
              <w:bottom w:val="single" w:sz="2" w:space="0" w:color="auto"/>
              <w:right w:val="single" w:sz="2" w:space="0" w:color="auto"/>
            </w:tcBorders>
            <w:noWrap/>
            <w:hideMark/>
          </w:tcPr>
          <w:p w:rsidR="00C15783" w:rsidRPr="0059301B" w14:paraId="7275E05B" w14:textId="0DA6EFA9">
            <w:pPr>
              <w:jc w:val="center"/>
              <w:rPr>
                <w:sz w:val="20"/>
              </w:rPr>
            </w:pPr>
            <w:r w:rsidRPr="0059301B">
              <w:rPr>
                <w:sz w:val="20"/>
              </w:rPr>
              <w:t>3.44</w:t>
            </w:r>
          </w:p>
        </w:tc>
      </w:tr>
    </w:tbl>
    <w:p w:rsidR="006E6501" w:rsidRPr="0059301B" w:rsidP="00675CC0" w14:paraId="73EC870C" w14:textId="77777777">
      <w:pPr>
        <w:rPr>
          <w:rFonts w:eastAsia="MS Mincho"/>
          <w:sz w:val="22"/>
        </w:rPr>
      </w:pPr>
    </w:p>
    <w:p w:rsidR="00675CC0" w:rsidRPr="0059301B" w:rsidP="00675CC0" w14:paraId="7898764F" w14:textId="77777777">
      <w:pPr>
        <w:rPr>
          <w:rFonts w:eastAsia="MS Mincho"/>
          <w:sz w:val="22"/>
          <w:szCs w:val="18"/>
        </w:rPr>
      </w:pPr>
    </w:p>
    <w:p w:rsidR="00675CC0" w:rsidRPr="0059301B" w:rsidP="00675CC0" w14:paraId="0BFF9A15" w14:textId="249EB972">
      <w:pPr>
        <w:rPr>
          <w:rFonts w:eastAsia="MS Mincho"/>
          <w:sz w:val="22"/>
          <w:szCs w:val="18"/>
        </w:rPr>
      </w:pPr>
      <w:r w:rsidRPr="0059301B">
        <w:rPr>
          <w:rFonts w:eastAsia="MS Mincho"/>
          <w:sz w:val="22"/>
        </w:rPr>
        <w:t xml:space="preserve">In addition to oversampling by characteristic, </w:t>
      </w:r>
      <w:r w:rsidRPr="0059301B" w:rsidR="00FC49AE">
        <w:rPr>
          <w:rFonts w:eastAsia="MS Mincho"/>
          <w:sz w:val="22"/>
        </w:rPr>
        <w:t xml:space="preserve">public </w:t>
      </w:r>
      <w:r w:rsidRPr="0059301B">
        <w:rPr>
          <w:rFonts w:eastAsia="MS Mincho"/>
          <w:sz w:val="22"/>
        </w:rPr>
        <w:t xml:space="preserve">schools in </w:t>
      </w:r>
      <w:r w:rsidRPr="0059301B">
        <w:rPr>
          <w:rFonts w:eastAsia="MS Mincho"/>
          <w:sz w:val="22"/>
          <w:szCs w:val="18"/>
        </w:rPr>
        <w:t>31 states</w:t>
      </w:r>
      <w:r w:rsidRPr="0059301B">
        <w:rPr>
          <w:rFonts w:eastAsia="MS Mincho"/>
          <w:sz w:val="22"/>
        </w:rPr>
        <w:t xml:space="preserve"> (generally smaller</w:t>
      </w:r>
      <w:r w:rsidRPr="0059301B" w:rsidR="00EF2092">
        <w:rPr>
          <w:rFonts w:eastAsia="MS Mincho"/>
          <w:sz w:val="22"/>
        </w:rPr>
        <w:t xml:space="preserve"> states</w:t>
      </w:r>
      <w:r w:rsidRPr="0059301B">
        <w:rPr>
          <w:rFonts w:eastAsia="MS Mincho"/>
          <w:sz w:val="22"/>
        </w:rPr>
        <w:t xml:space="preserve">, based on population size) </w:t>
      </w:r>
      <w:r w:rsidRPr="0059301B">
        <w:rPr>
          <w:rFonts w:eastAsia="MS Mincho"/>
          <w:sz w:val="22"/>
          <w:szCs w:val="18"/>
        </w:rPr>
        <w:t>and the District of Columbia</w:t>
      </w:r>
      <w:r w:rsidRPr="0059301B">
        <w:rPr>
          <w:rFonts w:eastAsia="MS Mincho"/>
          <w:sz w:val="22"/>
        </w:rPr>
        <w:t xml:space="preserve"> ha</w:t>
      </w:r>
      <w:r w:rsidRPr="0059301B" w:rsidR="004E2F15">
        <w:rPr>
          <w:rFonts w:eastAsia="MS Mincho"/>
          <w:sz w:val="22"/>
        </w:rPr>
        <w:t>d</w:t>
      </w:r>
      <w:r w:rsidRPr="0059301B">
        <w:rPr>
          <w:rFonts w:eastAsia="MS Mincho"/>
          <w:sz w:val="22"/>
        </w:rPr>
        <w:t xml:space="preserve"> relatively higher sampling rates to</w:t>
      </w:r>
      <w:r w:rsidRPr="0059301B">
        <w:rPr>
          <w:sz w:val="22"/>
        </w:rPr>
        <w:t xml:space="preserve"> realize lower bounds on precision for these states</w:t>
      </w:r>
      <w:r w:rsidRPr="0059301B">
        <w:rPr>
          <w:rFonts w:eastAsia="MS Mincho"/>
          <w:sz w:val="22"/>
        </w:rPr>
        <w:t xml:space="preserve"> and to enable the calculation of reliable key state estimates.</w:t>
      </w:r>
    </w:p>
    <w:p w:rsidR="00675CC0" w:rsidRPr="0059301B" w:rsidP="00675CC0" w14:paraId="67C6C1F6" w14:textId="77777777">
      <w:pPr>
        <w:rPr>
          <w:rFonts w:eastAsia="MS Mincho"/>
          <w:sz w:val="22"/>
          <w:szCs w:val="18"/>
        </w:rPr>
      </w:pPr>
    </w:p>
    <w:p w:rsidR="00675CC0" w:rsidRPr="0059301B" w:rsidP="00675CC0" w14:paraId="4F0BEC42" w14:textId="17EA15C5">
      <w:pPr>
        <w:rPr>
          <w:rFonts w:eastAsia="MS Mincho"/>
          <w:sz w:val="22"/>
          <w:szCs w:val="18"/>
        </w:rPr>
      </w:pPr>
      <w:r w:rsidRPr="0059301B">
        <w:rPr>
          <w:sz w:val="22"/>
          <w:szCs w:val="18"/>
        </w:rPr>
        <w:t xml:space="preserve">Whenever possible, </w:t>
      </w:r>
      <w:r w:rsidRPr="0059301B" w:rsidR="00B61E88">
        <w:rPr>
          <w:sz w:val="22"/>
          <w:szCs w:val="18"/>
        </w:rPr>
        <w:t xml:space="preserve">teacher rosters for the sampled schools were prepopulated using </w:t>
      </w:r>
      <w:r w:rsidRPr="0059301B">
        <w:rPr>
          <w:sz w:val="22"/>
          <w:szCs w:val="18"/>
        </w:rPr>
        <w:t>v</w:t>
      </w:r>
      <w:r w:rsidRPr="0059301B" w:rsidR="00DC4983">
        <w:rPr>
          <w:sz w:val="22"/>
          <w:szCs w:val="18"/>
        </w:rPr>
        <w:t>endor-purchased teacher roster files</w:t>
      </w:r>
      <w:r w:rsidRPr="0059301B" w:rsidR="00A5669A">
        <w:rPr>
          <w:sz w:val="22"/>
          <w:szCs w:val="18"/>
        </w:rPr>
        <w:t>, web scraped data</w:t>
      </w:r>
      <w:r w:rsidRPr="0059301B" w:rsidR="00EA497B">
        <w:rPr>
          <w:sz w:val="22"/>
          <w:szCs w:val="18"/>
        </w:rPr>
        <w:t>,</w:t>
      </w:r>
      <w:r w:rsidRPr="0059301B" w:rsidR="00DC4983">
        <w:rPr>
          <w:sz w:val="22"/>
          <w:szCs w:val="18"/>
        </w:rPr>
        <w:t xml:space="preserve"> and</w:t>
      </w:r>
      <w:r w:rsidRPr="0059301B" w:rsidR="00C22F16">
        <w:rPr>
          <w:sz w:val="22"/>
          <w:szCs w:val="18"/>
        </w:rPr>
        <w:t xml:space="preserve"> the results of</w:t>
      </w:r>
      <w:r w:rsidRPr="0059301B" w:rsidR="00DC4983">
        <w:rPr>
          <w:sz w:val="22"/>
          <w:szCs w:val="18"/>
        </w:rPr>
        <w:t xml:space="preserve"> a clerical look-up operation </w:t>
      </w:r>
      <w:r w:rsidRPr="0059301B" w:rsidR="00C22F16">
        <w:rPr>
          <w:sz w:val="22"/>
          <w:szCs w:val="18"/>
        </w:rPr>
        <w:t xml:space="preserve">to identify </w:t>
      </w:r>
      <w:r w:rsidRPr="0059301B" w:rsidR="00DC4983">
        <w:rPr>
          <w:sz w:val="22"/>
          <w:szCs w:val="18"/>
        </w:rPr>
        <w:t xml:space="preserve">teacher lists located on school and/or district websites. </w:t>
      </w:r>
      <w:r w:rsidRPr="0059301B">
        <w:rPr>
          <w:rFonts w:eastAsia="MS Mincho"/>
          <w:sz w:val="22"/>
          <w:szCs w:val="18"/>
        </w:rPr>
        <w:t>Sampled schools were</w:t>
      </w:r>
      <w:r w:rsidRPr="0059301B">
        <w:rPr>
          <w:rFonts w:eastAsia="MS Mincho"/>
          <w:sz w:val="22"/>
          <w:szCs w:val="18"/>
        </w:rPr>
        <w:t xml:space="preserve"> then</w:t>
      </w:r>
      <w:r w:rsidRPr="0059301B">
        <w:rPr>
          <w:rFonts w:eastAsia="MS Mincho"/>
          <w:sz w:val="22"/>
          <w:szCs w:val="18"/>
        </w:rPr>
        <w:t xml:space="preserve"> asked to </w:t>
      </w:r>
      <w:r w:rsidRPr="0059301B" w:rsidR="00E7102C">
        <w:rPr>
          <w:rFonts w:eastAsia="MS Mincho"/>
          <w:sz w:val="22"/>
          <w:szCs w:val="18"/>
        </w:rPr>
        <w:t xml:space="preserve">verify or </w:t>
      </w:r>
      <w:r w:rsidRPr="0059301B">
        <w:rPr>
          <w:rFonts w:eastAsia="MS Mincho"/>
          <w:sz w:val="22"/>
          <w:szCs w:val="18"/>
        </w:rPr>
        <w:t>provide</w:t>
      </w:r>
      <w:r w:rsidRPr="0059301B" w:rsidR="00E7102C">
        <w:rPr>
          <w:rFonts w:eastAsia="MS Mincho"/>
          <w:sz w:val="22"/>
          <w:szCs w:val="18"/>
        </w:rPr>
        <w:t xml:space="preserve"> (when the roster could not be prepopulated) </w:t>
      </w:r>
      <w:r w:rsidRPr="0059301B">
        <w:rPr>
          <w:rFonts w:eastAsia="MS Mincho"/>
          <w:sz w:val="22"/>
          <w:szCs w:val="18"/>
        </w:rPr>
        <w:t xml:space="preserve">the following </w:t>
      </w:r>
      <w:r w:rsidRPr="0059301B" w:rsidR="007722D6">
        <w:rPr>
          <w:rFonts w:eastAsia="MS Mincho"/>
          <w:sz w:val="22"/>
          <w:szCs w:val="18"/>
        </w:rPr>
        <w:t xml:space="preserve">information </w:t>
      </w:r>
      <w:r w:rsidRPr="0059301B">
        <w:rPr>
          <w:rFonts w:eastAsia="MS Mincho"/>
          <w:sz w:val="22"/>
          <w:szCs w:val="18"/>
        </w:rPr>
        <w:t>for all full- and part-time teachers in their school: name, email address, and subject matter taught</w:t>
      </w:r>
      <w:r w:rsidRPr="0059301B" w:rsidR="00BA680D">
        <w:rPr>
          <w:rFonts w:eastAsia="MS Mincho"/>
          <w:sz w:val="22"/>
          <w:szCs w:val="18"/>
        </w:rPr>
        <w:t xml:space="preserve"> (</w:t>
      </w:r>
      <w:r w:rsidRPr="0059301B" w:rsidR="0064390D">
        <w:rPr>
          <w:rFonts w:eastAsia="MS Mincho"/>
          <w:sz w:val="22"/>
          <w:szCs w:val="18"/>
        </w:rPr>
        <w:t xml:space="preserve">selecting </w:t>
      </w:r>
      <w:r w:rsidRPr="0059301B" w:rsidR="00C30350">
        <w:rPr>
          <w:rFonts w:eastAsia="MS Mincho"/>
          <w:sz w:val="22"/>
          <w:szCs w:val="18"/>
        </w:rPr>
        <w:t xml:space="preserve">from </w:t>
      </w:r>
      <w:r w:rsidRPr="0059301B" w:rsidR="00757B21">
        <w:rPr>
          <w:rFonts w:eastAsia="MS Mincho"/>
          <w:sz w:val="22"/>
          <w:szCs w:val="18"/>
        </w:rPr>
        <w:t>the following subjects:</w:t>
      </w:r>
      <w:r w:rsidRPr="0059301B">
        <w:rPr>
          <w:rFonts w:eastAsia="MS Mincho"/>
          <w:sz w:val="22"/>
          <w:szCs w:val="18"/>
        </w:rPr>
        <w:t xml:space="preserve"> special education, general elementary, math, science, English/language arts, social studies, vocational/technical, world language, music or art, or another subject</w:t>
      </w:r>
      <w:r w:rsidRPr="0059301B" w:rsidR="00BA680D">
        <w:rPr>
          <w:rFonts w:eastAsia="MS Mincho"/>
          <w:sz w:val="22"/>
          <w:szCs w:val="18"/>
        </w:rPr>
        <w:t>)</w:t>
      </w:r>
      <w:r w:rsidRPr="0059301B">
        <w:rPr>
          <w:rFonts w:eastAsia="MS Mincho"/>
          <w:sz w:val="22"/>
          <w:szCs w:val="18"/>
        </w:rPr>
        <w:t xml:space="preserve">. </w:t>
      </w:r>
    </w:p>
    <w:p w:rsidR="004C61C4" w:rsidP="00675CC0" w14:paraId="5A7A6CE6" w14:textId="4733A0DB">
      <w:pPr>
        <w:rPr>
          <w:sz w:val="22"/>
          <w:szCs w:val="18"/>
        </w:rPr>
      </w:pPr>
    </w:p>
    <w:p w:rsidR="00675CC0" w:rsidRPr="0059301B" w:rsidP="00675CC0" w14:paraId="542BEE6A" w14:textId="0E3750AE">
      <w:pPr>
        <w:rPr>
          <w:rFonts w:eastAsia="MS Mincho"/>
          <w:sz w:val="22"/>
          <w:szCs w:val="18"/>
        </w:rPr>
      </w:pPr>
      <w:r w:rsidRPr="0059301B">
        <w:rPr>
          <w:rFonts w:eastAsia="MS Mincho"/>
          <w:sz w:val="22"/>
          <w:szCs w:val="18"/>
        </w:rPr>
        <w:t xml:space="preserve">Within each sampled school, teachers were stratified by </w:t>
      </w:r>
      <w:r w:rsidRPr="0059301B" w:rsidR="002E5EF3">
        <w:rPr>
          <w:rFonts w:eastAsia="MS Mincho"/>
          <w:sz w:val="22"/>
          <w:szCs w:val="18"/>
        </w:rPr>
        <w:t>whether th</w:t>
      </w:r>
      <w:r w:rsidRPr="0059301B" w:rsidR="00C05013">
        <w:rPr>
          <w:rFonts w:eastAsia="MS Mincho"/>
          <w:sz w:val="22"/>
          <w:szCs w:val="18"/>
        </w:rPr>
        <w:t>ey were newly added to the teacher roster, and the</w:t>
      </w:r>
      <w:r w:rsidRPr="0059301B" w:rsidR="006F1005">
        <w:rPr>
          <w:rFonts w:eastAsia="MS Mincho"/>
          <w:sz w:val="22"/>
          <w:szCs w:val="18"/>
        </w:rPr>
        <w:t>n</w:t>
      </w:r>
      <w:r w:rsidRPr="0059301B" w:rsidR="00C05013">
        <w:rPr>
          <w:rFonts w:eastAsia="MS Mincho"/>
          <w:sz w:val="22"/>
          <w:szCs w:val="18"/>
        </w:rPr>
        <w:t xml:space="preserve"> sorted by </w:t>
      </w:r>
      <w:r w:rsidRPr="0059301B">
        <w:rPr>
          <w:rFonts w:eastAsia="MS Mincho"/>
          <w:sz w:val="22"/>
          <w:szCs w:val="18"/>
        </w:rPr>
        <w:t>subject taught</w:t>
      </w:r>
      <w:r w:rsidRPr="0059301B" w:rsidR="00E57D41">
        <w:rPr>
          <w:rFonts w:eastAsia="MS Mincho"/>
          <w:sz w:val="22"/>
          <w:szCs w:val="18"/>
        </w:rPr>
        <w:t xml:space="preserve"> </w:t>
      </w:r>
      <w:r w:rsidRPr="0059301B" w:rsidR="006174DE">
        <w:rPr>
          <w:rFonts w:eastAsia="MS Mincho"/>
          <w:sz w:val="22"/>
          <w:szCs w:val="18"/>
        </w:rPr>
        <w:t xml:space="preserve">(special education, general elementary, </w:t>
      </w:r>
      <w:r w:rsidRPr="0059301B" w:rsidR="006174DE">
        <w:rPr>
          <w:rFonts w:eastAsia="MS Mincho"/>
          <w:sz w:val="22"/>
        </w:rPr>
        <w:t xml:space="preserve">math, science, English/language arts, social studies, </w:t>
      </w:r>
      <w:r w:rsidRPr="0059301B" w:rsidR="006174DE">
        <w:rPr>
          <w:rFonts w:eastAsia="MS Mincho"/>
          <w:sz w:val="22"/>
          <w:szCs w:val="18"/>
        </w:rPr>
        <w:t xml:space="preserve">vocational/technical, world language, music/art, </w:t>
      </w:r>
      <w:r w:rsidRPr="0059301B" w:rsidR="006174DE">
        <w:rPr>
          <w:rFonts w:eastAsia="MS Mincho"/>
          <w:sz w:val="22"/>
        </w:rPr>
        <w:t xml:space="preserve">and everything else), </w:t>
      </w:r>
      <w:r w:rsidRPr="0059301B" w:rsidR="00E57D41">
        <w:rPr>
          <w:rFonts w:eastAsia="MS Mincho"/>
          <w:sz w:val="22"/>
          <w:szCs w:val="18"/>
        </w:rPr>
        <w:t>and the teacher line number code, which is a unique number assigned to identify the teacher within the list of keyed teachers</w:t>
      </w:r>
      <w:r w:rsidRPr="0059301B">
        <w:rPr>
          <w:rFonts w:eastAsia="MS Mincho"/>
          <w:sz w:val="22"/>
          <w:szCs w:val="18"/>
        </w:rPr>
        <w:t xml:space="preserve">. </w:t>
      </w:r>
      <w:r w:rsidRPr="0059301B" w:rsidR="00A91BA7">
        <w:rPr>
          <w:rFonts w:eastAsia="MS Mincho"/>
          <w:sz w:val="22"/>
          <w:szCs w:val="18"/>
        </w:rPr>
        <w:t>When no new tea</w:t>
      </w:r>
      <w:r w:rsidRPr="0059301B" w:rsidR="005463D9">
        <w:rPr>
          <w:rFonts w:eastAsia="MS Mincho"/>
          <w:sz w:val="22"/>
          <w:szCs w:val="18"/>
        </w:rPr>
        <w:t>ch</w:t>
      </w:r>
      <w:r w:rsidRPr="0059301B" w:rsidR="006F1005">
        <w:rPr>
          <w:rFonts w:eastAsia="MS Mincho"/>
          <w:sz w:val="22"/>
          <w:szCs w:val="18"/>
        </w:rPr>
        <w:t>er was added to the roster</w:t>
      </w:r>
      <w:r w:rsidRPr="0059301B" w:rsidR="000E3411">
        <w:rPr>
          <w:rFonts w:eastAsia="MS Mincho"/>
          <w:sz w:val="22"/>
          <w:szCs w:val="18"/>
        </w:rPr>
        <w:t xml:space="preserve"> for a sampled school</w:t>
      </w:r>
      <w:r w:rsidRPr="0059301B" w:rsidR="006F1005">
        <w:rPr>
          <w:rFonts w:eastAsia="MS Mincho"/>
          <w:sz w:val="22"/>
          <w:szCs w:val="18"/>
        </w:rPr>
        <w:t xml:space="preserve">, teachers </w:t>
      </w:r>
      <w:r w:rsidRPr="0059301B" w:rsidR="000E3411">
        <w:rPr>
          <w:rFonts w:eastAsia="MS Mincho"/>
          <w:sz w:val="22"/>
          <w:szCs w:val="18"/>
        </w:rPr>
        <w:t>from that school</w:t>
      </w:r>
      <w:r w:rsidRPr="0059301B" w:rsidR="006F1005">
        <w:rPr>
          <w:rFonts w:eastAsia="MS Mincho"/>
          <w:sz w:val="22"/>
          <w:szCs w:val="18"/>
        </w:rPr>
        <w:t xml:space="preserve"> were </w:t>
      </w:r>
      <w:r w:rsidRPr="0059301B" w:rsidR="00F77BE5">
        <w:rPr>
          <w:rFonts w:eastAsia="MS Mincho"/>
          <w:sz w:val="22"/>
          <w:szCs w:val="18"/>
        </w:rPr>
        <w:t xml:space="preserve">considered </w:t>
      </w:r>
      <w:r w:rsidRPr="0059301B" w:rsidR="000C2B78">
        <w:rPr>
          <w:rFonts w:eastAsia="MS Mincho"/>
          <w:sz w:val="22"/>
          <w:szCs w:val="18"/>
        </w:rPr>
        <w:t>to be in</w:t>
      </w:r>
      <w:r w:rsidRPr="0059301B" w:rsidR="00F77BE5">
        <w:rPr>
          <w:rFonts w:eastAsia="MS Mincho"/>
          <w:sz w:val="22"/>
          <w:szCs w:val="18"/>
        </w:rPr>
        <w:t xml:space="preserve"> a single stratum</w:t>
      </w:r>
      <w:r w:rsidRPr="0059301B" w:rsidR="000E3411">
        <w:rPr>
          <w:rFonts w:eastAsia="MS Mincho"/>
          <w:sz w:val="22"/>
          <w:szCs w:val="18"/>
        </w:rPr>
        <w:t>, and</w:t>
      </w:r>
      <w:r w:rsidRPr="0059301B" w:rsidR="006F1005">
        <w:rPr>
          <w:rFonts w:eastAsia="MS Mincho"/>
          <w:sz w:val="22"/>
          <w:szCs w:val="18"/>
        </w:rPr>
        <w:t xml:space="preserve"> sorted by subject taught </w:t>
      </w:r>
      <w:r w:rsidRPr="0059301B" w:rsidR="00E57D41">
        <w:rPr>
          <w:rFonts w:eastAsia="MS Mincho"/>
          <w:sz w:val="22"/>
          <w:szCs w:val="18"/>
        </w:rPr>
        <w:t>and the teacher line number code</w:t>
      </w:r>
      <w:r w:rsidRPr="0059301B" w:rsidR="006F1005">
        <w:rPr>
          <w:rFonts w:eastAsia="MS Mincho"/>
          <w:sz w:val="22"/>
          <w:szCs w:val="18"/>
        </w:rPr>
        <w:t xml:space="preserve"> without </w:t>
      </w:r>
      <w:r w:rsidRPr="0059301B" w:rsidR="000E3411">
        <w:rPr>
          <w:rFonts w:eastAsia="MS Mincho"/>
          <w:sz w:val="22"/>
          <w:szCs w:val="18"/>
        </w:rPr>
        <w:t>additional</w:t>
      </w:r>
      <w:r w:rsidRPr="0059301B" w:rsidR="006F1005">
        <w:rPr>
          <w:rFonts w:eastAsia="MS Mincho"/>
          <w:sz w:val="22"/>
          <w:szCs w:val="18"/>
        </w:rPr>
        <w:t xml:space="preserve"> stratification.</w:t>
      </w:r>
      <w:r w:rsidRPr="0059301B">
        <w:rPr>
          <w:rFonts w:eastAsia="MS Mincho"/>
          <w:sz w:val="22"/>
          <w:szCs w:val="18"/>
        </w:rPr>
        <w:t xml:space="preserve"> Within each teacher stratum in each school, teachers were selected systematically with equal probability.</w:t>
      </w:r>
    </w:p>
    <w:p w:rsidR="00675CC0" w:rsidRPr="0059301B" w:rsidP="00675CC0" w14:paraId="34663B0A" w14:textId="77777777">
      <w:pPr>
        <w:rPr>
          <w:rFonts w:eastAsia="MS Mincho"/>
          <w:sz w:val="22"/>
          <w:szCs w:val="18"/>
        </w:rPr>
      </w:pPr>
    </w:p>
    <w:p w:rsidR="004C61C4" w:rsidRPr="00DC7187" w:rsidP="004C61C4" w14:paraId="1F89CCE1" w14:textId="0A51EE20">
      <w:pPr>
        <w:rPr>
          <w:sz w:val="22"/>
          <w:szCs w:val="18"/>
        </w:rPr>
      </w:pPr>
      <w:r w:rsidRPr="0059301B">
        <w:rPr>
          <w:sz w:val="22"/>
          <w:szCs w:val="18"/>
        </w:rPr>
        <w:t>Table B</w:t>
      </w:r>
      <w:r w:rsidRPr="0059301B" w:rsidR="007859DD">
        <w:rPr>
          <w:sz w:val="22"/>
          <w:szCs w:val="18"/>
        </w:rPr>
        <w:t>3</w:t>
      </w:r>
      <w:r w:rsidRPr="0059301B">
        <w:rPr>
          <w:sz w:val="22"/>
          <w:szCs w:val="18"/>
        </w:rPr>
        <w:t xml:space="preserve"> below shows a summary of the 2023-24 NTPS allocated </w:t>
      </w:r>
      <w:r w:rsidRPr="0059301B">
        <w:rPr>
          <w:color w:val="000000"/>
          <w:sz w:val="22"/>
          <w:szCs w:val="18"/>
        </w:rPr>
        <w:t>sample sizes</w:t>
      </w:r>
      <w:r w:rsidRPr="0059301B">
        <w:rPr>
          <w:sz w:val="22"/>
          <w:szCs w:val="18"/>
        </w:rPr>
        <w:t>.</w:t>
      </w:r>
      <w:r w:rsidRPr="0059301B" w:rsidR="000150A5">
        <w:rPr>
          <w:sz w:val="22"/>
          <w:szCs w:val="18"/>
        </w:rPr>
        <w:t xml:space="preserve"> Note that teacher</w:t>
      </w:r>
      <w:r w:rsidRPr="0059301B" w:rsidR="002C3DC5">
        <w:rPr>
          <w:sz w:val="22"/>
          <w:szCs w:val="18"/>
        </w:rPr>
        <w:t>s are sampled for the NTPS throughout the 2023-24 school year, so</w:t>
      </w:r>
      <w:r>
        <w:rPr>
          <w:sz w:val="22"/>
          <w:szCs w:val="18"/>
        </w:rPr>
        <w:t xml:space="preserve"> sample sizes are an estimate at this time</w:t>
      </w:r>
      <w:r w:rsidR="00287983">
        <w:rPr>
          <w:sz w:val="22"/>
          <w:szCs w:val="18"/>
        </w:rPr>
        <w:t>.</w:t>
      </w:r>
      <w:r>
        <w:rPr>
          <w:sz w:val="22"/>
          <w:szCs w:val="18"/>
        </w:rPr>
        <w:t xml:space="preserve"> </w:t>
      </w:r>
      <w:r w:rsidR="00287983">
        <w:rPr>
          <w:sz w:val="22"/>
          <w:szCs w:val="18"/>
        </w:rPr>
        <w:t>The f</w:t>
      </w:r>
      <w:r>
        <w:rPr>
          <w:sz w:val="22"/>
          <w:szCs w:val="18"/>
        </w:rPr>
        <w:t xml:space="preserve">inal sample allocations will be known at the conclusion of 2023-24 NTPS teacher sampling, in spring 2024.   </w:t>
      </w:r>
    </w:p>
    <w:p w:rsidR="00675CC0" w:rsidRPr="0059301B" w:rsidP="00675CC0" w14:paraId="328CC512" w14:textId="355F6375">
      <w:pPr>
        <w:rPr>
          <w:sz w:val="22"/>
          <w:szCs w:val="18"/>
        </w:rPr>
      </w:pPr>
      <w:r w:rsidRPr="0059301B">
        <w:rPr>
          <w:sz w:val="22"/>
          <w:szCs w:val="18"/>
        </w:rPr>
        <w:t xml:space="preserve"> </w:t>
      </w:r>
    </w:p>
    <w:p w:rsidR="00675CC0" w:rsidRPr="0059301B" w:rsidP="00675CC0" w14:paraId="5D7116DC" w14:textId="04290703">
      <w:pPr>
        <w:rPr>
          <w:b/>
          <w:bCs/>
          <w:i/>
          <w:iCs/>
          <w:sz w:val="22"/>
          <w:szCs w:val="18"/>
        </w:rPr>
      </w:pPr>
      <w:r w:rsidRPr="0059301B">
        <w:rPr>
          <w:b/>
          <w:bCs/>
          <w:i/>
          <w:iCs/>
          <w:sz w:val="22"/>
          <w:szCs w:val="18"/>
        </w:rPr>
        <w:t>Table B</w:t>
      </w:r>
      <w:r w:rsidRPr="0059301B" w:rsidR="007859DD">
        <w:rPr>
          <w:b/>
          <w:bCs/>
          <w:i/>
          <w:iCs/>
          <w:sz w:val="22"/>
          <w:szCs w:val="18"/>
        </w:rPr>
        <w:t>3</w:t>
      </w:r>
      <w:r w:rsidRPr="0059301B">
        <w:rPr>
          <w:b/>
          <w:bCs/>
          <w:i/>
          <w:iCs/>
          <w:sz w:val="22"/>
          <w:szCs w:val="18"/>
        </w:rPr>
        <w:t>. Summary of the 2023-24 NTPS sample sizes</w:t>
      </w:r>
    </w:p>
    <w:tbl>
      <w:tblPr>
        <w:tblW w:w="4084"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120" w:type="dxa"/>
          <w:right w:w="120" w:type="dxa"/>
        </w:tblCellMar>
        <w:tblLook w:val="0000"/>
      </w:tblPr>
      <w:tblGrid>
        <w:gridCol w:w="4157"/>
        <w:gridCol w:w="1865"/>
        <w:gridCol w:w="2291"/>
      </w:tblGrid>
      <w:tr w14:paraId="207620CA" w14:textId="77777777">
        <w:tblPrEx>
          <w:tblW w:w="4084"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120" w:type="dxa"/>
            <w:right w:w="120" w:type="dxa"/>
          </w:tblCellMar>
          <w:tblLook w:val="0000"/>
        </w:tblPrEx>
        <w:trPr>
          <w:trHeight w:val="315"/>
        </w:trPr>
        <w:tc>
          <w:tcPr>
            <w:tcW w:w="2500" w:type="pct"/>
          </w:tcPr>
          <w:p w:rsidR="00675CC0" w:rsidRPr="0059301B" w14:paraId="5686CF29" w14:textId="77777777">
            <w:pPr>
              <w:pStyle w:val="NoSpacing"/>
              <w:ind w:right="-36"/>
              <w:rPr>
                <w:sz w:val="20"/>
              </w:rPr>
            </w:pPr>
          </w:p>
        </w:tc>
        <w:tc>
          <w:tcPr>
            <w:tcW w:w="1122" w:type="pct"/>
          </w:tcPr>
          <w:p w:rsidR="00675CC0" w:rsidRPr="0059301B" w14:paraId="0CC63E8D" w14:textId="77777777">
            <w:pPr>
              <w:pStyle w:val="NoSpacing"/>
              <w:ind w:right="-36"/>
              <w:rPr>
                <w:sz w:val="20"/>
              </w:rPr>
            </w:pPr>
            <w:r w:rsidRPr="0059301B">
              <w:rPr>
                <w:sz w:val="20"/>
              </w:rPr>
              <w:t>School</w:t>
            </w:r>
          </w:p>
        </w:tc>
        <w:tc>
          <w:tcPr>
            <w:tcW w:w="1378" w:type="pct"/>
          </w:tcPr>
          <w:p w:rsidR="00675CC0" w:rsidRPr="0059301B" w14:paraId="2C5A54DB" w14:textId="77777777">
            <w:pPr>
              <w:pStyle w:val="NoSpacing"/>
              <w:ind w:right="-36"/>
              <w:rPr>
                <w:sz w:val="20"/>
              </w:rPr>
            </w:pPr>
            <w:r w:rsidRPr="0059301B">
              <w:rPr>
                <w:sz w:val="20"/>
              </w:rPr>
              <w:t>Teacher</w:t>
            </w:r>
          </w:p>
        </w:tc>
      </w:tr>
      <w:tr w14:paraId="5124BDD5" w14:textId="77777777">
        <w:tblPrEx>
          <w:tblW w:w="4084" w:type="pct"/>
          <w:tblCellMar>
            <w:left w:w="120" w:type="dxa"/>
            <w:right w:w="120" w:type="dxa"/>
          </w:tblCellMar>
          <w:tblLook w:val="0000"/>
        </w:tblPrEx>
        <w:trPr>
          <w:trHeight w:val="309"/>
        </w:trPr>
        <w:tc>
          <w:tcPr>
            <w:tcW w:w="2500" w:type="pct"/>
          </w:tcPr>
          <w:p w:rsidR="00675CC0" w:rsidRPr="0059301B" w14:paraId="6ED4A6F1" w14:textId="03A7DF5E">
            <w:pPr>
              <w:pStyle w:val="NoSpacing"/>
              <w:ind w:right="-36"/>
              <w:rPr>
                <w:sz w:val="20"/>
              </w:rPr>
            </w:pPr>
            <w:r w:rsidRPr="0059301B">
              <w:rPr>
                <w:sz w:val="20"/>
              </w:rPr>
              <w:t>Public</w:t>
            </w:r>
          </w:p>
        </w:tc>
        <w:tc>
          <w:tcPr>
            <w:tcW w:w="1122" w:type="pct"/>
          </w:tcPr>
          <w:p w:rsidR="00675CC0" w:rsidRPr="0059301B" w14:paraId="6F156947" w14:textId="5A30BE16">
            <w:pPr>
              <w:pStyle w:val="NoSpacing"/>
              <w:ind w:right="-36"/>
              <w:rPr>
                <w:sz w:val="20"/>
              </w:rPr>
            </w:pPr>
            <w:r>
              <w:rPr>
                <w:sz w:val="20"/>
              </w:rPr>
              <w:t>10,100</w:t>
            </w:r>
          </w:p>
        </w:tc>
        <w:tc>
          <w:tcPr>
            <w:tcW w:w="1378" w:type="pct"/>
          </w:tcPr>
          <w:p w:rsidR="00675CC0" w:rsidRPr="0059301B" w14:paraId="2374C134" w14:textId="56732AB4">
            <w:pPr>
              <w:pStyle w:val="NoSpacing"/>
              <w:ind w:right="-36"/>
              <w:rPr>
                <w:sz w:val="20"/>
              </w:rPr>
            </w:pPr>
            <w:r>
              <w:rPr>
                <w:sz w:val="20"/>
              </w:rPr>
              <w:t>59,713</w:t>
            </w:r>
          </w:p>
        </w:tc>
      </w:tr>
      <w:tr w14:paraId="62526931" w14:textId="77777777">
        <w:tblPrEx>
          <w:tblW w:w="4084" w:type="pct"/>
          <w:tblCellMar>
            <w:left w:w="120" w:type="dxa"/>
            <w:right w:w="120" w:type="dxa"/>
          </w:tblCellMar>
          <w:tblLook w:val="0000"/>
        </w:tblPrEx>
        <w:trPr>
          <w:trHeight w:val="249"/>
        </w:trPr>
        <w:tc>
          <w:tcPr>
            <w:tcW w:w="2500" w:type="pct"/>
            <w:tcBorders>
              <w:bottom w:val="double" w:sz="4" w:space="0" w:color="auto"/>
            </w:tcBorders>
          </w:tcPr>
          <w:p w:rsidR="00675CC0" w:rsidRPr="0059301B" w14:paraId="6DFD0BFD" w14:textId="77777777">
            <w:pPr>
              <w:pStyle w:val="NoSpacing"/>
              <w:ind w:right="-36"/>
              <w:rPr>
                <w:sz w:val="20"/>
              </w:rPr>
            </w:pPr>
            <w:r w:rsidRPr="0059301B">
              <w:rPr>
                <w:sz w:val="20"/>
              </w:rPr>
              <w:t>Private</w:t>
            </w:r>
          </w:p>
        </w:tc>
        <w:tc>
          <w:tcPr>
            <w:tcW w:w="1122" w:type="pct"/>
            <w:tcBorders>
              <w:bottom w:val="double" w:sz="4" w:space="0" w:color="auto"/>
            </w:tcBorders>
          </w:tcPr>
          <w:p w:rsidR="00675CC0" w:rsidRPr="0059301B" w14:paraId="1FC1DBA1" w14:textId="77777777">
            <w:pPr>
              <w:pStyle w:val="NoSpacing"/>
              <w:ind w:right="-36"/>
              <w:rPr>
                <w:sz w:val="20"/>
              </w:rPr>
            </w:pPr>
            <w:r w:rsidRPr="0059301B">
              <w:rPr>
                <w:sz w:val="20"/>
              </w:rPr>
              <w:t>3,120</w:t>
            </w:r>
          </w:p>
        </w:tc>
        <w:tc>
          <w:tcPr>
            <w:tcW w:w="1378" w:type="pct"/>
            <w:tcBorders>
              <w:bottom w:val="double" w:sz="4" w:space="0" w:color="auto"/>
            </w:tcBorders>
          </w:tcPr>
          <w:p w:rsidR="00675CC0" w:rsidRPr="0059301B" w14:paraId="6B13668F" w14:textId="46A26F01">
            <w:pPr>
              <w:pStyle w:val="NoSpacing"/>
              <w:ind w:right="-36"/>
              <w:rPr>
                <w:sz w:val="20"/>
              </w:rPr>
            </w:pPr>
            <w:r>
              <w:rPr>
                <w:sz w:val="20"/>
              </w:rPr>
              <w:t>9,468</w:t>
            </w:r>
          </w:p>
        </w:tc>
      </w:tr>
      <w:tr w14:paraId="4FA32396" w14:textId="77777777">
        <w:tblPrEx>
          <w:tblW w:w="4084" w:type="pct"/>
          <w:tblCellMar>
            <w:left w:w="120" w:type="dxa"/>
            <w:right w:w="120" w:type="dxa"/>
          </w:tblCellMar>
          <w:tblLook w:val="0000"/>
        </w:tblPrEx>
        <w:trPr>
          <w:trHeight w:val="231"/>
        </w:trPr>
        <w:tc>
          <w:tcPr>
            <w:tcW w:w="2500" w:type="pct"/>
            <w:tcBorders>
              <w:top w:val="double" w:sz="4" w:space="0" w:color="auto"/>
            </w:tcBorders>
          </w:tcPr>
          <w:p w:rsidR="00675CC0" w:rsidRPr="0059301B" w14:paraId="0E9A76B6" w14:textId="77777777">
            <w:pPr>
              <w:pStyle w:val="NoSpacing"/>
              <w:ind w:right="-36"/>
              <w:rPr>
                <w:sz w:val="20"/>
              </w:rPr>
            </w:pPr>
            <w:r w:rsidRPr="0059301B">
              <w:rPr>
                <w:sz w:val="20"/>
              </w:rPr>
              <w:t>Total</w:t>
            </w:r>
          </w:p>
        </w:tc>
        <w:tc>
          <w:tcPr>
            <w:tcW w:w="1122" w:type="pct"/>
            <w:tcBorders>
              <w:top w:val="double" w:sz="4" w:space="0" w:color="auto"/>
            </w:tcBorders>
          </w:tcPr>
          <w:p w:rsidR="00675CC0" w:rsidRPr="0059301B" w14:paraId="56C8EBE6" w14:textId="77777777">
            <w:pPr>
              <w:pStyle w:val="NoSpacing"/>
              <w:ind w:right="-36"/>
              <w:rPr>
                <w:sz w:val="20"/>
              </w:rPr>
            </w:pPr>
            <w:r w:rsidRPr="0059301B">
              <w:rPr>
                <w:sz w:val="20"/>
              </w:rPr>
              <w:t>13,220</w:t>
            </w:r>
          </w:p>
        </w:tc>
        <w:tc>
          <w:tcPr>
            <w:tcW w:w="1378" w:type="pct"/>
            <w:tcBorders>
              <w:top w:val="double" w:sz="4" w:space="0" w:color="auto"/>
            </w:tcBorders>
          </w:tcPr>
          <w:p w:rsidR="00675CC0" w:rsidRPr="00DC7187" w14:paraId="750EB0D7" w14:textId="2A86D48C">
            <w:pPr>
              <w:pStyle w:val="NoSpacing"/>
              <w:ind w:right="-36"/>
              <w:rPr>
                <w:sz w:val="20"/>
              </w:rPr>
            </w:pPr>
            <w:r>
              <w:rPr>
                <w:sz w:val="20"/>
              </w:rPr>
              <w:t>69,181</w:t>
            </w:r>
          </w:p>
        </w:tc>
      </w:tr>
    </w:tbl>
    <w:p w:rsidR="00675CC0" w:rsidRPr="00DC7187" w:rsidP="00675CC0" w14:paraId="40991885" w14:textId="77777777">
      <w:pPr>
        <w:rPr>
          <w:sz w:val="22"/>
          <w:szCs w:val="18"/>
        </w:rPr>
      </w:pPr>
    </w:p>
    <w:p w:rsidR="00675CC0" w:rsidRPr="0059301B" w:rsidP="00675CC0" w14:paraId="4C4E76CA" w14:textId="77777777">
      <w:pPr>
        <w:pStyle w:val="Heading2"/>
        <w:rPr>
          <w:rFonts w:eastAsiaTheme="minorEastAsia"/>
          <w:sz w:val="22"/>
          <w:szCs w:val="18"/>
        </w:rPr>
      </w:pPr>
      <w:bookmarkStart w:id="15" w:name="_Toc57039277"/>
      <w:bookmarkStart w:id="16" w:name="_Toc57039497"/>
      <w:bookmarkStart w:id="17" w:name="_Toc187144063"/>
      <w:r w:rsidRPr="0059301B">
        <w:rPr>
          <w:rFonts w:eastAsiaTheme="minorEastAsia"/>
          <w:sz w:val="22"/>
          <w:szCs w:val="18"/>
        </w:rPr>
        <w:t>B.1.2</w:t>
      </w:r>
      <w:r w:rsidRPr="0059301B">
        <w:rPr>
          <w:rFonts w:eastAsiaTheme="minorEastAsia"/>
          <w:sz w:val="22"/>
          <w:szCs w:val="18"/>
        </w:rPr>
        <w:tab/>
        <w:t>2024-25 TFS Respondent Universe and Sample Design</w:t>
      </w:r>
      <w:bookmarkEnd w:id="15"/>
      <w:bookmarkEnd w:id="16"/>
      <w:bookmarkEnd w:id="17"/>
    </w:p>
    <w:p w:rsidR="00675CC0" w:rsidRPr="0059301B" w:rsidP="00675CC0" w14:paraId="7930005E" w14:textId="77777777">
      <w:pPr>
        <w:rPr>
          <w:sz w:val="22"/>
          <w:szCs w:val="18"/>
        </w:rPr>
      </w:pPr>
      <w:r w:rsidRPr="0059301B">
        <w:rPr>
          <w:sz w:val="22"/>
          <w:szCs w:val="18"/>
        </w:rPr>
        <w:t>The 2024-25 Teacher Follow-up Survey (2024-25 TFS) sample will be a subsample from the 2023-24 NTPS teacher sample, and as such, a probability sample similar to 2023-24 NTPS.</w:t>
      </w:r>
    </w:p>
    <w:p w:rsidR="00675CC0" w:rsidRPr="0059301B" w:rsidP="00675CC0" w14:paraId="418AFFF3" w14:textId="77777777">
      <w:pPr>
        <w:rPr>
          <w:sz w:val="22"/>
          <w:szCs w:val="18"/>
        </w:rPr>
      </w:pPr>
    </w:p>
    <w:p w:rsidR="00675CC0" w:rsidRPr="005318EA" w:rsidP="00675CC0" w14:paraId="0C89D30A" w14:textId="74E6CCFA">
      <w:pPr>
        <w:rPr>
          <w:sz w:val="22"/>
          <w:szCs w:val="18"/>
        </w:rPr>
      </w:pPr>
      <w:r w:rsidRPr="005318EA">
        <w:rPr>
          <w:sz w:val="22"/>
          <w:szCs w:val="18"/>
        </w:rPr>
        <w:t xml:space="preserve">A planned total of </w:t>
      </w:r>
      <w:r w:rsidRPr="005318EA" w:rsidR="005318EA">
        <w:rPr>
          <w:sz w:val="22"/>
          <w:szCs w:val="18"/>
        </w:rPr>
        <w:t>10,465</w:t>
      </w:r>
      <w:r w:rsidRPr="005318EA">
        <w:rPr>
          <w:sz w:val="22"/>
          <w:szCs w:val="18"/>
        </w:rPr>
        <w:t xml:space="preserve"> teachers will be selected according to a stratified design similar to earlier TFS collections and based on information obtained from the NTPS schools about the status of the 2023-24 NTPS respondent teachers during the 2024-25 school year, the school year following NTPS. The 2024-25 TFS sample will include former teachers (NTPS teachers who have left the teaching profession, or “</w:t>
      </w:r>
      <w:r w:rsidRPr="005318EA" w:rsidR="00487B95">
        <w:rPr>
          <w:sz w:val="22"/>
          <w:szCs w:val="18"/>
        </w:rPr>
        <w:t>leavers</w:t>
      </w:r>
      <w:r w:rsidRPr="005318EA">
        <w:rPr>
          <w:sz w:val="22"/>
          <w:szCs w:val="18"/>
        </w:rPr>
        <w:t xml:space="preserve">”), current teachers (NTPS teachers who have remained in the teaching profession, </w:t>
      </w:r>
      <w:r w:rsidRPr="005318EA" w:rsidR="00391A24">
        <w:rPr>
          <w:sz w:val="22"/>
          <w:szCs w:val="18"/>
        </w:rPr>
        <w:t xml:space="preserve">either still teaching at their base year school </w:t>
      </w:r>
      <w:r w:rsidRPr="005318EA" w:rsidR="00637C9F">
        <w:rPr>
          <w:sz w:val="22"/>
          <w:szCs w:val="18"/>
        </w:rPr>
        <w:t>[</w:t>
      </w:r>
      <w:r w:rsidRPr="005318EA">
        <w:rPr>
          <w:sz w:val="22"/>
          <w:szCs w:val="18"/>
        </w:rPr>
        <w:t>“</w:t>
      </w:r>
      <w:r w:rsidRPr="005318EA" w:rsidR="00391A24">
        <w:rPr>
          <w:sz w:val="22"/>
          <w:szCs w:val="18"/>
        </w:rPr>
        <w:t>s</w:t>
      </w:r>
      <w:r w:rsidRPr="005318EA">
        <w:rPr>
          <w:sz w:val="22"/>
          <w:szCs w:val="18"/>
        </w:rPr>
        <w:t>tayers”</w:t>
      </w:r>
      <w:r w:rsidRPr="005318EA" w:rsidR="00637C9F">
        <w:rPr>
          <w:sz w:val="22"/>
          <w:szCs w:val="18"/>
        </w:rPr>
        <w:t>]</w:t>
      </w:r>
      <w:r w:rsidRPr="005318EA" w:rsidR="00391A24">
        <w:rPr>
          <w:sz w:val="22"/>
          <w:szCs w:val="18"/>
        </w:rPr>
        <w:t xml:space="preserve"> or still teaching but at a different school since the base year </w:t>
      </w:r>
      <w:r w:rsidRPr="005318EA" w:rsidR="00637C9F">
        <w:rPr>
          <w:sz w:val="22"/>
          <w:szCs w:val="18"/>
        </w:rPr>
        <w:t>[</w:t>
      </w:r>
      <w:r w:rsidRPr="005318EA" w:rsidR="00391A24">
        <w:rPr>
          <w:sz w:val="22"/>
          <w:szCs w:val="18"/>
        </w:rPr>
        <w:t>"movers"</w:t>
      </w:r>
      <w:r w:rsidRPr="005318EA" w:rsidR="00B832C9">
        <w:rPr>
          <w:sz w:val="22"/>
          <w:szCs w:val="18"/>
        </w:rPr>
        <w:t>]</w:t>
      </w:r>
      <w:r w:rsidRPr="005318EA" w:rsidR="00391A24">
        <w:rPr>
          <w:sz w:val="22"/>
          <w:szCs w:val="18"/>
        </w:rPr>
        <w:t>)</w:t>
      </w:r>
      <w:r w:rsidRPr="005318EA">
        <w:rPr>
          <w:sz w:val="22"/>
          <w:szCs w:val="18"/>
        </w:rPr>
        <w:t xml:space="preserve">, and teachers who have left their 2023-24 school, but for whom </w:t>
      </w:r>
      <w:r w:rsidRPr="005318EA" w:rsidR="00D77EC8">
        <w:rPr>
          <w:sz w:val="22"/>
          <w:szCs w:val="18"/>
        </w:rPr>
        <w:t>it is unknown whether they are still teaching</w:t>
      </w:r>
      <w:r w:rsidRPr="005318EA" w:rsidR="00DB40BF">
        <w:rPr>
          <w:sz w:val="22"/>
          <w:szCs w:val="18"/>
        </w:rPr>
        <w:t xml:space="preserve"> at another school</w:t>
      </w:r>
      <w:r w:rsidRPr="005318EA">
        <w:rPr>
          <w:sz w:val="22"/>
          <w:szCs w:val="18"/>
        </w:rPr>
        <w:t xml:space="preserve"> (the </w:t>
      </w:r>
      <w:r w:rsidRPr="005318EA" w:rsidR="003E2F18">
        <w:rPr>
          <w:sz w:val="22"/>
          <w:szCs w:val="18"/>
        </w:rPr>
        <w:t>“</w:t>
      </w:r>
      <w:r w:rsidRPr="005318EA">
        <w:rPr>
          <w:sz w:val="22"/>
          <w:szCs w:val="18"/>
        </w:rPr>
        <w:t>unknown</w:t>
      </w:r>
      <w:r w:rsidRPr="005318EA" w:rsidR="003E2F18">
        <w:rPr>
          <w:sz w:val="22"/>
          <w:szCs w:val="18"/>
        </w:rPr>
        <w:t>”</w:t>
      </w:r>
      <w:r w:rsidRPr="005318EA">
        <w:rPr>
          <w:sz w:val="22"/>
          <w:szCs w:val="18"/>
        </w:rPr>
        <w:t xml:space="preserve"> group). </w:t>
      </w:r>
    </w:p>
    <w:p w:rsidR="00675CC0" w:rsidRPr="005318EA" w:rsidP="00675CC0" w14:paraId="1E71DE3B" w14:textId="77777777">
      <w:pPr>
        <w:rPr>
          <w:sz w:val="22"/>
          <w:szCs w:val="18"/>
        </w:rPr>
      </w:pPr>
    </w:p>
    <w:p w:rsidR="00675CC0" w:rsidRPr="005318EA" w:rsidP="00675CC0" w14:paraId="11674EBC" w14:textId="635773FE">
      <w:pPr>
        <w:rPr>
          <w:sz w:val="22"/>
          <w:szCs w:val="18"/>
        </w:rPr>
      </w:pPr>
      <w:r w:rsidRPr="005318EA">
        <w:rPr>
          <w:sz w:val="22"/>
          <w:szCs w:val="18"/>
        </w:rPr>
        <w:t>The current teachers group is further stratified into two groups: those who remained in the school they were teaching in 2023-24 (“</w:t>
      </w:r>
      <w:r w:rsidRPr="005318EA" w:rsidR="00487B95">
        <w:rPr>
          <w:sz w:val="22"/>
          <w:szCs w:val="18"/>
        </w:rPr>
        <w:t>stayers</w:t>
      </w:r>
      <w:r w:rsidRPr="005318EA">
        <w:rPr>
          <w:sz w:val="22"/>
          <w:szCs w:val="18"/>
        </w:rPr>
        <w:t>”) and those who moved to different schools (“</w:t>
      </w:r>
      <w:r w:rsidRPr="005318EA" w:rsidR="00487B95">
        <w:rPr>
          <w:sz w:val="22"/>
          <w:szCs w:val="18"/>
        </w:rPr>
        <w:t>movers</w:t>
      </w:r>
      <w:r w:rsidRPr="005318EA">
        <w:rPr>
          <w:sz w:val="22"/>
          <w:szCs w:val="18"/>
        </w:rPr>
        <w:t>”). This design provides analytic data on teachers who stay, move, or leave the teaching profession</w:t>
      </w:r>
      <w:r w:rsidR="005318EA">
        <w:rPr>
          <w:sz w:val="22"/>
          <w:szCs w:val="18"/>
        </w:rPr>
        <w:t xml:space="preserve"> and teachers whose occupational status is </w:t>
      </w:r>
      <w:r w:rsidR="00AB3E09">
        <w:rPr>
          <w:sz w:val="22"/>
          <w:szCs w:val="18"/>
        </w:rPr>
        <w:t>unknown</w:t>
      </w:r>
      <w:r w:rsidRPr="005318EA">
        <w:rPr>
          <w:sz w:val="22"/>
          <w:szCs w:val="18"/>
        </w:rPr>
        <w:t xml:space="preserve">. The status for each TFS teacher is determined from Teacher Status </w:t>
      </w:r>
      <w:r w:rsidR="005318EA">
        <w:rPr>
          <w:sz w:val="22"/>
          <w:szCs w:val="18"/>
        </w:rPr>
        <w:t xml:space="preserve">Data Collection Operation </w:t>
      </w:r>
      <w:r w:rsidRPr="005318EA">
        <w:rPr>
          <w:sz w:val="22"/>
          <w:szCs w:val="18"/>
        </w:rPr>
        <w:t xml:space="preserve"> </w:t>
      </w:r>
      <w:r w:rsidRPr="005318EA">
        <w:rPr>
          <w:sz w:val="22"/>
          <w:szCs w:val="18"/>
        </w:rPr>
        <w:t>(</w:t>
      </w:r>
      <w:r w:rsidR="005318EA">
        <w:rPr>
          <w:sz w:val="22"/>
          <w:szCs w:val="18"/>
        </w:rPr>
        <w:t xml:space="preserve">collection of the </w:t>
      </w:r>
      <w:r w:rsidRPr="005318EA">
        <w:rPr>
          <w:sz w:val="22"/>
          <w:szCs w:val="18"/>
        </w:rPr>
        <w:t>NTPS-5A/5B/5C</w:t>
      </w:r>
      <w:r w:rsidR="005318EA">
        <w:rPr>
          <w:sz w:val="22"/>
          <w:szCs w:val="18"/>
        </w:rPr>
        <w:t xml:space="preserve"> from</w:t>
      </w:r>
      <w:r w:rsidRPr="005318EA">
        <w:rPr>
          <w:sz w:val="22"/>
          <w:szCs w:val="18"/>
        </w:rPr>
        <w:t xml:space="preserve"> schools via web and paper as follow-up</w:t>
      </w:r>
      <w:r w:rsidR="005318EA">
        <w:rPr>
          <w:sz w:val="22"/>
          <w:szCs w:val="18"/>
        </w:rPr>
        <w:t>)</w:t>
      </w:r>
      <w:r w:rsidRPr="005318EA">
        <w:rPr>
          <w:sz w:val="22"/>
          <w:szCs w:val="18"/>
        </w:rPr>
        <w:t xml:space="preserve"> </w:t>
      </w:r>
      <w:r w:rsidR="005318EA">
        <w:rPr>
          <w:sz w:val="22"/>
          <w:szCs w:val="18"/>
        </w:rPr>
        <w:t>during</w:t>
      </w:r>
      <w:r w:rsidRPr="005318EA">
        <w:rPr>
          <w:sz w:val="22"/>
          <w:szCs w:val="18"/>
        </w:rPr>
        <w:t xml:space="preserve"> the fall of 2024. For the 2024-25 TFS, the </w:t>
      </w:r>
      <w:r w:rsidRPr="005318EA" w:rsidR="00487B95">
        <w:rPr>
          <w:sz w:val="22"/>
          <w:szCs w:val="18"/>
        </w:rPr>
        <w:t>movers</w:t>
      </w:r>
      <w:r w:rsidRPr="005318EA">
        <w:rPr>
          <w:sz w:val="22"/>
          <w:szCs w:val="18"/>
        </w:rPr>
        <w:t xml:space="preserve">, </w:t>
      </w:r>
      <w:r w:rsidRPr="005318EA" w:rsidR="00487B95">
        <w:rPr>
          <w:sz w:val="22"/>
          <w:szCs w:val="18"/>
        </w:rPr>
        <w:t>leavers</w:t>
      </w:r>
      <w:r w:rsidRPr="005318EA">
        <w:rPr>
          <w:sz w:val="22"/>
          <w:szCs w:val="18"/>
        </w:rPr>
        <w:t xml:space="preserve">, and </w:t>
      </w:r>
      <w:r w:rsidRPr="005318EA" w:rsidR="00487B95">
        <w:rPr>
          <w:sz w:val="22"/>
          <w:szCs w:val="18"/>
        </w:rPr>
        <w:t>unknown</w:t>
      </w:r>
      <w:r w:rsidRPr="005318EA">
        <w:rPr>
          <w:sz w:val="22"/>
          <w:szCs w:val="18"/>
        </w:rPr>
        <w:t xml:space="preserve"> teachers will be sampled with certainty</w:t>
      </w:r>
      <w:r w:rsidR="008268D0">
        <w:rPr>
          <w:sz w:val="22"/>
          <w:szCs w:val="18"/>
        </w:rPr>
        <w:t>.</w:t>
      </w:r>
    </w:p>
    <w:p w:rsidR="00675CC0" w:rsidRPr="00B769C7" w:rsidP="00675CC0" w14:paraId="434438D8" w14:textId="77777777">
      <w:pPr>
        <w:rPr>
          <w:sz w:val="22"/>
          <w:szCs w:val="18"/>
          <w:highlight w:val="cyan"/>
        </w:rPr>
      </w:pPr>
    </w:p>
    <w:p w:rsidR="00675CC0" w:rsidRPr="002837D1" w:rsidP="00675CC0" w14:paraId="2B45994D" w14:textId="76BE1A7F">
      <w:pPr>
        <w:rPr>
          <w:sz w:val="22"/>
          <w:szCs w:val="18"/>
        </w:rPr>
      </w:pPr>
      <w:r w:rsidRPr="002837D1">
        <w:rPr>
          <w:sz w:val="22"/>
          <w:szCs w:val="18"/>
        </w:rPr>
        <w:t xml:space="preserve">Stayers </w:t>
      </w:r>
      <w:r w:rsidRPr="002837D1">
        <w:rPr>
          <w:sz w:val="22"/>
          <w:szCs w:val="18"/>
        </w:rPr>
        <w:t xml:space="preserve">will be stratified by factors known about the teacher from the NTPS year, including sector (traditional public, public charter, and private), </w:t>
      </w:r>
      <w:r w:rsidRPr="002837D1" w:rsidR="008268D0">
        <w:rPr>
          <w:sz w:val="22"/>
          <w:szCs w:val="18"/>
        </w:rPr>
        <w:t>school</w:t>
      </w:r>
      <w:r w:rsidRPr="002837D1">
        <w:rPr>
          <w:sz w:val="22"/>
          <w:szCs w:val="18"/>
        </w:rPr>
        <w:t xml:space="preserve"> level (elementary, middle, </w:t>
      </w:r>
      <w:r w:rsidRPr="002837D1" w:rsidR="008268D0">
        <w:rPr>
          <w:sz w:val="22"/>
          <w:szCs w:val="18"/>
        </w:rPr>
        <w:t>secondary/</w:t>
      </w:r>
      <w:r w:rsidRPr="002837D1">
        <w:rPr>
          <w:sz w:val="22"/>
          <w:szCs w:val="18"/>
        </w:rPr>
        <w:t>high</w:t>
      </w:r>
      <w:r w:rsidRPr="002837D1" w:rsidR="008268D0">
        <w:rPr>
          <w:sz w:val="22"/>
          <w:szCs w:val="18"/>
        </w:rPr>
        <w:t>, and combined/other</w:t>
      </w:r>
      <w:r w:rsidRPr="002837D1">
        <w:rPr>
          <w:sz w:val="22"/>
          <w:szCs w:val="18"/>
        </w:rPr>
        <w:t>)</w:t>
      </w:r>
      <w:r>
        <w:rPr>
          <w:rStyle w:val="FootnoteReference"/>
          <w:sz w:val="22"/>
          <w:szCs w:val="22"/>
        </w:rPr>
        <w:footnoteReference w:id="3"/>
      </w:r>
      <w:r w:rsidRPr="002837D1">
        <w:rPr>
          <w:sz w:val="22"/>
          <w:szCs w:val="18"/>
        </w:rPr>
        <w:t>, experience level (</w:t>
      </w:r>
      <w:r w:rsidRPr="002837D1" w:rsidR="008268D0">
        <w:rPr>
          <w:sz w:val="22"/>
          <w:szCs w:val="18"/>
        </w:rPr>
        <w:t>1</w:t>
      </w:r>
      <w:r w:rsidRPr="002837D1">
        <w:rPr>
          <w:sz w:val="22"/>
          <w:szCs w:val="18"/>
        </w:rPr>
        <w:t>-5 years, and 6+ years of teaching), and race/ethnicity (Hispanic, Black non-Hispanic, and other</w:t>
      </w:r>
      <w:r w:rsidRPr="002837D1" w:rsidR="002837D1">
        <w:rPr>
          <w:sz w:val="22"/>
          <w:szCs w:val="18"/>
        </w:rPr>
        <w:t xml:space="preserve"> non-Hispanic</w:t>
      </w:r>
      <w:r w:rsidRPr="002837D1">
        <w:rPr>
          <w:sz w:val="22"/>
          <w:szCs w:val="18"/>
        </w:rPr>
        <w:t xml:space="preserve">). </w:t>
      </w:r>
    </w:p>
    <w:p w:rsidR="00675CC0" w:rsidRPr="00B769C7" w:rsidP="00675CC0" w14:paraId="175DEEEB" w14:textId="77777777">
      <w:pPr>
        <w:rPr>
          <w:sz w:val="22"/>
          <w:szCs w:val="18"/>
          <w:highlight w:val="cyan"/>
        </w:rPr>
      </w:pPr>
    </w:p>
    <w:p w:rsidR="00675CC0" w:rsidRPr="002837D1" w:rsidP="00675CC0" w14:paraId="09A36280" w14:textId="252E0F76">
      <w:pPr>
        <w:rPr>
          <w:sz w:val="22"/>
          <w:szCs w:val="18"/>
        </w:rPr>
      </w:pPr>
      <w:r w:rsidRPr="002837D1">
        <w:rPr>
          <w:sz w:val="22"/>
          <w:szCs w:val="18"/>
        </w:rPr>
        <w:t xml:space="preserve">The table below presents target sample sizes for important teacher categories. Movers, leavers, and teachers with unknown status </w:t>
      </w:r>
      <w:r w:rsidRPr="002837D1" w:rsidR="006A0CDC">
        <w:rPr>
          <w:sz w:val="22"/>
          <w:szCs w:val="18"/>
        </w:rPr>
        <w:t xml:space="preserve">will </w:t>
      </w:r>
      <w:r w:rsidRPr="002837D1">
        <w:rPr>
          <w:sz w:val="22"/>
          <w:szCs w:val="18"/>
        </w:rPr>
        <w:t>all</w:t>
      </w:r>
      <w:r w:rsidRPr="002837D1" w:rsidR="00527DE8">
        <w:rPr>
          <w:sz w:val="22"/>
          <w:szCs w:val="18"/>
        </w:rPr>
        <w:t xml:space="preserve"> be</w:t>
      </w:r>
      <w:r w:rsidRPr="002837D1">
        <w:rPr>
          <w:sz w:val="22"/>
          <w:szCs w:val="18"/>
        </w:rPr>
        <w:t xml:space="preserve"> selected, which makes them overrepresented in the sample relative to other teachers. This </w:t>
      </w:r>
      <w:r w:rsidRPr="002837D1" w:rsidR="00527DE8">
        <w:rPr>
          <w:sz w:val="22"/>
          <w:szCs w:val="18"/>
        </w:rPr>
        <w:t xml:space="preserve">will be </w:t>
      </w:r>
      <w:r w:rsidRPr="002837D1">
        <w:rPr>
          <w:sz w:val="22"/>
          <w:szCs w:val="18"/>
        </w:rPr>
        <w:t>done to increase the precision for analyses of these important subgroups. The breakdown of stayers, movers, leavers, and ‘unknown’ teachers in public, charter, and private schools is as shown in Table B</w:t>
      </w:r>
      <w:r w:rsidRPr="002837D1" w:rsidR="004C5C49">
        <w:rPr>
          <w:sz w:val="22"/>
          <w:szCs w:val="18"/>
        </w:rPr>
        <w:t>4</w:t>
      </w:r>
      <w:r w:rsidRPr="002837D1">
        <w:rPr>
          <w:sz w:val="22"/>
          <w:szCs w:val="18"/>
        </w:rPr>
        <w:t>.</w:t>
      </w:r>
    </w:p>
    <w:p w:rsidR="00675CC0" w:rsidRPr="002837D1" w:rsidP="00675CC0" w14:paraId="5C0673A8" w14:textId="77777777">
      <w:pPr>
        <w:rPr>
          <w:sz w:val="22"/>
          <w:szCs w:val="18"/>
        </w:rPr>
      </w:pPr>
    </w:p>
    <w:p w:rsidR="00675CC0" w:rsidRPr="001F4E67" w:rsidP="00675CC0" w14:paraId="7E8FE5D8" w14:textId="5AE8B7D3">
      <w:pPr>
        <w:rPr>
          <w:b/>
          <w:bCs/>
          <w:i/>
          <w:iCs/>
          <w:sz w:val="22"/>
          <w:szCs w:val="18"/>
        </w:rPr>
      </w:pPr>
      <w:r w:rsidRPr="001F4E67">
        <w:rPr>
          <w:b/>
          <w:bCs/>
          <w:i/>
          <w:iCs/>
          <w:sz w:val="22"/>
          <w:szCs w:val="18"/>
        </w:rPr>
        <w:t>Table B</w:t>
      </w:r>
      <w:r w:rsidRPr="001F4E67" w:rsidR="004C5C49">
        <w:rPr>
          <w:b/>
          <w:bCs/>
          <w:i/>
          <w:iCs/>
          <w:sz w:val="22"/>
          <w:szCs w:val="18"/>
        </w:rPr>
        <w:t>4</w:t>
      </w:r>
      <w:r w:rsidRPr="001F4E67">
        <w:rPr>
          <w:b/>
          <w:bCs/>
          <w:i/>
          <w:iCs/>
          <w:sz w:val="22"/>
          <w:szCs w:val="18"/>
        </w:rPr>
        <w:t>. Target Distribution of teacher types across school types</w:t>
      </w:r>
    </w:p>
    <w:tbl>
      <w:tblPr>
        <w:tblW w:w="3706" w:type="pct"/>
        <w:tblInd w:w="-1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
      <w:tblGrid>
        <w:gridCol w:w="1877"/>
        <w:gridCol w:w="1541"/>
        <w:gridCol w:w="1569"/>
        <w:gridCol w:w="1602"/>
        <w:gridCol w:w="967"/>
      </w:tblGrid>
      <w:tr w14:paraId="6A0979A8" w14:textId="77777777">
        <w:tblPrEx>
          <w:tblW w:w="3706" w:type="pct"/>
          <w:tblInd w:w="-1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Ex>
        <w:tc>
          <w:tcPr>
            <w:tcW w:w="1242" w:type="pct"/>
            <w:vMerge w:val="restart"/>
            <w:tcBorders>
              <w:top w:val="double" w:sz="4" w:space="0" w:color="auto"/>
              <w:left w:val="double" w:sz="4" w:space="0" w:color="auto"/>
            </w:tcBorders>
            <w:shd w:val="clear" w:color="auto" w:fill="auto"/>
            <w:vAlign w:val="center"/>
          </w:tcPr>
          <w:p w:rsidR="00675CC0" w:rsidRPr="001F4E67" w14:paraId="71718C4C" w14:textId="77777777">
            <w:pPr>
              <w:jc w:val="center"/>
              <w:rPr>
                <w:rFonts w:eastAsia="Calibri"/>
                <w:b/>
                <w:sz w:val="20"/>
              </w:rPr>
            </w:pPr>
            <w:r w:rsidRPr="001F4E67">
              <w:rPr>
                <w:rFonts w:eastAsia="Calibri"/>
                <w:b/>
                <w:sz w:val="20"/>
              </w:rPr>
              <w:t>Status</w:t>
            </w:r>
          </w:p>
        </w:tc>
        <w:tc>
          <w:tcPr>
            <w:tcW w:w="3758" w:type="pct"/>
            <w:gridSpan w:val="4"/>
            <w:tcBorders>
              <w:top w:val="double" w:sz="4" w:space="0" w:color="auto"/>
              <w:right w:val="double" w:sz="4" w:space="0" w:color="auto"/>
            </w:tcBorders>
            <w:shd w:val="clear" w:color="auto" w:fill="auto"/>
            <w:vAlign w:val="center"/>
          </w:tcPr>
          <w:p w:rsidR="00675CC0" w:rsidRPr="001F4E67" w14:paraId="2C203121" w14:textId="77777777">
            <w:pPr>
              <w:jc w:val="center"/>
              <w:rPr>
                <w:rFonts w:eastAsia="Calibri"/>
                <w:b/>
                <w:sz w:val="20"/>
              </w:rPr>
            </w:pPr>
            <w:r w:rsidRPr="001F4E67">
              <w:rPr>
                <w:rFonts w:eastAsia="Calibri"/>
                <w:b/>
                <w:sz w:val="20"/>
              </w:rPr>
              <w:t>Sector</w:t>
            </w:r>
          </w:p>
        </w:tc>
      </w:tr>
      <w:tr w14:paraId="275DD491" w14:textId="77777777">
        <w:tblPrEx>
          <w:tblW w:w="3706" w:type="pct"/>
          <w:tblInd w:w="-15" w:type="dxa"/>
          <w:tblLook w:val="04A0"/>
        </w:tblPrEx>
        <w:tc>
          <w:tcPr>
            <w:tcW w:w="1242" w:type="pct"/>
            <w:vMerge/>
            <w:tcBorders>
              <w:left w:val="double" w:sz="4" w:space="0" w:color="auto"/>
            </w:tcBorders>
            <w:shd w:val="clear" w:color="auto" w:fill="auto"/>
          </w:tcPr>
          <w:p w:rsidR="00675CC0" w:rsidRPr="007613E6" w14:paraId="088D047E" w14:textId="77777777">
            <w:pPr>
              <w:jc w:val="center"/>
              <w:rPr>
                <w:rFonts w:eastAsia="Calibri"/>
                <w:b/>
                <w:sz w:val="20"/>
              </w:rPr>
            </w:pPr>
          </w:p>
        </w:tc>
        <w:tc>
          <w:tcPr>
            <w:tcW w:w="1020" w:type="pct"/>
            <w:tcBorders>
              <w:top w:val="single" w:sz="6" w:space="0" w:color="auto"/>
              <w:bottom w:val="single" w:sz="6" w:space="0" w:color="auto"/>
            </w:tcBorders>
            <w:shd w:val="clear" w:color="auto" w:fill="auto"/>
            <w:vAlign w:val="center"/>
          </w:tcPr>
          <w:p w:rsidR="00675CC0" w:rsidRPr="007613E6" w14:paraId="24F1FCD0" w14:textId="77777777">
            <w:pPr>
              <w:jc w:val="center"/>
              <w:rPr>
                <w:rFonts w:eastAsia="Calibri"/>
                <w:b/>
                <w:sz w:val="20"/>
              </w:rPr>
            </w:pPr>
            <w:r w:rsidRPr="007613E6">
              <w:rPr>
                <w:rFonts w:eastAsia="Calibri"/>
                <w:b/>
                <w:sz w:val="20"/>
              </w:rPr>
              <w:t>Public</w:t>
            </w:r>
          </w:p>
        </w:tc>
        <w:tc>
          <w:tcPr>
            <w:tcW w:w="1038" w:type="pct"/>
            <w:tcBorders>
              <w:top w:val="single" w:sz="6" w:space="0" w:color="auto"/>
              <w:bottom w:val="single" w:sz="6" w:space="0" w:color="auto"/>
            </w:tcBorders>
            <w:shd w:val="clear" w:color="auto" w:fill="auto"/>
            <w:vAlign w:val="center"/>
          </w:tcPr>
          <w:p w:rsidR="00675CC0" w:rsidRPr="007613E6" w14:paraId="727C8363" w14:textId="77777777">
            <w:pPr>
              <w:jc w:val="center"/>
              <w:rPr>
                <w:rFonts w:eastAsia="Calibri"/>
                <w:b/>
                <w:sz w:val="20"/>
              </w:rPr>
            </w:pPr>
            <w:r w:rsidRPr="007613E6">
              <w:rPr>
                <w:rFonts w:eastAsia="Calibri"/>
                <w:b/>
                <w:sz w:val="20"/>
              </w:rPr>
              <w:t>Charter</w:t>
            </w:r>
          </w:p>
        </w:tc>
        <w:tc>
          <w:tcPr>
            <w:tcW w:w="1060" w:type="pct"/>
            <w:tcBorders>
              <w:top w:val="single" w:sz="6" w:space="0" w:color="auto"/>
              <w:bottom w:val="single" w:sz="6" w:space="0" w:color="auto"/>
              <w:right w:val="double" w:sz="4" w:space="0" w:color="auto"/>
            </w:tcBorders>
            <w:shd w:val="clear" w:color="auto" w:fill="auto"/>
            <w:vAlign w:val="center"/>
          </w:tcPr>
          <w:p w:rsidR="00675CC0" w:rsidRPr="007613E6" w14:paraId="2DC96646" w14:textId="77777777">
            <w:pPr>
              <w:jc w:val="center"/>
              <w:rPr>
                <w:rFonts w:eastAsia="Calibri"/>
                <w:b/>
                <w:sz w:val="20"/>
              </w:rPr>
            </w:pPr>
            <w:r w:rsidRPr="007613E6">
              <w:rPr>
                <w:rFonts w:eastAsia="Calibri"/>
                <w:b/>
                <w:sz w:val="20"/>
              </w:rPr>
              <w:t>Private</w:t>
            </w:r>
          </w:p>
        </w:tc>
        <w:tc>
          <w:tcPr>
            <w:tcW w:w="640" w:type="pct"/>
            <w:tcBorders>
              <w:left w:val="double" w:sz="4" w:space="0" w:color="auto"/>
              <w:right w:val="double" w:sz="4" w:space="0" w:color="auto"/>
            </w:tcBorders>
            <w:shd w:val="clear" w:color="auto" w:fill="auto"/>
          </w:tcPr>
          <w:p w:rsidR="00675CC0" w:rsidRPr="007613E6" w14:paraId="22656845" w14:textId="77777777">
            <w:pPr>
              <w:jc w:val="center"/>
              <w:rPr>
                <w:rFonts w:eastAsia="Calibri"/>
                <w:b/>
                <w:sz w:val="20"/>
              </w:rPr>
            </w:pPr>
            <w:r w:rsidRPr="007613E6">
              <w:rPr>
                <w:rFonts w:eastAsia="Calibri"/>
                <w:b/>
                <w:sz w:val="20"/>
              </w:rPr>
              <w:t>Total</w:t>
            </w:r>
          </w:p>
        </w:tc>
      </w:tr>
      <w:tr w14:paraId="4EBB35E1" w14:textId="77777777" w:rsidTr="0079655F">
        <w:tblPrEx>
          <w:tblW w:w="3706" w:type="pct"/>
          <w:tblInd w:w="-15" w:type="dxa"/>
          <w:tblLook w:val="04A0"/>
        </w:tblPrEx>
        <w:tc>
          <w:tcPr>
            <w:tcW w:w="1242" w:type="pct"/>
            <w:tcBorders>
              <w:left w:val="double" w:sz="4" w:space="0" w:color="auto"/>
            </w:tcBorders>
            <w:shd w:val="clear" w:color="auto" w:fill="auto"/>
          </w:tcPr>
          <w:p w:rsidR="001F4E67" w:rsidRPr="001F4E67" w:rsidP="001F4E67" w14:paraId="55B08CAD" w14:textId="77777777">
            <w:pPr>
              <w:rPr>
                <w:rFonts w:eastAsia="Calibri"/>
                <w:sz w:val="20"/>
              </w:rPr>
            </w:pPr>
            <w:r w:rsidRPr="001F4E67">
              <w:rPr>
                <w:rFonts w:eastAsia="Calibri"/>
                <w:sz w:val="20"/>
              </w:rPr>
              <w:t>Stayer</w:t>
            </w:r>
          </w:p>
        </w:tc>
        <w:tc>
          <w:tcPr>
            <w:tcW w:w="1020" w:type="pct"/>
            <w:tcBorders>
              <w:top w:val="single" w:sz="6" w:space="0" w:color="auto"/>
              <w:bottom w:val="single" w:sz="6" w:space="0" w:color="auto"/>
            </w:tcBorders>
            <w:shd w:val="clear" w:color="auto" w:fill="auto"/>
            <w:vAlign w:val="center"/>
          </w:tcPr>
          <w:p w:rsidR="001F4E67" w:rsidRPr="001F4E67" w:rsidP="001F4E67" w14:paraId="7111A60E" w14:textId="0B0AEDAB">
            <w:pPr>
              <w:rPr>
                <w:rFonts w:eastAsia="Calibri"/>
                <w:sz w:val="20"/>
              </w:rPr>
            </w:pPr>
            <w:r w:rsidRPr="001F4E67">
              <w:rPr>
                <w:rFonts w:eastAsia="Calibri"/>
                <w:sz w:val="20"/>
              </w:rPr>
              <w:t>2,625</w:t>
            </w:r>
          </w:p>
        </w:tc>
        <w:tc>
          <w:tcPr>
            <w:tcW w:w="1038" w:type="pct"/>
            <w:tcBorders>
              <w:top w:val="single" w:sz="6" w:space="0" w:color="auto"/>
              <w:bottom w:val="single" w:sz="6" w:space="0" w:color="auto"/>
            </w:tcBorders>
            <w:shd w:val="clear" w:color="auto" w:fill="auto"/>
            <w:vAlign w:val="center"/>
          </w:tcPr>
          <w:p w:rsidR="001F4E67" w:rsidRPr="001F4E67" w:rsidP="001F4E67" w14:paraId="4D1C65CA" w14:textId="31C54338">
            <w:pPr>
              <w:rPr>
                <w:rFonts w:eastAsia="Calibri"/>
                <w:sz w:val="20"/>
              </w:rPr>
            </w:pPr>
            <w:r w:rsidRPr="001F4E67">
              <w:rPr>
                <w:rFonts w:eastAsia="Calibri"/>
                <w:sz w:val="20"/>
              </w:rPr>
              <w:t>321</w:t>
            </w:r>
          </w:p>
        </w:tc>
        <w:tc>
          <w:tcPr>
            <w:tcW w:w="1060" w:type="pct"/>
            <w:tcBorders>
              <w:top w:val="single" w:sz="6" w:space="0" w:color="auto"/>
              <w:bottom w:val="single" w:sz="6" w:space="0" w:color="auto"/>
              <w:right w:val="double" w:sz="4" w:space="0" w:color="auto"/>
            </w:tcBorders>
            <w:shd w:val="clear" w:color="auto" w:fill="auto"/>
            <w:vAlign w:val="center"/>
          </w:tcPr>
          <w:p w:rsidR="001F4E67" w:rsidRPr="001F4E67" w:rsidP="001F4E67" w14:paraId="5579D637" w14:textId="194154D2">
            <w:pPr>
              <w:rPr>
                <w:rFonts w:eastAsia="Calibri"/>
                <w:sz w:val="20"/>
              </w:rPr>
            </w:pPr>
            <w:r w:rsidRPr="001F4E67">
              <w:rPr>
                <w:rFonts w:eastAsia="Calibri"/>
                <w:sz w:val="20"/>
              </w:rPr>
              <w:t>997</w:t>
            </w:r>
          </w:p>
        </w:tc>
        <w:tc>
          <w:tcPr>
            <w:tcW w:w="640" w:type="pct"/>
            <w:tcBorders>
              <w:left w:val="double" w:sz="4" w:space="0" w:color="auto"/>
              <w:right w:val="double" w:sz="4" w:space="0" w:color="auto"/>
            </w:tcBorders>
            <w:shd w:val="clear" w:color="auto" w:fill="auto"/>
            <w:vAlign w:val="center"/>
          </w:tcPr>
          <w:p w:rsidR="001F4E67" w:rsidRPr="001F4E67" w:rsidP="001F4E67" w14:paraId="3E1BE209" w14:textId="09E97B61">
            <w:pPr>
              <w:rPr>
                <w:rFonts w:eastAsia="Calibri"/>
                <w:sz w:val="20"/>
              </w:rPr>
            </w:pPr>
            <w:r w:rsidRPr="001F4E67">
              <w:rPr>
                <w:rFonts w:eastAsia="Calibri"/>
                <w:sz w:val="20"/>
              </w:rPr>
              <w:t>3,943</w:t>
            </w:r>
          </w:p>
        </w:tc>
      </w:tr>
      <w:tr w14:paraId="50C25A31" w14:textId="77777777" w:rsidTr="0079655F">
        <w:tblPrEx>
          <w:tblW w:w="3706" w:type="pct"/>
          <w:tblInd w:w="-15" w:type="dxa"/>
          <w:tblLook w:val="04A0"/>
        </w:tblPrEx>
        <w:tc>
          <w:tcPr>
            <w:tcW w:w="1242" w:type="pct"/>
            <w:tcBorders>
              <w:left w:val="double" w:sz="4" w:space="0" w:color="auto"/>
            </w:tcBorders>
            <w:shd w:val="clear" w:color="auto" w:fill="auto"/>
          </w:tcPr>
          <w:p w:rsidR="001F4E67" w:rsidRPr="001F4E67" w:rsidP="001F4E67" w14:paraId="7F0EE4EE" w14:textId="77777777">
            <w:pPr>
              <w:rPr>
                <w:rFonts w:eastAsia="Calibri"/>
                <w:sz w:val="20"/>
              </w:rPr>
            </w:pPr>
            <w:r w:rsidRPr="001F4E67">
              <w:rPr>
                <w:rFonts w:eastAsia="Calibri"/>
                <w:sz w:val="20"/>
              </w:rPr>
              <w:t>Mover</w:t>
            </w:r>
          </w:p>
        </w:tc>
        <w:tc>
          <w:tcPr>
            <w:tcW w:w="1020" w:type="pct"/>
            <w:tcBorders>
              <w:top w:val="single" w:sz="6" w:space="0" w:color="auto"/>
              <w:bottom w:val="single" w:sz="6" w:space="0" w:color="auto"/>
            </w:tcBorders>
            <w:shd w:val="clear" w:color="auto" w:fill="auto"/>
            <w:vAlign w:val="center"/>
          </w:tcPr>
          <w:p w:rsidR="001F4E67" w:rsidRPr="001F4E67" w:rsidP="001F4E67" w14:paraId="797189C0" w14:textId="0E64AAC5">
            <w:pPr>
              <w:rPr>
                <w:rFonts w:eastAsia="Calibri"/>
                <w:sz w:val="20"/>
              </w:rPr>
            </w:pPr>
            <w:r w:rsidRPr="001F4E67">
              <w:rPr>
                <w:rFonts w:eastAsia="Calibri"/>
                <w:sz w:val="20"/>
              </w:rPr>
              <w:t>1,962</w:t>
            </w:r>
          </w:p>
        </w:tc>
        <w:tc>
          <w:tcPr>
            <w:tcW w:w="1038" w:type="pct"/>
            <w:tcBorders>
              <w:top w:val="single" w:sz="6" w:space="0" w:color="auto"/>
              <w:bottom w:val="single" w:sz="6" w:space="0" w:color="auto"/>
            </w:tcBorders>
            <w:shd w:val="clear" w:color="auto" w:fill="auto"/>
            <w:vAlign w:val="center"/>
          </w:tcPr>
          <w:p w:rsidR="001F4E67" w:rsidRPr="001F4E67" w:rsidP="001F4E67" w14:paraId="13BE7E5E" w14:textId="2717E8E8">
            <w:pPr>
              <w:rPr>
                <w:rFonts w:eastAsia="Calibri"/>
                <w:sz w:val="20"/>
              </w:rPr>
            </w:pPr>
            <w:r w:rsidRPr="001F4E67">
              <w:rPr>
                <w:rFonts w:eastAsia="Calibri"/>
                <w:sz w:val="20"/>
              </w:rPr>
              <w:t>287</w:t>
            </w:r>
          </w:p>
        </w:tc>
        <w:tc>
          <w:tcPr>
            <w:tcW w:w="1060" w:type="pct"/>
            <w:tcBorders>
              <w:top w:val="single" w:sz="6" w:space="0" w:color="auto"/>
              <w:bottom w:val="single" w:sz="6" w:space="0" w:color="auto"/>
              <w:right w:val="double" w:sz="4" w:space="0" w:color="auto"/>
            </w:tcBorders>
            <w:shd w:val="clear" w:color="auto" w:fill="auto"/>
            <w:vAlign w:val="center"/>
          </w:tcPr>
          <w:p w:rsidR="001F4E67" w:rsidRPr="001F4E67" w:rsidP="001F4E67" w14:paraId="0E029A1E" w14:textId="5C144168">
            <w:pPr>
              <w:rPr>
                <w:rFonts w:eastAsia="Calibri"/>
                <w:sz w:val="20"/>
              </w:rPr>
            </w:pPr>
            <w:r w:rsidRPr="001F4E67">
              <w:rPr>
                <w:rFonts w:eastAsia="Calibri"/>
                <w:sz w:val="20"/>
              </w:rPr>
              <w:t>172</w:t>
            </w:r>
          </w:p>
        </w:tc>
        <w:tc>
          <w:tcPr>
            <w:tcW w:w="640" w:type="pct"/>
            <w:tcBorders>
              <w:left w:val="double" w:sz="4" w:space="0" w:color="auto"/>
              <w:right w:val="double" w:sz="4" w:space="0" w:color="auto"/>
            </w:tcBorders>
            <w:shd w:val="clear" w:color="auto" w:fill="auto"/>
            <w:vAlign w:val="center"/>
          </w:tcPr>
          <w:p w:rsidR="001F4E67" w:rsidRPr="001F4E67" w:rsidP="001F4E67" w14:paraId="14DF2CB2" w14:textId="65A6FD14">
            <w:pPr>
              <w:rPr>
                <w:rFonts w:eastAsia="Calibri"/>
                <w:sz w:val="20"/>
              </w:rPr>
            </w:pPr>
            <w:r w:rsidRPr="001F4E67">
              <w:rPr>
                <w:rFonts w:eastAsia="Calibri"/>
                <w:sz w:val="20"/>
              </w:rPr>
              <w:t>2,421</w:t>
            </w:r>
          </w:p>
        </w:tc>
      </w:tr>
      <w:tr w14:paraId="64D09786" w14:textId="77777777" w:rsidTr="0079655F">
        <w:tblPrEx>
          <w:tblW w:w="3706" w:type="pct"/>
          <w:tblInd w:w="-15" w:type="dxa"/>
          <w:tblLook w:val="04A0"/>
        </w:tblPrEx>
        <w:tc>
          <w:tcPr>
            <w:tcW w:w="1242" w:type="pct"/>
            <w:tcBorders>
              <w:left w:val="double" w:sz="4" w:space="0" w:color="auto"/>
              <w:bottom w:val="single" w:sz="6" w:space="0" w:color="auto"/>
            </w:tcBorders>
            <w:shd w:val="clear" w:color="auto" w:fill="auto"/>
          </w:tcPr>
          <w:p w:rsidR="001F4E67" w:rsidRPr="001F4E67" w:rsidP="001F4E67" w14:paraId="4B0AE61D" w14:textId="77777777">
            <w:pPr>
              <w:rPr>
                <w:rFonts w:eastAsia="Calibri"/>
                <w:sz w:val="20"/>
              </w:rPr>
            </w:pPr>
            <w:r w:rsidRPr="001F4E67">
              <w:rPr>
                <w:rFonts w:eastAsia="Calibri"/>
                <w:sz w:val="20"/>
              </w:rPr>
              <w:t>Leaver</w:t>
            </w:r>
          </w:p>
        </w:tc>
        <w:tc>
          <w:tcPr>
            <w:tcW w:w="1020" w:type="pct"/>
            <w:tcBorders>
              <w:top w:val="single" w:sz="6" w:space="0" w:color="auto"/>
              <w:bottom w:val="single" w:sz="6" w:space="0" w:color="auto"/>
            </w:tcBorders>
            <w:shd w:val="clear" w:color="auto" w:fill="auto"/>
            <w:vAlign w:val="center"/>
          </w:tcPr>
          <w:p w:rsidR="001F4E67" w:rsidRPr="001F4E67" w:rsidP="001F4E67" w14:paraId="7C2AB7FB" w14:textId="050C91B5">
            <w:pPr>
              <w:rPr>
                <w:rFonts w:eastAsia="Calibri"/>
                <w:sz w:val="20"/>
              </w:rPr>
            </w:pPr>
            <w:r w:rsidRPr="001F4E67">
              <w:rPr>
                <w:rFonts w:eastAsia="Calibri"/>
                <w:sz w:val="20"/>
              </w:rPr>
              <w:t>1,101</w:t>
            </w:r>
          </w:p>
        </w:tc>
        <w:tc>
          <w:tcPr>
            <w:tcW w:w="1038" w:type="pct"/>
            <w:tcBorders>
              <w:top w:val="single" w:sz="6" w:space="0" w:color="auto"/>
              <w:bottom w:val="single" w:sz="6" w:space="0" w:color="auto"/>
            </w:tcBorders>
            <w:shd w:val="clear" w:color="auto" w:fill="auto"/>
            <w:vAlign w:val="center"/>
          </w:tcPr>
          <w:p w:rsidR="001F4E67" w:rsidRPr="001F4E67" w:rsidP="001F4E67" w14:paraId="0DE10309" w14:textId="507D6CDF">
            <w:pPr>
              <w:rPr>
                <w:rFonts w:eastAsia="Calibri"/>
                <w:sz w:val="20"/>
              </w:rPr>
            </w:pPr>
            <w:r w:rsidRPr="001F4E67">
              <w:rPr>
                <w:rFonts w:eastAsia="Calibri"/>
                <w:sz w:val="20"/>
              </w:rPr>
              <w:t>157</w:t>
            </w:r>
          </w:p>
        </w:tc>
        <w:tc>
          <w:tcPr>
            <w:tcW w:w="1060" w:type="pct"/>
            <w:tcBorders>
              <w:top w:val="single" w:sz="6" w:space="0" w:color="auto"/>
              <w:bottom w:val="single" w:sz="6" w:space="0" w:color="auto"/>
              <w:right w:val="double" w:sz="4" w:space="0" w:color="auto"/>
            </w:tcBorders>
            <w:shd w:val="clear" w:color="auto" w:fill="auto"/>
            <w:vAlign w:val="center"/>
          </w:tcPr>
          <w:p w:rsidR="001F4E67" w:rsidRPr="001F4E67" w:rsidP="001F4E67" w14:paraId="0C3E24A6" w14:textId="1270B2CD">
            <w:pPr>
              <w:rPr>
                <w:rFonts w:eastAsia="Calibri"/>
                <w:sz w:val="20"/>
              </w:rPr>
            </w:pPr>
            <w:r w:rsidRPr="001F4E67">
              <w:rPr>
                <w:rFonts w:eastAsia="Calibri"/>
                <w:sz w:val="20"/>
              </w:rPr>
              <w:t>212</w:t>
            </w:r>
          </w:p>
        </w:tc>
        <w:tc>
          <w:tcPr>
            <w:tcW w:w="640" w:type="pct"/>
            <w:tcBorders>
              <w:left w:val="double" w:sz="4" w:space="0" w:color="auto"/>
              <w:bottom w:val="single" w:sz="6" w:space="0" w:color="auto"/>
              <w:right w:val="double" w:sz="4" w:space="0" w:color="auto"/>
            </w:tcBorders>
            <w:shd w:val="clear" w:color="auto" w:fill="auto"/>
            <w:vAlign w:val="center"/>
          </w:tcPr>
          <w:p w:rsidR="001F4E67" w:rsidRPr="001F4E67" w:rsidP="001F4E67" w14:paraId="4710A682" w14:textId="06AF67A2">
            <w:pPr>
              <w:rPr>
                <w:rFonts w:eastAsia="Calibri"/>
                <w:sz w:val="20"/>
              </w:rPr>
            </w:pPr>
            <w:r w:rsidRPr="001F4E67">
              <w:rPr>
                <w:rFonts w:eastAsia="Calibri"/>
                <w:sz w:val="20"/>
              </w:rPr>
              <w:t>1,470</w:t>
            </w:r>
          </w:p>
        </w:tc>
      </w:tr>
      <w:tr w14:paraId="420A2D1F" w14:textId="77777777" w:rsidTr="0079655F">
        <w:tblPrEx>
          <w:tblW w:w="3706" w:type="pct"/>
          <w:tblInd w:w="-15" w:type="dxa"/>
          <w:tblLook w:val="04A0"/>
        </w:tblPrEx>
        <w:tc>
          <w:tcPr>
            <w:tcW w:w="1242" w:type="pct"/>
            <w:tcBorders>
              <w:top w:val="single" w:sz="6" w:space="0" w:color="auto"/>
              <w:left w:val="double" w:sz="4" w:space="0" w:color="auto"/>
              <w:bottom w:val="double" w:sz="4" w:space="0" w:color="auto"/>
            </w:tcBorders>
            <w:shd w:val="clear" w:color="auto" w:fill="auto"/>
          </w:tcPr>
          <w:p w:rsidR="001F4E67" w:rsidRPr="001F4E67" w:rsidP="001F4E67" w14:paraId="3151E8C4" w14:textId="77777777">
            <w:pPr>
              <w:rPr>
                <w:rFonts w:eastAsia="Calibri"/>
                <w:sz w:val="20"/>
              </w:rPr>
            </w:pPr>
            <w:r w:rsidRPr="001F4E67">
              <w:rPr>
                <w:rFonts w:eastAsia="Calibri"/>
                <w:sz w:val="20"/>
              </w:rPr>
              <w:t>Unknown</w:t>
            </w:r>
          </w:p>
        </w:tc>
        <w:tc>
          <w:tcPr>
            <w:tcW w:w="1020" w:type="pct"/>
            <w:tcBorders>
              <w:top w:val="single" w:sz="6" w:space="0" w:color="auto"/>
              <w:bottom w:val="double" w:sz="4" w:space="0" w:color="auto"/>
            </w:tcBorders>
            <w:shd w:val="clear" w:color="auto" w:fill="auto"/>
            <w:vAlign w:val="center"/>
          </w:tcPr>
          <w:p w:rsidR="001F4E67" w:rsidRPr="001F4E67" w:rsidP="001F4E67" w14:paraId="2E5B6F10" w14:textId="3FDA6F98">
            <w:pPr>
              <w:rPr>
                <w:rFonts w:eastAsia="Calibri"/>
                <w:sz w:val="20"/>
              </w:rPr>
            </w:pPr>
            <w:r w:rsidRPr="001F4E67">
              <w:rPr>
                <w:rFonts w:eastAsia="Calibri"/>
                <w:sz w:val="20"/>
              </w:rPr>
              <w:t>1,939</w:t>
            </w:r>
          </w:p>
        </w:tc>
        <w:tc>
          <w:tcPr>
            <w:tcW w:w="1038" w:type="pct"/>
            <w:tcBorders>
              <w:top w:val="single" w:sz="6" w:space="0" w:color="auto"/>
              <w:bottom w:val="double" w:sz="4" w:space="0" w:color="auto"/>
            </w:tcBorders>
            <w:shd w:val="clear" w:color="auto" w:fill="auto"/>
            <w:vAlign w:val="center"/>
          </w:tcPr>
          <w:p w:rsidR="001F4E67" w:rsidRPr="001F4E67" w:rsidP="001F4E67" w14:paraId="04C073B6" w14:textId="1AA4727D">
            <w:pPr>
              <w:rPr>
                <w:rFonts w:eastAsia="Calibri"/>
                <w:sz w:val="20"/>
              </w:rPr>
            </w:pPr>
            <w:r w:rsidRPr="001F4E67">
              <w:rPr>
                <w:rFonts w:eastAsia="Calibri"/>
                <w:sz w:val="20"/>
              </w:rPr>
              <w:t>395</w:t>
            </w:r>
          </w:p>
        </w:tc>
        <w:tc>
          <w:tcPr>
            <w:tcW w:w="1060" w:type="pct"/>
            <w:tcBorders>
              <w:top w:val="single" w:sz="6" w:space="0" w:color="auto"/>
              <w:bottom w:val="double" w:sz="4" w:space="0" w:color="auto"/>
              <w:right w:val="double" w:sz="4" w:space="0" w:color="auto"/>
            </w:tcBorders>
            <w:shd w:val="clear" w:color="auto" w:fill="auto"/>
            <w:vAlign w:val="center"/>
          </w:tcPr>
          <w:p w:rsidR="001F4E67" w:rsidRPr="001F4E67" w:rsidP="001F4E67" w14:paraId="6623B7C0" w14:textId="090C71D2">
            <w:pPr>
              <w:rPr>
                <w:rFonts w:eastAsia="Calibri"/>
                <w:sz w:val="20"/>
              </w:rPr>
            </w:pPr>
            <w:r w:rsidRPr="001F4E67">
              <w:rPr>
                <w:rFonts w:eastAsia="Calibri"/>
                <w:sz w:val="20"/>
              </w:rPr>
              <w:t>297</w:t>
            </w:r>
          </w:p>
        </w:tc>
        <w:tc>
          <w:tcPr>
            <w:tcW w:w="640" w:type="pct"/>
            <w:tcBorders>
              <w:top w:val="single" w:sz="6" w:space="0" w:color="auto"/>
              <w:left w:val="double" w:sz="4" w:space="0" w:color="auto"/>
              <w:bottom w:val="double" w:sz="4" w:space="0" w:color="auto"/>
              <w:right w:val="double" w:sz="4" w:space="0" w:color="auto"/>
            </w:tcBorders>
            <w:shd w:val="clear" w:color="auto" w:fill="auto"/>
            <w:vAlign w:val="center"/>
          </w:tcPr>
          <w:p w:rsidR="001F4E67" w:rsidRPr="001F4E67" w:rsidP="001F4E67" w14:paraId="034D2828" w14:textId="1C1A24CD">
            <w:pPr>
              <w:rPr>
                <w:rFonts w:eastAsia="Calibri"/>
                <w:sz w:val="20"/>
              </w:rPr>
            </w:pPr>
            <w:r w:rsidRPr="001F4E67">
              <w:rPr>
                <w:rFonts w:eastAsia="Calibri"/>
                <w:sz w:val="20"/>
              </w:rPr>
              <w:t>2,631</w:t>
            </w:r>
          </w:p>
        </w:tc>
      </w:tr>
      <w:tr w14:paraId="5835E80C" w14:textId="77777777" w:rsidTr="0079655F">
        <w:tblPrEx>
          <w:tblW w:w="3706" w:type="pct"/>
          <w:tblInd w:w="-15" w:type="dxa"/>
          <w:tblLook w:val="04A0"/>
        </w:tblPrEx>
        <w:tc>
          <w:tcPr>
            <w:tcW w:w="1242" w:type="pct"/>
            <w:tcBorders>
              <w:top w:val="double" w:sz="4" w:space="0" w:color="auto"/>
              <w:left w:val="double" w:sz="4" w:space="0" w:color="auto"/>
              <w:bottom w:val="double" w:sz="4" w:space="0" w:color="auto"/>
            </w:tcBorders>
            <w:shd w:val="clear" w:color="auto" w:fill="auto"/>
          </w:tcPr>
          <w:p w:rsidR="001F4E67" w:rsidRPr="001F4E67" w:rsidP="001F4E67" w14:paraId="1B71C6A6" w14:textId="77777777">
            <w:pPr>
              <w:rPr>
                <w:rFonts w:eastAsia="Calibri"/>
                <w:sz w:val="20"/>
              </w:rPr>
            </w:pPr>
            <w:r w:rsidRPr="001F4E67">
              <w:rPr>
                <w:rFonts w:eastAsia="Calibri"/>
                <w:sz w:val="20"/>
              </w:rPr>
              <w:t>Total</w:t>
            </w:r>
          </w:p>
        </w:tc>
        <w:tc>
          <w:tcPr>
            <w:tcW w:w="1020" w:type="pct"/>
            <w:tcBorders>
              <w:top w:val="double" w:sz="4" w:space="0" w:color="auto"/>
              <w:bottom w:val="double" w:sz="4" w:space="0" w:color="auto"/>
            </w:tcBorders>
            <w:shd w:val="clear" w:color="auto" w:fill="auto"/>
            <w:vAlign w:val="center"/>
          </w:tcPr>
          <w:p w:rsidR="001F4E67" w:rsidRPr="001F4E67" w:rsidP="001F4E67" w14:paraId="76DE8440" w14:textId="4D0BB6AE">
            <w:pPr>
              <w:rPr>
                <w:rFonts w:eastAsia="Calibri"/>
                <w:sz w:val="20"/>
              </w:rPr>
            </w:pPr>
            <w:r w:rsidRPr="001F4E67">
              <w:rPr>
                <w:rFonts w:eastAsia="Calibri"/>
                <w:sz w:val="20"/>
              </w:rPr>
              <w:t>7,627</w:t>
            </w:r>
          </w:p>
        </w:tc>
        <w:tc>
          <w:tcPr>
            <w:tcW w:w="1038" w:type="pct"/>
            <w:tcBorders>
              <w:top w:val="double" w:sz="4" w:space="0" w:color="auto"/>
              <w:bottom w:val="double" w:sz="4" w:space="0" w:color="auto"/>
            </w:tcBorders>
            <w:shd w:val="clear" w:color="auto" w:fill="auto"/>
            <w:vAlign w:val="center"/>
          </w:tcPr>
          <w:p w:rsidR="001F4E67" w:rsidRPr="001F4E67" w:rsidP="001F4E67" w14:paraId="5184830F" w14:textId="4DA7CFFD">
            <w:pPr>
              <w:rPr>
                <w:rFonts w:eastAsia="Calibri"/>
                <w:sz w:val="20"/>
              </w:rPr>
            </w:pPr>
            <w:r w:rsidRPr="001F4E67">
              <w:rPr>
                <w:rFonts w:eastAsia="Calibri"/>
                <w:sz w:val="20"/>
              </w:rPr>
              <w:t>1,160</w:t>
            </w:r>
          </w:p>
        </w:tc>
        <w:tc>
          <w:tcPr>
            <w:tcW w:w="1060" w:type="pct"/>
            <w:tcBorders>
              <w:top w:val="double" w:sz="4" w:space="0" w:color="auto"/>
              <w:bottom w:val="double" w:sz="4" w:space="0" w:color="auto"/>
              <w:right w:val="double" w:sz="4" w:space="0" w:color="auto"/>
            </w:tcBorders>
            <w:shd w:val="clear" w:color="auto" w:fill="auto"/>
            <w:vAlign w:val="center"/>
          </w:tcPr>
          <w:p w:rsidR="001F4E67" w:rsidRPr="001F4E67" w:rsidP="001F4E67" w14:paraId="63A4C15F" w14:textId="4058AC41">
            <w:pPr>
              <w:rPr>
                <w:rFonts w:eastAsia="Calibri"/>
                <w:sz w:val="20"/>
              </w:rPr>
            </w:pPr>
            <w:r w:rsidRPr="001F4E67">
              <w:rPr>
                <w:rFonts w:eastAsia="Calibri"/>
                <w:sz w:val="20"/>
              </w:rPr>
              <w:t>1,678</w:t>
            </w:r>
          </w:p>
        </w:tc>
        <w:tc>
          <w:tcPr>
            <w:tcW w:w="640" w:type="pct"/>
            <w:tcBorders>
              <w:top w:val="double" w:sz="4" w:space="0" w:color="auto"/>
              <w:left w:val="double" w:sz="4" w:space="0" w:color="auto"/>
              <w:bottom w:val="double" w:sz="4" w:space="0" w:color="auto"/>
              <w:right w:val="double" w:sz="4" w:space="0" w:color="auto"/>
            </w:tcBorders>
            <w:shd w:val="clear" w:color="auto" w:fill="auto"/>
            <w:vAlign w:val="center"/>
          </w:tcPr>
          <w:p w:rsidR="001F4E67" w:rsidRPr="001F4E67" w:rsidP="001F4E67" w14:paraId="429B3B12" w14:textId="20C7A3C5">
            <w:pPr>
              <w:rPr>
                <w:rFonts w:eastAsia="Calibri"/>
                <w:sz w:val="20"/>
              </w:rPr>
            </w:pPr>
            <w:r w:rsidRPr="001F4E67">
              <w:rPr>
                <w:rFonts w:eastAsia="Calibri"/>
                <w:sz w:val="20"/>
              </w:rPr>
              <w:t>10,465</w:t>
            </w:r>
          </w:p>
        </w:tc>
      </w:tr>
    </w:tbl>
    <w:p w:rsidR="00675CC0" w:rsidRPr="001F4E67" w:rsidP="00675CC0" w14:paraId="2713EB47" w14:textId="33A15E8E">
      <w:pPr>
        <w:rPr>
          <w:rFonts w:ascii="Garamond" w:hAnsi="Garamond"/>
          <w:sz w:val="18"/>
          <w:szCs w:val="18"/>
        </w:rPr>
      </w:pPr>
    </w:p>
    <w:p w:rsidR="00675CC0" w:rsidRPr="00B769C7" w:rsidP="00675CC0" w14:paraId="4235D13E" w14:textId="77777777">
      <w:pPr>
        <w:rPr>
          <w:sz w:val="22"/>
          <w:szCs w:val="22"/>
          <w:highlight w:val="cyan"/>
        </w:rPr>
      </w:pPr>
    </w:p>
    <w:p w:rsidR="00675CC0" w:rsidRPr="00846F4C" w:rsidP="00675CC0" w14:paraId="25A9182F" w14:textId="3B2AFFB7">
      <w:pPr>
        <w:rPr>
          <w:sz w:val="22"/>
          <w:szCs w:val="18"/>
        </w:rPr>
      </w:pPr>
      <w:r w:rsidRPr="00846F4C">
        <w:rPr>
          <w:sz w:val="22"/>
          <w:szCs w:val="18"/>
        </w:rPr>
        <w:t xml:space="preserve">Within these target sample sizes, Hispanic and Black Non-Hispanic stayers </w:t>
      </w:r>
      <w:r w:rsidRPr="00846F4C" w:rsidR="00527DE8">
        <w:rPr>
          <w:sz w:val="22"/>
          <w:szCs w:val="18"/>
        </w:rPr>
        <w:t xml:space="preserve">will be </w:t>
      </w:r>
      <w:r w:rsidRPr="00846F4C">
        <w:rPr>
          <w:sz w:val="22"/>
          <w:szCs w:val="18"/>
        </w:rPr>
        <w:t>oversampled by 60 percent to optimize the reliability of their comparison with other stayers (</w:t>
      </w:r>
      <w:r w:rsidRPr="00846F4C" w:rsidR="00487B95">
        <w:rPr>
          <w:sz w:val="22"/>
          <w:szCs w:val="18"/>
        </w:rPr>
        <w:t>movers</w:t>
      </w:r>
      <w:r w:rsidRPr="00846F4C">
        <w:rPr>
          <w:sz w:val="22"/>
          <w:szCs w:val="18"/>
        </w:rPr>
        <w:t xml:space="preserve">, </w:t>
      </w:r>
      <w:r w:rsidRPr="00846F4C" w:rsidR="00487B95">
        <w:rPr>
          <w:sz w:val="22"/>
          <w:szCs w:val="18"/>
        </w:rPr>
        <w:t>leavers</w:t>
      </w:r>
      <w:r w:rsidRPr="00846F4C">
        <w:rPr>
          <w:sz w:val="22"/>
          <w:szCs w:val="18"/>
        </w:rPr>
        <w:t xml:space="preserve">, and </w:t>
      </w:r>
      <w:r w:rsidRPr="00846F4C" w:rsidR="00487B95">
        <w:rPr>
          <w:sz w:val="22"/>
          <w:szCs w:val="18"/>
        </w:rPr>
        <w:t>unknown</w:t>
      </w:r>
      <w:r w:rsidRPr="00846F4C">
        <w:rPr>
          <w:sz w:val="22"/>
          <w:szCs w:val="18"/>
        </w:rPr>
        <w:t xml:space="preserve"> are already sampled with certainty). The target sample sizes at the status/sector/race level are as seen in Table B</w:t>
      </w:r>
      <w:r w:rsidRPr="00846F4C" w:rsidR="004C5C49">
        <w:rPr>
          <w:sz w:val="22"/>
          <w:szCs w:val="18"/>
        </w:rPr>
        <w:t>5</w:t>
      </w:r>
      <w:r w:rsidRPr="00846F4C">
        <w:rPr>
          <w:sz w:val="22"/>
          <w:szCs w:val="18"/>
        </w:rPr>
        <w:t>.</w:t>
      </w:r>
    </w:p>
    <w:p w:rsidR="00F9297B" w:rsidRPr="00B769C7" w:rsidP="00675CC0" w14:paraId="27E55C12" w14:textId="77777777">
      <w:pPr>
        <w:rPr>
          <w:sz w:val="22"/>
          <w:szCs w:val="18"/>
          <w:highlight w:val="cyan"/>
        </w:rPr>
      </w:pPr>
    </w:p>
    <w:p w:rsidR="00846F4C" w:rsidRPr="003152CA" w:rsidP="00CE051A" w14:paraId="43CBEB6C" w14:textId="7905E295">
      <w:pPr>
        <w:rPr>
          <w:sz w:val="22"/>
          <w:szCs w:val="18"/>
        </w:rPr>
      </w:pPr>
      <w:r w:rsidRPr="003152CA">
        <w:rPr>
          <w:sz w:val="22"/>
          <w:szCs w:val="18"/>
        </w:rPr>
        <w:t>Using these target sample sizes</w:t>
      </w:r>
      <w:r w:rsidRPr="003152CA" w:rsidR="00A30899">
        <w:rPr>
          <w:sz w:val="22"/>
          <w:szCs w:val="18"/>
        </w:rPr>
        <w:t xml:space="preserve"> for each of the main strat</w:t>
      </w:r>
      <w:r w:rsidRPr="003152CA" w:rsidR="00B770A7">
        <w:rPr>
          <w:sz w:val="22"/>
          <w:szCs w:val="18"/>
        </w:rPr>
        <w:t>a</w:t>
      </w:r>
      <w:r w:rsidRPr="003152CA">
        <w:rPr>
          <w:sz w:val="22"/>
          <w:szCs w:val="18"/>
        </w:rPr>
        <w:t xml:space="preserve">, the </w:t>
      </w:r>
      <w:r w:rsidRPr="003152CA" w:rsidR="00B21B62">
        <w:rPr>
          <w:sz w:val="22"/>
          <w:szCs w:val="18"/>
        </w:rPr>
        <w:t xml:space="preserve">teachers </w:t>
      </w:r>
      <w:r w:rsidRPr="003152CA" w:rsidR="00527DE8">
        <w:rPr>
          <w:sz w:val="22"/>
          <w:szCs w:val="18"/>
        </w:rPr>
        <w:t xml:space="preserve">will be </w:t>
      </w:r>
      <w:r w:rsidRPr="003152CA" w:rsidR="00B21B62">
        <w:rPr>
          <w:sz w:val="22"/>
          <w:szCs w:val="18"/>
        </w:rPr>
        <w:t xml:space="preserve">sampled </w:t>
      </w:r>
      <w:r w:rsidRPr="003152CA" w:rsidR="00F14282">
        <w:rPr>
          <w:sz w:val="22"/>
          <w:szCs w:val="18"/>
        </w:rPr>
        <w:t>through</w:t>
      </w:r>
      <w:r w:rsidRPr="003152CA" w:rsidR="00984BAA">
        <w:rPr>
          <w:sz w:val="22"/>
          <w:szCs w:val="18"/>
        </w:rPr>
        <w:t xml:space="preserve"> probability proportional to size</w:t>
      </w:r>
      <w:r w:rsidRPr="003152CA" w:rsidR="001D4BBF">
        <w:rPr>
          <w:sz w:val="22"/>
          <w:szCs w:val="18"/>
        </w:rPr>
        <w:t xml:space="preserve"> of the substrat</w:t>
      </w:r>
      <w:r w:rsidRPr="003152CA" w:rsidR="009D315D">
        <w:rPr>
          <w:sz w:val="22"/>
          <w:szCs w:val="18"/>
        </w:rPr>
        <w:t>a</w:t>
      </w:r>
      <w:r w:rsidRPr="003152CA">
        <w:rPr>
          <w:sz w:val="22"/>
          <w:szCs w:val="18"/>
        </w:rPr>
        <w:t xml:space="preserve">, which are defined by the teacher’s sector, status, experience, </w:t>
      </w:r>
      <w:r w:rsidRPr="003152CA">
        <w:rPr>
          <w:sz w:val="22"/>
          <w:szCs w:val="18"/>
        </w:rPr>
        <w:t>school level</w:t>
      </w:r>
      <w:r w:rsidRPr="003152CA">
        <w:rPr>
          <w:sz w:val="22"/>
          <w:szCs w:val="18"/>
        </w:rPr>
        <w:t xml:space="preserve">, and race categories. This </w:t>
      </w:r>
      <w:r w:rsidRPr="003152CA" w:rsidR="00527DE8">
        <w:rPr>
          <w:sz w:val="22"/>
          <w:szCs w:val="18"/>
        </w:rPr>
        <w:t xml:space="preserve">will be </w:t>
      </w:r>
      <w:r w:rsidRPr="003152CA">
        <w:rPr>
          <w:sz w:val="22"/>
          <w:szCs w:val="18"/>
        </w:rPr>
        <w:t xml:space="preserve">done proportional to the cumulative teacher measure of size within each </w:t>
      </w:r>
      <w:r w:rsidRPr="003152CA" w:rsidR="00E0520A">
        <w:rPr>
          <w:sz w:val="22"/>
          <w:szCs w:val="18"/>
        </w:rPr>
        <w:t>main</w:t>
      </w:r>
      <w:r w:rsidRPr="003152CA">
        <w:rPr>
          <w:sz w:val="22"/>
          <w:szCs w:val="18"/>
        </w:rPr>
        <w:t xml:space="preserve"> stratum. The teacher measure of size will be the 2023-24 NTPS teacher base weight.</w:t>
      </w:r>
      <w:r w:rsidRPr="003152CA" w:rsidR="00C151B1">
        <w:rPr>
          <w:sz w:val="22"/>
          <w:szCs w:val="18"/>
        </w:rPr>
        <w:t xml:space="preserve"> </w:t>
      </w:r>
      <w:r w:rsidRPr="003152CA" w:rsidR="00643BB0">
        <w:rPr>
          <w:sz w:val="22"/>
          <w:szCs w:val="18"/>
        </w:rPr>
        <w:t xml:space="preserve">Within each substratum, there will be systematic sampling with a designated sort order. </w:t>
      </w:r>
    </w:p>
    <w:p w:rsidR="00846F4C" w:rsidRPr="003152CA" w:rsidP="00CE051A" w14:paraId="1A3AD012" w14:textId="77777777">
      <w:pPr>
        <w:rPr>
          <w:sz w:val="22"/>
          <w:szCs w:val="18"/>
        </w:rPr>
      </w:pPr>
    </w:p>
    <w:p w:rsidR="00CE051A" w:rsidRPr="003152CA" w:rsidP="00CE051A" w14:paraId="329672B5" w14:textId="144AA2B4">
      <w:pPr>
        <w:rPr>
          <w:sz w:val="22"/>
          <w:szCs w:val="18"/>
        </w:rPr>
      </w:pPr>
      <w:r w:rsidRPr="003152CA">
        <w:rPr>
          <w:sz w:val="22"/>
          <w:szCs w:val="18"/>
        </w:rPr>
        <w:t xml:space="preserve">The sort variables include measure of size (teacher base weight), teacher subject, state, urbanicity, school enrollment, </w:t>
      </w:r>
      <w:r w:rsidRPr="003152CA" w:rsidR="00846F4C">
        <w:rPr>
          <w:sz w:val="22"/>
          <w:szCs w:val="18"/>
        </w:rPr>
        <w:t xml:space="preserve">teacher instructional grade level, </w:t>
      </w:r>
      <w:r w:rsidRPr="003152CA" w:rsidR="00294AF3">
        <w:rPr>
          <w:sz w:val="22"/>
          <w:szCs w:val="18"/>
        </w:rPr>
        <w:t xml:space="preserve">teacher control number, </w:t>
      </w:r>
      <w:r w:rsidRPr="003152CA">
        <w:rPr>
          <w:sz w:val="22"/>
          <w:szCs w:val="18"/>
        </w:rPr>
        <w:t>and</w:t>
      </w:r>
      <w:r w:rsidRPr="003152CA" w:rsidR="00396E2C">
        <w:rPr>
          <w:sz w:val="22"/>
          <w:szCs w:val="18"/>
        </w:rPr>
        <w:t>,</w:t>
      </w:r>
      <w:r w:rsidRPr="003152CA">
        <w:rPr>
          <w:sz w:val="22"/>
          <w:szCs w:val="18"/>
        </w:rPr>
        <w:t xml:space="preserve"> for private school teachers, school</w:t>
      </w:r>
      <w:r w:rsidRPr="003152CA" w:rsidR="00846F4C">
        <w:rPr>
          <w:sz w:val="22"/>
          <w:szCs w:val="18"/>
        </w:rPr>
        <w:t xml:space="preserve"> affiliation</w:t>
      </w:r>
      <w:r w:rsidRPr="003152CA">
        <w:rPr>
          <w:sz w:val="22"/>
          <w:szCs w:val="18"/>
        </w:rPr>
        <w:t xml:space="preserve">. </w:t>
      </w:r>
      <w:r w:rsidRPr="003152CA" w:rsidR="008248D7">
        <w:rPr>
          <w:sz w:val="22"/>
          <w:szCs w:val="18"/>
        </w:rPr>
        <w:t xml:space="preserve">As the </w:t>
      </w:r>
      <w:r w:rsidRPr="003152CA">
        <w:rPr>
          <w:sz w:val="22"/>
          <w:szCs w:val="18"/>
        </w:rPr>
        <w:t xml:space="preserve">measure of size will be the 2023-24 NTPS teacher </w:t>
      </w:r>
      <w:r w:rsidRPr="003152CA" w:rsidR="008248D7">
        <w:rPr>
          <w:sz w:val="22"/>
          <w:szCs w:val="18"/>
        </w:rPr>
        <w:t xml:space="preserve">base </w:t>
      </w:r>
      <w:r w:rsidRPr="003152CA">
        <w:rPr>
          <w:sz w:val="22"/>
          <w:szCs w:val="18"/>
        </w:rPr>
        <w:t>weight</w:t>
      </w:r>
      <w:r w:rsidRPr="003152CA" w:rsidR="008248D7">
        <w:rPr>
          <w:sz w:val="22"/>
          <w:szCs w:val="18"/>
        </w:rPr>
        <w:t>s, t</w:t>
      </w:r>
      <w:r w:rsidRPr="003152CA">
        <w:rPr>
          <w:sz w:val="22"/>
          <w:szCs w:val="18"/>
        </w:rPr>
        <w:t xml:space="preserve">his essentially ‘reverses’ the probability of selection of the teacher in NTPS, and results in a self-weighting sample within each </w:t>
      </w:r>
      <w:r w:rsidRPr="003152CA" w:rsidR="00441FBF">
        <w:rPr>
          <w:sz w:val="22"/>
          <w:szCs w:val="18"/>
        </w:rPr>
        <w:t>sub</w:t>
      </w:r>
      <w:r w:rsidRPr="003152CA">
        <w:rPr>
          <w:sz w:val="22"/>
          <w:szCs w:val="18"/>
        </w:rPr>
        <w:t xml:space="preserve">stratum. This will maximize the efficiency of the TFS sample. </w:t>
      </w:r>
    </w:p>
    <w:p w:rsidR="00675CC0" w:rsidRPr="00B769C7" w:rsidP="00675CC0" w14:paraId="7FD2BCDD" w14:textId="0E3CB30D">
      <w:pPr>
        <w:widowControl/>
        <w:rPr>
          <w:sz w:val="22"/>
          <w:szCs w:val="18"/>
          <w:highlight w:val="cyan"/>
        </w:rPr>
      </w:pPr>
      <w:r w:rsidRPr="00B769C7">
        <w:rPr>
          <w:sz w:val="22"/>
          <w:szCs w:val="18"/>
          <w:highlight w:val="cyan"/>
        </w:rPr>
        <w:t xml:space="preserve"> </w:t>
      </w:r>
    </w:p>
    <w:p w:rsidR="007168EB" w:rsidRPr="00B769C7" w:rsidP="00675CC0" w14:paraId="022076DE" w14:textId="77777777">
      <w:pPr>
        <w:rPr>
          <w:b/>
          <w:bCs/>
          <w:i/>
          <w:iCs/>
          <w:sz w:val="22"/>
          <w:szCs w:val="18"/>
          <w:highlight w:val="cyan"/>
        </w:rPr>
      </w:pPr>
      <w:r w:rsidRPr="00B769C7">
        <w:rPr>
          <w:b/>
          <w:bCs/>
          <w:i/>
          <w:iCs/>
          <w:sz w:val="22"/>
          <w:szCs w:val="18"/>
          <w:highlight w:val="cyan"/>
        </w:rPr>
        <w:br w:type="page"/>
      </w:r>
    </w:p>
    <w:p w:rsidR="00675CC0" w:rsidRPr="00F3686F" w:rsidP="00675CC0" w14:paraId="52A47534" w14:textId="63E5CE19">
      <w:pPr>
        <w:rPr>
          <w:b/>
          <w:bCs/>
          <w:i/>
          <w:iCs/>
          <w:sz w:val="22"/>
          <w:szCs w:val="18"/>
        </w:rPr>
      </w:pPr>
      <w:r w:rsidRPr="00F3686F">
        <w:rPr>
          <w:b/>
          <w:bCs/>
          <w:i/>
          <w:iCs/>
          <w:sz w:val="22"/>
          <w:szCs w:val="18"/>
        </w:rPr>
        <w:t>Table B</w:t>
      </w:r>
      <w:r w:rsidRPr="00F3686F" w:rsidR="004C5C49">
        <w:rPr>
          <w:b/>
          <w:bCs/>
          <w:i/>
          <w:iCs/>
          <w:sz w:val="22"/>
          <w:szCs w:val="18"/>
        </w:rPr>
        <w:t>5</w:t>
      </w:r>
      <w:r w:rsidRPr="00F3686F">
        <w:rPr>
          <w:b/>
          <w:bCs/>
          <w:i/>
          <w:iCs/>
          <w:sz w:val="22"/>
          <w:szCs w:val="18"/>
        </w:rPr>
        <w:t>. Distribution of teacher types across school types</w:t>
      </w:r>
    </w:p>
    <w:tbl>
      <w:tblPr>
        <w:tblW w:w="5398" w:type="pct"/>
        <w:tblInd w:w="-19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185"/>
        <w:gridCol w:w="1081"/>
        <w:gridCol w:w="1178"/>
        <w:gridCol w:w="821"/>
        <w:gridCol w:w="1078"/>
        <w:gridCol w:w="1078"/>
        <w:gridCol w:w="812"/>
        <w:gridCol w:w="1081"/>
        <w:gridCol w:w="1078"/>
        <w:gridCol w:w="812"/>
        <w:gridCol w:w="801"/>
      </w:tblGrid>
      <w:tr w14:paraId="3FF877EC" w14:textId="77777777" w:rsidTr="0079655F">
        <w:tblPrEx>
          <w:tblW w:w="5398" w:type="pct"/>
          <w:tblInd w:w="-19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Ex>
        <w:trPr>
          <w:trHeight w:val="229"/>
        </w:trPr>
        <w:tc>
          <w:tcPr>
            <w:tcW w:w="538" w:type="pct"/>
            <w:vMerge w:val="restart"/>
            <w:shd w:val="clear" w:color="auto" w:fill="auto"/>
            <w:vAlign w:val="center"/>
          </w:tcPr>
          <w:p w:rsidR="00675CC0" w:rsidRPr="00F3686F" w14:paraId="0A311CBE" w14:textId="77777777">
            <w:pPr>
              <w:ind w:right="-36"/>
              <w:jc w:val="both"/>
              <w:rPr>
                <w:rFonts w:eastAsia="Calibri"/>
                <w:b/>
                <w:sz w:val="20"/>
              </w:rPr>
            </w:pPr>
            <w:r w:rsidRPr="00F3686F">
              <w:rPr>
                <w:rFonts w:eastAsia="Calibri"/>
                <w:b/>
                <w:sz w:val="20"/>
              </w:rPr>
              <w:t>Status</w:t>
            </w:r>
          </w:p>
        </w:tc>
        <w:tc>
          <w:tcPr>
            <w:tcW w:w="4098" w:type="pct"/>
            <w:gridSpan w:val="9"/>
            <w:tcBorders>
              <w:right w:val="double" w:sz="4" w:space="0" w:color="auto"/>
            </w:tcBorders>
            <w:vAlign w:val="center"/>
          </w:tcPr>
          <w:p w:rsidR="00675CC0" w:rsidRPr="00F3686F" w14:paraId="19285821" w14:textId="77777777">
            <w:pPr>
              <w:ind w:right="-36"/>
              <w:jc w:val="center"/>
              <w:rPr>
                <w:rFonts w:eastAsia="Calibri"/>
                <w:b/>
                <w:sz w:val="20"/>
              </w:rPr>
            </w:pPr>
            <w:r w:rsidRPr="00F3686F">
              <w:rPr>
                <w:rFonts w:eastAsia="Calibri"/>
                <w:b/>
                <w:sz w:val="20"/>
              </w:rPr>
              <w:t>Sector</w:t>
            </w:r>
          </w:p>
        </w:tc>
        <w:tc>
          <w:tcPr>
            <w:tcW w:w="364" w:type="pct"/>
            <w:vMerge w:val="restart"/>
            <w:tcBorders>
              <w:left w:val="double" w:sz="4" w:space="0" w:color="auto"/>
            </w:tcBorders>
            <w:vAlign w:val="center"/>
          </w:tcPr>
          <w:p w:rsidR="00675CC0" w:rsidRPr="00F3686F" w14:paraId="3BC998D2" w14:textId="77777777">
            <w:pPr>
              <w:ind w:right="-36"/>
              <w:jc w:val="both"/>
              <w:rPr>
                <w:rFonts w:eastAsia="Calibri"/>
                <w:b/>
                <w:sz w:val="20"/>
              </w:rPr>
            </w:pPr>
            <w:r w:rsidRPr="00F3686F">
              <w:rPr>
                <w:rFonts w:eastAsia="Calibri"/>
                <w:b/>
                <w:sz w:val="20"/>
              </w:rPr>
              <w:t>Total</w:t>
            </w:r>
          </w:p>
        </w:tc>
      </w:tr>
      <w:tr w14:paraId="15C5F003" w14:textId="77777777" w:rsidTr="0079655F">
        <w:tblPrEx>
          <w:tblW w:w="5398" w:type="pct"/>
          <w:tblInd w:w="-195" w:type="dxa"/>
          <w:tblLayout w:type="fixed"/>
          <w:tblLook w:val="04A0"/>
        </w:tblPrEx>
        <w:trPr>
          <w:trHeight w:val="285"/>
        </w:trPr>
        <w:tc>
          <w:tcPr>
            <w:tcW w:w="538" w:type="pct"/>
            <w:vMerge/>
            <w:shd w:val="clear" w:color="auto" w:fill="auto"/>
            <w:vAlign w:val="center"/>
          </w:tcPr>
          <w:p w:rsidR="00675CC0" w:rsidRPr="00F3686F" w14:paraId="3A1D6516" w14:textId="77777777">
            <w:pPr>
              <w:ind w:right="-36"/>
              <w:jc w:val="both"/>
              <w:rPr>
                <w:rFonts w:eastAsia="Calibri"/>
                <w:b/>
                <w:sz w:val="20"/>
              </w:rPr>
            </w:pPr>
          </w:p>
        </w:tc>
        <w:tc>
          <w:tcPr>
            <w:tcW w:w="1399" w:type="pct"/>
            <w:gridSpan w:val="3"/>
            <w:shd w:val="clear" w:color="auto" w:fill="auto"/>
            <w:vAlign w:val="center"/>
          </w:tcPr>
          <w:p w:rsidR="00675CC0" w:rsidRPr="00F3686F" w14:paraId="14BBDA5B" w14:textId="77777777">
            <w:pPr>
              <w:ind w:right="-36"/>
              <w:jc w:val="center"/>
              <w:rPr>
                <w:rFonts w:eastAsia="Calibri"/>
                <w:b/>
                <w:sz w:val="20"/>
              </w:rPr>
            </w:pPr>
            <w:r w:rsidRPr="00F3686F">
              <w:rPr>
                <w:rFonts w:eastAsia="Calibri"/>
                <w:b/>
                <w:sz w:val="20"/>
              </w:rPr>
              <w:t>Public</w:t>
            </w:r>
          </w:p>
        </w:tc>
        <w:tc>
          <w:tcPr>
            <w:tcW w:w="1348" w:type="pct"/>
            <w:gridSpan w:val="3"/>
            <w:tcBorders>
              <w:right w:val="double" w:sz="4" w:space="0" w:color="auto"/>
            </w:tcBorders>
            <w:vAlign w:val="center"/>
          </w:tcPr>
          <w:p w:rsidR="00675CC0" w:rsidRPr="00F3686F" w14:paraId="05B494FA" w14:textId="77777777">
            <w:pPr>
              <w:ind w:right="-36"/>
              <w:jc w:val="center"/>
              <w:rPr>
                <w:rFonts w:eastAsia="Calibri"/>
                <w:b/>
                <w:sz w:val="20"/>
              </w:rPr>
            </w:pPr>
            <w:r w:rsidRPr="00F3686F">
              <w:rPr>
                <w:rFonts w:eastAsia="Calibri"/>
                <w:b/>
                <w:sz w:val="20"/>
              </w:rPr>
              <w:t>Charter</w:t>
            </w:r>
          </w:p>
        </w:tc>
        <w:tc>
          <w:tcPr>
            <w:tcW w:w="1350" w:type="pct"/>
            <w:gridSpan w:val="3"/>
            <w:tcBorders>
              <w:right w:val="double" w:sz="4" w:space="0" w:color="auto"/>
            </w:tcBorders>
            <w:vAlign w:val="center"/>
          </w:tcPr>
          <w:p w:rsidR="00675CC0" w:rsidRPr="00F3686F" w14:paraId="7BC3EBF8" w14:textId="77777777">
            <w:pPr>
              <w:ind w:right="-36"/>
              <w:jc w:val="center"/>
              <w:rPr>
                <w:rFonts w:eastAsia="Calibri"/>
                <w:b/>
                <w:sz w:val="20"/>
              </w:rPr>
            </w:pPr>
            <w:r w:rsidRPr="00F3686F">
              <w:rPr>
                <w:rFonts w:eastAsia="Calibri"/>
                <w:b/>
                <w:sz w:val="20"/>
              </w:rPr>
              <w:t>Private</w:t>
            </w:r>
          </w:p>
        </w:tc>
        <w:tc>
          <w:tcPr>
            <w:tcW w:w="364" w:type="pct"/>
            <w:vMerge/>
            <w:tcBorders>
              <w:left w:val="double" w:sz="4" w:space="0" w:color="auto"/>
            </w:tcBorders>
            <w:vAlign w:val="center"/>
          </w:tcPr>
          <w:p w:rsidR="00675CC0" w:rsidRPr="00F3686F" w14:paraId="26408F4B" w14:textId="77777777">
            <w:pPr>
              <w:ind w:right="-36"/>
              <w:jc w:val="both"/>
              <w:rPr>
                <w:rFonts w:eastAsia="Calibri"/>
                <w:b/>
                <w:sz w:val="20"/>
              </w:rPr>
            </w:pPr>
          </w:p>
        </w:tc>
      </w:tr>
      <w:tr w14:paraId="26C84C95" w14:textId="77777777" w:rsidTr="0079655F">
        <w:tblPrEx>
          <w:tblW w:w="5398" w:type="pct"/>
          <w:tblInd w:w="-195" w:type="dxa"/>
          <w:tblLayout w:type="fixed"/>
          <w:tblLook w:val="04A0"/>
        </w:tblPrEx>
        <w:trPr>
          <w:trHeight w:val="771"/>
        </w:trPr>
        <w:tc>
          <w:tcPr>
            <w:tcW w:w="538" w:type="pct"/>
            <w:vMerge/>
            <w:shd w:val="clear" w:color="auto" w:fill="auto"/>
            <w:vAlign w:val="center"/>
          </w:tcPr>
          <w:p w:rsidR="00675CC0" w:rsidRPr="00F3686F" w14:paraId="65956CAB" w14:textId="77777777">
            <w:pPr>
              <w:ind w:right="-36"/>
              <w:jc w:val="both"/>
              <w:rPr>
                <w:rFonts w:eastAsia="Calibri"/>
                <w:b/>
                <w:sz w:val="20"/>
              </w:rPr>
            </w:pPr>
          </w:p>
        </w:tc>
        <w:tc>
          <w:tcPr>
            <w:tcW w:w="491" w:type="pct"/>
            <w:shd w:val="clear" w:color="auto" w:fill="auto"/>
            <w:vAlign w:val="center"/>
          </w:tcPr>
          <w:p w:rsidR="00675CC0" w:rsidRPr="00F3686F" w14:paraId="3076C433" w14:textId="77777777">
            <w:pPr>
              <w:ind w:right="-36"/>
              <w:jc w:val="both"/>
              <w:rPr>
                <w:rFonts w:eastAsia="Calibri"/>
                <w:b/>
                <w:sz w:val="20"/>
              </w:rPr>
            </w:pPr>
            <w:r w:rsidRPr="00F3686F">
              <w:rPr>
                <w:rFonts w:eastAsia="Calibri"/>
                <w:b/>
                <w:sz w:val="20"/>
              </w:rPr>
              <w:t>Hispanic</w:t>
            </w:r>
          </w:p>
        </w:tc>
        <w:tc>
          <w:tcPr>
            <w:tcW w:w="535" w:type="pct"/>
            <w:vAlign w:val="center"/>
          </w:tcPr>
          <w:p w:rsidR="00675CC0" w:rsidRPr="00F3686F" w14:paraId="57519777" w14:textId="77777777">
            <w:pPr>
              <w:ind w:right="-36"/>
              <w:jc w:val="both"/>
              <w:rPr>
                <w:rFonts w:eastAsia="Calibri"/>
                <w:b/>
                <w:sz w:val="20"/>
              </w:rPr>
            </w:pPr>
            <w:r w:rsidRPr="00F3686F">
              <w:rPr>
                <w:rFonts w:eastAsia="Calibri"/>
                <w:b/>
                <w:sz w:val="20"/>
              </w:rPr>
              <w:t>Black Non-Hispanic</w:t>
            </w:r>
          </w:p>
        </w:tc>
        <w:tc>
          <w:tcPr>
            <w:tcW w:w="373" w:type="pct"/>
            <w:shd w:val="clear" w:color="auto" w:fill="auto"/>
            <w:vAlign w:val="center"/>
          </w:tcPr>
          <w:p w:rsidR="00675CC0" w:rsidRPr="00F3686F" w14:paraId="702CA03F" w14:textId="77777777">
            <w:pPr>
              <w:ind w:right="-36"/>
              <w:jc w:val="both"/>
              <w:rPr>
                <w:rFonts w:eastAsia="Calibri"/>
                <w:b/>
                <w:sz w:val="20"/>
              </w:rPr>
            </w:pPr>
            <w:r w:rsidRPr="00F3686F">
              <w:rPr>
                <w:rFonts w:eastAsia="Calibri"/>
                <w:b/>
                <w:sz w:val="20"/>
              </w:rPr>
              <w:t>Other</w:t>
            </w:r>
          </w:p>
        </w:tc>
        <w:tc>
          <w:tcPr>
            <w:tcW w:w="490" w:type="pct"/>
            <w:vAlign w:val="center"/>
          </w:tcPr>
          <w:p w:rsidR="00675CC0" w:rsidRPr="00F3686F" w14:paraId="7B0C7FED" w14:textId="77777777">
            <w:pPr>
              <w:ind w:right="-36"/>
              <w:jc w:val="both"/>
              <w:rPr>
                <w:rFonts w:eastAsia="Calibri"/>
                <w:b/>
                <w:sz w:val="20"/>
              </w:rPr>
            </w:pPr>
            <w:r w:rsidRPr="00F3686F">
              <w:rPr>
                <w:rFonts w:eastAsia="Calibri"/>
                <w:b/>
                <w:sz w:val="20"/>
              </w:rPr>
              <w:t>Hispanic</w:t>
            </w:r>
          </w:p>
        </w:tc>
        <w:tc>
          <w:tcPr>
            <w:tcW w:w="490" w:type="pct"/>
            <w:vAlign w:val="center"/>
          </w:tcPr>
          <w:p w:rsidR="00675CC0" w:rsidRPr="00F3686F" w14:paraId="2994AECB" w14:textId="77777777">
            <w:pPr>
              <w:ind w:right="-36"/>
              <w:jc w:val="both"/>
              <w:rPr>
                <w:rFonts w:eastAsia="Calibri"/>
                <w:b/>
                <w:sz w:val="20"/>
              </w:rPr>
            </w:pPr>
            <w:r w:rsidRPr="00F3686F">
              <w:rPr>
                <w:rFonts w:eastAsia="Calibri"/>
                <w:b/>
                <w:sz w:val="20"/>
              </w:rPr>
              <w:t>Black Non-Hispanic</w:t>
            </w:r>
          </w:p>
        </w:tc>
        <w:tc>
          <w:tcPr>
            <w:tcW w:w="369" w:type="pct"/>
            <w:tcBorders>
              <w:right w:val="double" w:sz="4" w:space="0" w:color="auto"/>
            </w:tcBorders>
            <w:vAlign w:val="center"/>
          </w:tcPr>
          <w:p w:rsidR="00675CC0" w:rsidRPr="00F3686F" w14:paraId="480279C9" w14:textId="77777777">
            <w:pPr>
              <w:ind w:right="-36"/>
              <w:jc w:val="both"/>
              <w:rPr>
                <w:rFonts w:eastAsia="Calibri"/>
                <w:b/>
                <w:sz w:val="20"/>
              </w:rPr>
            </w:pPr>
            <w:r w:rsidRPr="00F3686F">
              <w:rPr>
                <w:rFonts w:eastAsia="Calibri"/>
                <w:b/>
                <w:sz w:val="20"/>
              </w:rPr>
              <w:t>Other</w:t>
            </w:r>
          </w:p>
        </w:tc>
        <w:tc>
          <w:tcPr>
            <w:tcW w:w="491" w:type="pct"/>
            <w:tcBorders>
              <w:right w:val="double" w:sz="4" w:space="0" w:color="auto"/>
            </w:tcBorders>
            <w:vAlign w:val="center"/>
          </w:tcPr>
          <w:p w:rsidR="00675CC0" w:rsidRPr="00F3686F" w14:paraId="2206FE45" w14:textId="77777777">
            <w:pPr>
              <w:ind w:right="-36"/>
              <w:jc w:val="both"/>
              <w:rPr>
                <w:rFonts w:eastAsia="Calibri"/>
                <w:b/>
                <w:sz w:val="20"/>
              </w:rPr>
            </w:pPr>
            <w:r w:rsidRPr="00F3686F">
              <w:rPr>
                <w:rFonts w:eastAsia="Calibri"/>
                <w:b/>
                <w:sz w:val="20"/>
              </w:rPr>
              <w:t>Hispanic</w:t>
            </w:r>
          </w:p>
        </w:tc>
        <w:tc>
          <w:tcPr>
            <w:tcW w:w="490" w:type="pct"/>
            <w:tcBorders>
              <w:right w:val="double" w:sz="4" w:space="0" w:color="auto"/>
            </w:tcBorders>
            <w:vAlign w:val="center"/>
          </w:tcPr>
          <w:p w:rsidR="00675CC0" w:rsidRPr="00F3686F" w14:paraId="01556647" w14:textId="77777777">
            <w:pPr>
              <w:ind w:right="-36"/>
              <w:jc w:val="both"/>
              <w:rPr>
                <w:rFonts w:eastAsia="Calibri"/>
                <w:b/>
                <w:sz w:val="20"/>
              </w:rPr>
            </w:pPr>
            <w:r w:rsidRPr="00F3686F">
              <w:rPr>
                <w:rFonts w:eastAsia="Calibri"/>
                <w:b/>
                <w:sz w:val="20"/>
              </w:rPr>
              <w:t>Black Non-Hispanic</w:t>
            </w:r>
          </w:p>
        </w:tc>
        <w:tc>
          <w:tcPr>
            <w:tcW w:w="369" w:type="pct"/>
            <w:tcBorders>
              <w:right w:val="double" w:sz="4" w:space="0" w:color="auto"/>
            </w:tcBorders>
            <w:vAlign w:val="center"/>
          </w:tcPr>
          <w:p w:rsidR="00675CC0" w:rsidRPr="00F3686F" w14:paraId="444150AA" w14:textId="77777777">
            <w:pPr>
              <w:ind w:right="-36"/>
              <w:jc w:val="both"/>
              <w:rPr>
                <w:rFonts w:eastAsia="Calibri"/>
                <w:b/>
                <w:sz w:val="20"/>
              </w:rPr>
            </w:pPr>
            <w:r w:rsidRPr="00F3686F">
              <w:rPr>
                <w:rFonts w:eastAsia="Calibri"/>
                <w:b/>
                <w:sz w:val="20"/>
              </w:rPr>
              <w:t>Other</w:t>
            </w:r>
          </w:p>
        </w:tc>
        <w:tc>
          <w:tcPr>
            <w:tcW w:w="364" w:type="pct"/>
            <w:vMerge/>
            <w:tcBorders>
              <w:left w:val="double" w:sz="4" w:space="0" w:color="auto"/>
            </w:tcBorders>
            <w:vAlign w:val="center"/>
          </w:tcPr>
          <w:p w:rsidR="00675CC0" w:rsidRPr="00F3686F" w14:paraId="18C05D4F" w14:textId="77777777">
            <w:pPr>
              <w:ind w:right="-36"/>
              <w:jc w:val="both"/>
              <w:rPr>
                <w:rFonts w:eastAsia="Calibri"/>
                <w:b/>
                <w:sz w:val="20"/>
              </w:rPr>
            </w:pPr>
          </w:p>
        </w:tc>
      </w:tr>
      <w:tr w14:paraId="191E3AFF" w14:textId="77777777" w:rsidTr="00F3686F">
        <w:tblPrEx>
          <w:tblW w:w="5398" w:type="pct"/>
          <w:tblInd w:w="-195" w:type="dxa"/>
          <w:tblLayout w:type="fixed"/>
          <w:tblLook w:val="04A0"/>
        </w:tblPrEx>
        <w:trPr>
          <w:trHeight w:val="229"/>
        </w:trPr>
        <w:tc>
          <w:tcPr>
            <w:tcW w:w="538" w:type="pct"/>
            <w:shd w:val="clear" w:color="auto" w:fill="auto"/>
          </w:tcPr>
          <w:p w:rsidR="00F3686F" w:rsidRPr="00F3686F" w:rsidP="00F3686F" w14:paraId="6D2EC266" w14:textId="77777777">
            <w:pPr>
              <w:ind w:right="-36"/>
              <w:rPr>
                <w:rFonts w:eastAsia="Calibri"/>
                <w:sz w:val="20"/>
              </w:rPr>
            </w:pPr>
            <w:r w:rsidRPr="00F3686F">
              <w:rPr>
                <w:rFonts w:eastAsia="Calibri"/>
                <w:sz w:val="20"/>
              </w:rPr>
              <w:t>Stayer</w:t>
            </w:r>
          </w:p>
        </w:tc>
        <w:tc>
          <w:tcPr>
            <w:tcW w:w="491" w:type="pct"/>
            <w:shd w:val="clear" w:color="auto" w:fill="auto"/>
            <w:vAlign w:val="center"/>
          </w:tcPr>
          <w:p w:rsidR="00F3686F" w:rsidRPr="00F3686F" w:rsidP="00F3686F" w14:paraId="35E4ADD4" w14:textId="0FFEDD6D">
            <w:pPr>
              <w:ind w:right="-36"/>
              <w:rPr>
                <w:rFonts w:eastAsia="Calibri"/>
                <w:sz w:val="20"/>
              </w:rPr>
            </w:pPr>
            <w:r w:rsidRPr="00F3686F">
              <w:rPr>
                <w:color w:val="000000"/>
                <w:sz w:val="20"/>
              </w:rPr>
              <w:t>258</w:t>
            </w:r>
          </w:p>
        </w:tc>
        <w:tc>
          <w:tcPr>
            <w:tcW w:w="535" w:type="pct"/>
            <w:vAlign w:val="center"/>
          </w:tcPr>
          <w:p w:rsidR="00F3686F" w:rsidRPr="00F3686F" w:rsidP="00F3686F" w14:paraId="20ED71B6" w14:textId="3FEEA279">
            <w:pPr>
              <w:ind w:right="-36"/>
              <w:rPr>
                <w:rFonts w:eastAsia="Calibri"/>
                <w:sz w:val="20"/>
              </w:rPr>
            </w:pPr>
            <w:r w:rsidRPr="00F3686F">
              <w:rPr>
                <w:color w:val="000000"/>
                <w:sz w:val="20"/>
              </w:rPr>
              <w:t>282</w:t>
            </w:r>
          </w:p>
        </w:tc>
        <w:tc>
          <w:tcPr>
            <w:tcW w:w="373" w:type="pct"/>
            <w:shd w:val="clear" w:color="auto" w:fill="auto"/>
            <w:vAlign w:val="center"/>
          </w:tcPr>
          <w:p w:rsidR="00F3686F" w:rsidRPr="00F3686F" w:rsidP="00F3686F" w14:paraId="503028D6" w14:textId="4A98AD69">
            <w:pPr>
              <w:ind w:right="-36"/>
              <w:rPr>
                <w:rFonts w:eastAsia="Calibri"/>
                <w:sz w:val="20"/>
              </w:rPr>
            </w:pPr>
            <w:r w:rsidRPr="00F3686F">
              <w:rPr>
                <w:color w:val="000000"/>
                <w:sz w:val="20"/>
              </w:rPr>
              <w:t>2,085</w:t>
            </w:r>
          </w:p>
        </w:tc>
        <w:tc>
          <w:tcPr>
            <w:tcW w:w="490" w:type="pct"/>
            <w:vAlign w:val="center"/>
          </w:tcPr>
          <w:p w:rsidR="00F3686F" w:rsidRPr="00F3686F" w:rsidP="00F3686F" w14:paraId="629B6BC9" w14:textId="5C76C642">
            <w:pPr>
              <w:ind w:right="-36"/>
              <w:rPr>
                <w:rFonts w:eastAsia="Calibri"/>
                <w:sz w:val="20"/>
              </w:rPr>
            </w:pPr>
            <w:r w:rsidRPr="00F3686F">
              <w:rPr>
                <w:color w:val="000000"/>
                <w:sz w:val="20"/>
              </w:rPr>
              <w:t>106</w:t>
            </w:r>
          </w:p>
        </w:tc>
        <w:tc>
          <w:tcPr>
            <w:tcW w:w="490" w:type="pct"/>
            <w:vAlign w:val="center"/>
          </w:tcPr>
          <w:p w:rsidR="00F3686F" w:rsidRPr="00F3686F" w:rsidP="00F3686F" w14:paraId="7F82FA3F" w14:textId="44360151">
            <w:pPr>
              <w:ind w:right="-36"/>
              <w:rPr>
                <w:rFonts w:eastAsia="Calibri"/>
                <w:sz w:val="20"/>
              </w:rPr>
            </w:pPr>
            <w:r w:rsidRPr="00F3686F">
              <w:rPr>
                <w:color w:val="000000"/>
                <w:sz w:val="20"/>
              </w:rPr>
              <w:t>94</w:t>
            </w:r>
          </w:p>
        </w:tc>
        <w:tc>
          <w:tcPr>
            <w:tcW w:w="369" w:type="pct"/>
            <w:tcBorders>
              <w:right w:val="double" w:sz="4" w:space="0" w:color="auto"/>
            </w:tcBorders>
            <w:vAlign w:val="center"/>
          </w:tcPr>
          <w:p w:rsidR="00F3686F" w:rsidRPr="00F3686F" w:rsidP="00F3686F" w14:paraId="5EC7493B" w14:textId="6095CFB0">
            <w:pPr>
              <w:ind w:right="-36"/>
              <w:rPr>
                <w:rFonts w:eastAsia="Calibri"/>
                <w:sz w:val="20"/>
              </w:rPr>
            </w:pPr>
            <w:r w:rsidRPr="00F3686F">
              <w:rPr>
                <w:color w:val="000000"/>
                <w:sz w:val="20"/>
              </w:rPr>
              <w:t>121</w:t>
            </w:r>
          </w:p>
        </w:tc>
        <w:tc>
          <w:tcPr>
            <w:tcW w:w="491" w:type="pct"/>
            <w:tcBorders>
              <w:right w:val="double" w:sz="4" w:space="0" w:color="auto"/>
            </w:tcBorders>
            <w:vAlign w:val="center"/>
          </w:tcPr>
          <w:p w:rsidR="00F3686F" w:rsidRPr="00F3686F" w:rsidP="00F3686F" w14:paraId="1E515080" w14:textId="797A9BD9">
            <w:pPr>
              <w:ind w:right="-36"/>
              <w:rPr>
                <w:rFonts w:eastAsia="Calibri"/>
                <w:sz w:val="20"/>
              </w:rPr>
            </w:pPr>
            <w:r w:rsidRPr="00F3686F">
              <w:rPr>
                <w:color w:val="000000"/>
                <w:sz w:val="20"/>
              </w:rPr>
              <w:t>181</w:t>
            </w:r>
          </w:p>
        </w:tc>
        <w:tc>
          <w:tcPr>
            <w:tcW w:w="490" w:type="pct"/>
            <w:tcBorders>
              <w:right w:val="double" w:sz="4" w:space="0" w:color="auto"/>
            </w:tcBorders>
            <w:vAlign w:val="center"/>
          </w:tcPr>
          <w:p w:rsidR="00F3686F" w:rsidRPr="00F3686F" w:rsidP="00F3686F" w14:paraId="3089FFD7" w14:textId="62E84F82">
            <w:pPr>
              <w:ind w:right="-36"/>
              <w:rPr>
                <w:rFonts w:eastAsia="Calibri"/>
                <w:sz w:val="20"/>
              </w:rPr>
            </w:pPr>
            <w:r w:rsidRPr="00F3686F">
              <w:rPr>
                <w:color w:val="000000"/>
                <w:sz w:val="20"/>
              </w:rPr>
              <w:t>109</w:t>
            </w:r>
          </w:p>
        </w:tc>
        <w:tc>
          <w:tcPr>
            <w:tcW w:w="369" w:type="pct"/>
            <w:tcBorders>
              <w:right w:val="double" w:sz="4" w:space="0" w:color="auto"/>
            </w:tcBorders>
            <w:vAlign w:val="center"/>
          </w:tcPr>
          <w:p w:rsidR="00F3686F" w:rsidRPr="00F3686F" w:rsidP="00F3686F" w14:paraId="39289D91" w14:textId="3B428A78">
            <w:pPr>
              <w:ind w:right="-36"/>
              <w:rPr>
                <w:rFonts w:eastAsia="Calibri"/>
                <w:sz w:val="20"/>
              </w:rPr>
            </w:pPr>
            <w:r w:rsidRPr="00F3686F">
              <w:rPr>
                <w:color w:val="000000"/>
                <w:sz w:val="20"/>
              </w:rPr>
              <w:t>707</w:t>
            </w:r>
          </w:p>
        </w:tc>
        <w:tc>
          <w:tcPr>
            <w:tcW w:w="364" w:type="pct"/>
            <w:tcBorders>
              <w:left w:val="double" w:sz="4" w:space="0" w:color="auto"/>
            </w:tcBorders>
            <w:vAlign w:val="center"/>
          </w:tcPr>
          <w:p w:rsidR="00F3686F" w:rsidRPr="00F3686F" w:rsidP="00F3686F" w14:paraId="6631A1EF" w14:textId="3FAC0AA4">
            <w:pPr>
              <w:ind w:right="-36"/>
              <w:rPr>
                <w:rFonts w:eastAsia="Calibri"/>
                <w:sz w:val="20"/>
              </w:rPr>
            </w:pPr>
            <w:r w:rsidRPr="00F3686F">
              <w:rPr>
                <w:color w:val="000000"/>
                <w:sz w:val="20"/>
              </w:rPr>
              <w:t>3,943</w:t>
            </w:r>
          </w:p>
        </w:tc>
      </w:tr>
      <w:tr w14:paraId="174CF166" w14:textId="77777777" w:rsidTr="00F3686F">
        <w:tblPrEx>
          <w:tblW w:w="5398" w:type="pct"/>
          <w:tblInd w:w="-195" w:type="dxa"/>
          <w:tblLayout w:type="fixed"/>
          <w:tblLook w:val="04A0"/>
        </w:tblPrEx>
        <w:trPr>
          <w:trHeight w:val="229"/>
        </w:trPr>
        <w:tc>
          <w:tcPr>
            <w:tcW w:w="538" w:type="pct"/>
            <w:shd w:val="clear" w:color="auto" w:fill="auto"/>
          </w:tcPr>
          <w:p w:rsidR="00F3686F" w:rsidRPr="00F3686F" w:rsidP="00F3686F" w14:paraId="37CA1510" w14:textId="77777777">
            <w:pPr>
              <w:ind w:right="-36"/>
              <w:rPr>
                <w:rFonts w:eastAsia="Calibri"/>
                <w:sz w:val="20"/>
              </w:rPr>
            </w:pPr>
            <w:r w:rsidRPr="00F3686F">
              <w:rPr>
                <w:rFonts w:eastAsia="Calibri"/>
                <w:sz w:val="20"/>
              </w:rPr>
              <w:t>Mover</w:t>
            </w:r>
          </w:p>
        </w:tc>
        <w:tc>
          <w:tcPr>
            <w:tcW w:w="491" w:type="pct"/>
            <w:shd w:val="clear" w:color="auto" w:fill="auto"/>
            <w:vAlign w:val="center"/>
          </w:tcPr>
          <w:p w:rsidR="00F3686F" w:rsidRPr="00F3686F" w:rsidP="00F3686F" w14:paraId="5E96EB24" w14:textId="3F816A47">
            <w:pPr>
              <w:ind w:right="-36"/>
              <w:rPr>
                <w:rFonts w:eastAsia="Calibri"/>
                <w:sz w:val="20"/>
              </w:rPr>
            </w:pPr>
            <w:r w:rsidRPr="00F3686F">
              <w:rPr>
                <w:color w:val="000000"/>
                <w:sz w:val="20"/>
              </w:rPr>
              <w:t>132</w:t>
            </w:r>
          </w:p>
        </w:tc>
        <w:tc>
          <w:tcPr>
            <w:tcW w:w="535" w:type="pct"/>
            <w:vAlign w:val="center"/>
          </w:tcPr>
          <w:p w:rsidR="00F3686F" w:rsidRPr="00F3686F" w:rsidP="00F3686F" w14:paraId="5EC7A63C" w14:textId="40DBDBB7">
            <w:pPr>
              <w:ind w:right="-36"/>
              <w:rPr>
                <w:rFonts w:eastAsia="Calibri"/>
                <w:sz w:val="20"/>
              </w:rPr>
            </w:pPr>
            <w:r w:rsidRPr="00F3686F">
              <w:rPr>
                <w:color w:val="000000"/>
                <w:sz w:val="20"/>
              </w:rPr>
              <w:t>88</w:t>
            </w:r>
          </w:p>
        </w:tc>
        <w:tc>
          <w:tcPr>
            <w:tcW w:w="373" w:type="pct"/>
            <w:shd w:val="clear" w:color="auto" w:fill="auto"/>
            <w:vAlign w:val="center"/>
          </w:tcPr>
          <w:p w:rsidR="00F3686F" w:rsidRPr="00F3686F" w:rsidP="00F3686F" w14:paraId="2C4123B0" w14:textId="5E41646B">
            <w:pPr>
              <w:ind w:right="-36"/>
              <w:rPr>
                <w:rFonts w:eastAsia="Calibri"/>
                <w:sz w:val="20"/>
              </w:rPr>
            </w:pPr>
            <w:r w:rsidRPr="00F3686F">
              <w:rPr>
                <w:color w:val="000000"/>
                <w:sz w:val="20"/>
              </w:rPr>
              <w:t>1,742</w:t>
            </w:r>
          </w:p>
        </w:tc>
        <w:tc>
          <w:tcPr>
            <w:tcW w:w="490" w:type="pct"/>
            <w:vAlign w:val="center"/>
          </w:tcPr>
          <w:p w:rsidR="00F3686F" w:rsidRPr="00F3686F" w:rsidP="00F3686F" w14:paraId="5A02F33F" w14:textId="53A0C9C9">
            <w:pPr>
              <w:ind w:right="-36"/>
              <w:rPr>
                <w:rFonts w:eastAsia="Calibri"/>
                <w:sz w:val="20"/>
              </w:rPr>
            </w:pPr>
            <w:r w:rsidRPr="00F3686F">
              <w:rPr>
                <w:color w:val="000000"/>
                <w:sz w:val="20"/>
              </w:rPr>
              <w:t>35</w:t>
            </w:r>
          </w:p>
        </w:tc>
        <w:tc>
          <w:tcPr>
            <w:tcW w:w="490" w:type="pct"/>
            <w:vAlign w:val="center"/>
          </w:tcPr>
          <w:p w:rsidR="00F3686F" w:rsidRPr="00F3686F" w:rsidP="00F3686F" w14:paraId="3E3AAFB3" w14:textId="66DD5278">
            <w:pPr>
              <w:ind w:right="-36"/>
              <w:rPr>
                <w:rFonts w:eastAsia="Calibri"/>
                <w:sz w:val="20"/>
              </w:rPr>
            </w:pPr>
            <w:r w:rsidRPr="00F3686F">
              <w:rPr>
                <w:color w:val="000000"/>
                <w:sz w:val="20"/>
              </w:rPr>
              <w:t>22</w:t>
            </w:r>
          </w:p>
        </w:tc>
        <w:tc>
          <w:tcPr>
            <w:tcW w:w="369" w:type="pct"/>
            <w:tcBorders>
              <w:right w:val="double" w:sz="4" w:space="0" w:color="auto"/>
            </w:tcBorders>
            <w:vAlign w:val="center"/>
          </w:tcPr>
          <w:p w:rsidR="00F3686F" w:rsidRPr="00F3686F" w:rsidP="00F3686F" w14:paraId="6C732A82" w14:textId="6E4D868D">
            <w:pPr>
              <w:ind w:right="-36"/>
              <w:rPr>
                <w:rFonts w:eastAsia="Calibri"/>
                <w:sz w:val="20"/>
              </w:rPr>
            </w:pPr>
            <w:r w:rsidRPr="00F3686F">
              <w:rPr>
                <w:color w:val="000000"/>
                <w:sz w:val="20"/>
              </w:rPr>
              <w:t>230</w:t>
            </w:r>
          </w:p>
        </w:tc>
        <w:tc>
          <w:tcPr>
            <w:tcW w:w="491" w:type="pct"/>
            <w:tcBorders>
              <w:right w:val="double" w:sz="4" w:space="0" w:color="auto"/>
            </w:tcBorders>
            <w:vAlign w:val="center"/>
          </w:tcPr>
          <w:p w:rsidR="00F3686F" w:rsidRPr="00F3686F" w:rsidP="00F3686F" w14:paraId="1932BE2E" w14:textId="6FB9C845">
            <w:pPr>
              <w:ind w:right="-36"/>
              <w:rPr>
                <w:rFonts w:eastAsia="Calibri"/>
                <w:sz w:val="20"/>
              </w:rPr>
            </w:pPr>
            <w:r w:rsidRPr="00F3686F">
              <w:rPr>
                <w:color w:val="000000"/>
                <w:sz w:val="20"/>
              </w:rPr>
              <w:t>17</w:t>
            </w:r>
          </w:p>
        </w:tc>
        <w:tc>
          <w:tcPr>
            <w:tcW w:w="490" w:type="pct"/>
            <w:tcBorders>
              <w:right w:val="double" w:sz="4" w:space="0" w:color="auto"/>
            </w:tcBorders>
            <w:vAlign w:val="center"/>
          </w:tcPr>
          <w:p w:rsidR="00F3686F" w:rsidRPr="00F3686F" w:rsidP="00F3686F" w14:paraId="4AB6B56A" w14:textId="053F09B8">
            <w:pPr>
              <w:ind w:right="-36"/>
              <w:rPr>
                <w:rFonts w:eastAsia="Calibri"/>
                <w:sz w:val="20"/>
              </w:rPr>
            </w:pPr>
            <w:r w:rsidRPr="00F3686F">
              <w:rPr>
                <w:color w:val="000000"/>
                <w:sz w:val="20"/>
              </w:rPr>
              <w:t>6</w:t>
            </w:r>
          </w:p>
        </w:tc>
        <w:tc>
          <w:tcPr>
            <w:tcW w:w="369" w:type="pct"/>
            <w:tcBorders>
              <w:right w:val="double" w:sz="4" w:space="0" w:color="auto"/>
            </w:tcBorders>
            <w:vAlign w:val="center"/>
          </w:tcPr>
          <w:p w:rsidR="00F3686F" w:rsidRPr="00F3686F" w:rsidP="00F3686F" w14:paraId="5E5A8104" w14:textId="02C6F138">
            <w:pPr>
              <w:ind w:right="-36"/>
              <w:rPr>
                <w:rFonts w:eastAsia="Calibri"/>
                <w:sz w:val="20"/>
              </w:rPr>
            </w:pPr>
            <w:r w:rsidRPr="00F3686F">
              <w:rPr>
                <w:color w:val="000000"/>
                <w:sz w:val="20"/>
              </w:rPr>
              <w:t>149</w:t>
            </w:r>
          </w:p>
        </w:tc>
        <w:tc>
          <w:tcPr>
            <w:tcW w:w="364" w:type="pct"/>
            <w:tcBorders>
              <w:left w:val="double" w:sz="4" w:space="0" w:color="auto"/>
            </w:tcBorders>
            <w:vAlign w:val="center"/>
          </w:tcPr>
          <w:p w:rsidR="00F3686F" w:rsidRPr="00F3686F" w:rsidP="00F3686F" w14:paraId="51146AAB" w14:textId="4621139D">
            <w:pPr>
              <w:ind w:right="-36"/>
              <w:rPr>
                <w:rFonts w:eastAsia="Calibri"/>
                <w:sz w:val="20"/>
              </w:rPr>
            </w:pPr>
            <w:r w:rsidRPr="00F3686F">
              <w:rPr>
                <w:color w:val="000000"/>
                <w:sz w:val="20"/>
              </w:rPr>
              <w:t>2,421</w:t>
            </w:r>
          </w:p>
        </w:tc>
      </w:tr>
      <w:tr w14:paraId="790B9ED6" w14:textId="77777777" w:rsidTr="00F3686F">
        <w:tblPrEx>
          <w:tblW w:w="5398" w:type="pct"/>
          <w:tblInd w:w="-195" w:type="dxa"/>
          <w:tblLayout w:type="fixed"/>
          <w:tblLook w:val="04A0"/>
        </w:tblPrEx>
        <w:trPr>
          <w:trHeight w:val="229"/>
        </w:trPr>
        <w:tc>
          <w:tcPr>
            <w:tcW w:w="538" w:type="pct"/>
            <w:shd w:val="clear" w:color="auto" w:fill="auto"/>
          </w:tcPr>
          <w:p w:rsidR="00F3686F" w:rsidRPr="00F3686F" w:rsidP="00F3686F" w14:paraId="7DD59045" w14:textId="77777777">
            <w:pPr>
              <w:ind w:right="-36"/>
              <w:rPr>
                <w:rFonts w:eastAsia="Calibri"/>
                <w:sz w:val="20"/>
              </w:rPr>
            </w:pPr>
            <w:r w:rsidRPr="00F3686F">
              <w:rPr>
                <w:rFonts w:eastAsia="Calibri"/>
                <w:sz w:val="20"/>
              </w:rPr>
              <w:t>Leaver</w:t>
            </w:r>
          </w:p>
        </w:tc>
        <w:tc>
          <w:tcPr>
            <w:tcW w:w="491" w:type="pct"/>
            <w:shd w:val="clear" w:color="auto" w:fill="auto"/>
            <w:vAlign w:val="center"/>
          </w:tcPr>
          <w:p w:rsidR="00F3686F" w:rsidRPr="00F3686F" w:rsidP="00F3686F" w14:paraId="050CAC71" w14:textId="62D6EACD">
            <w:pPr>
              <w:ind w:right="-36"/>
              <w:rPr>
                <w:rFonts w:eastAsia="Calibri"/>
                <w:sz w:val="20"/>
              </w:rPr>
            </w:pPr>
            <w:r w:rsidRPr="00F3686F">
              <w:rPr>
                <w:color w:val="000000"/>
                <w:sz w:val="20"/>
              </w:rPr>
              <w:t>62</w:t>
            </w:r>
          </w:p>
        </w:tc>
        <w:tc>
          <w:tcPr>
            <w:tcW w:w="535" w:type="pct"/>
            <w:vAlign w:val="center"/>
          </w:tcPr>
          <w:p w:rsidR="00F3686F" w:rsidRPr="00F3686F" w:rsidP="00F3686F" w14:paraId="52402AD0" w14:textId="4D88DA90">
            <w:pPr>
              <w:ind w:right="-36"/>
              <w:rPr>
                <w:rFonts w:eastAsia="Calibri"/>
                <w:sz w:val="20"/>
              </w:rPr>
            </w:pPr>
            <w:r w:rsidRPr="00F3686F">
              <w:rPr>
                <w:color w:val="000000"/>
                <w:sz w:val="20"/>
              </w:rPr>
              <w:t>42</w:t>
            </w:r>
          </w:p>
        </w:tc>
        <w:tc>
          <w:tcPr>
            <w:tcW w:w="373" w:type="pct"/>
            <w:shd w:val="clear" w:color="auto" w:fill="auto"/>
            <w:vAlign w:val="center"/>
          </w:tcPr>
          <w:p w:rsidR="00F3686F" w:rsidRPr="00F3686F" w:rsidP="00F3686F" w14:paraId="02B75D82" w14:textId="0DB63D75">
            <w:pPr>
              <w:ind w:right="-36"/>
              <w:rPr>
                <w:rFonts w:eastAsia="Calibri"/>
                <w:sz w:val="20"/>
              </w:rPr>
            </w:pPr>
            <w:r w:rsidRPr="00F3686F">
              <w:rPr>
                <w:color w:val="000000"/>
                <w:sz w:val="20"/>
              </w:rPr>
              <w:t>997</w:t>
            </w:r>
          </w:p>
        </w:tc>
        <w:tc>
          <w:tcPr>
            <w:tcW w:w="490" w:type="pct"/>
            <w:vAlign w:val="center"/>
          </w:tcPr>
          <w:p w:rsidR="00F3686F" w:rsidRPr="00F3686F" w:rsidP="00F3686F" w14:paraId="4F8B05F0" w14:textId="5A6A0EDE">
            <w:pPr>
              <w:ind w:right="-36"/>
              <w:rPr>
                <w:rFonts w:eastAsia="Calibri"/>
                <w:sz w:val="20"/>
              </w:rPr>
            </w:pPr>
            <w:r w:rsidRPr="00F3686F">
              <w:rPr>
                <w:color w:val="000000"/>
                <w:sz w:val="20"/>
              </w:rPr>
              <w:t>24</w:t>
            </w:r>
          </w:p>
        </w:tc>
        <w:tc>
          <w:tcPr>
            <w:tcW w:w="490" w:type="pct"/>
            <w:vAlign w:val="center"/>
          </w:tcPr>
          <w:p w:rsidR="00F3686F" w:rsidRPr="00F3686F" w:rsidP="00F3686F" w14:paraId="236FAD7F" w14:textId="53B1C1D3">
            <w:pPr>
              <w:ind w:right="-36"/>
              <w:rPr>
                <w:rFonts w:eastAsia="Calibri"/>
                <w:sz w:val="20"/>
              </w:rPr>
            </w:pPr>
            <w:r w:rsidRPr="00F3686F">
              <w:rPr>
                <w:color w:val="000000"/>
                <w:sz w:val="20"/>
              </w:rPr>
              <w:t>12</w:t>
            </w:r>
          </w:p>
        </w:tc>
        <w:tc>
          <w:tcPr>
            <w:tcW w:w="369" w:type="pct"/>
            <w:tcBorders>
              <w:right w:val="double" w:sz="4" w:space="0" w:color="auto"/>
            </w:tcBorders>
            <w:vAlign w:val="center"/>
          </w:tcPr>
          <w:p w:rsidR="00F3686F" w:rsidRPr="00F3686F" w:rsidP="00F3686F" w14:paraId="0E5F9B6F" w14:textId="2F2FB37A">
            <w:pPr>
              <w:ind w:right="-36"/>
              <w:rPr>
                <w:rFonts w:eastAsia="Calibri"/>
                <w:sz w:val="20"/>
              </w:rPr>
            </w:pPr>
            <w:r w:rsidRPr="00F3686F">
              <w:rPr>
                <w:color w:val="000000"/>
                <w:sz w:val="20"/>
              </w:rPr>
              <w:t>121</w:t>
            </w:r>
          </w:p>
        </w:tc>
        <w:tc>
          <w:tcPr>
            <w:tcW w:w="491" w:type="pct"/>
            <w:tcBorders>
              <w:right w:val="double" w:sz="4" w:space="0" w:color="auto"/>
            </w:tcBorders>
            <w:vAlign w:val="center"/>
          </w:tcPr>
          <w:p w:rsidR="00F3686F" w:rsidRPr="00F3686F" w:rsidP="00F3686F" w14:paraId="04DAB0F1" w14:textId="4544E365">
            <w:pPr>
              <w:ind w:right="-36"/>
              <w:rPr>
                <w:rFonts w:eastAsia="Calibri"/>
                <w:sz w:val="20"/>
              </w:rPr>
            </w:pPr>
            <w:r w:rsidRPr="00F3686F">
              <w:rPr>
                <w:color w:val="000000"/>
                <w:sz w:val="20"/>
              </w:rPr>
              <w:t>18</w:t>
            </w:r>
          </w:p>
        </w:tc>
        <w:tc>
          <w:tcPr>
            <w:tcW w:w="490" w:type="pct"/>
            <w:tcBorders>
              <w:right w:val="double" w:sz="4" w:space="0" w:color="auto"/>
            </w:tcBorders>
            <w:vAlign w:val="center"/>
          </w:tcPr>
          <w:p w:rsidR="00F3686F" w:rsidRPr="00F3686F" w:rsidP="00F3686F" w14:paraId="54C2C931" w14:textId="5E648300">
            <w:pPr>
              <w:ind w:right="-36"/>
              <w:rPr>
                <w:rFonts w:eastAsia="Calibri"/>
                <w:sz w:val="20"/>
              </w:rPr>
            </w:pPr>
            <w:r w:rsidRPr="00F3686F">
              <w:rPr>
                <w:color w:val="000000"/>
                <w:sz w:val="20"/>
              </w:rPr>
              <w:t>10</w:t>
            </w:r>
          </w:p>
        </w:tc>
        <w:tc>
          <w:tcPr>
            <w:tcW w:w="369" w:type="pct"/>
            <w:tcBorders>
              <w:right w:val="double" w:sz="4" w:space="0" w:color="auto"/>
            </w:tcBorders>
            <w:vAlign w:val="center"/>
          </w:tcPr>
          <w:p w:rsidR="00F3686F" w:rsidRPr="00F3686F" w:rsidP="00F3686F" w14:paraId="4FAD4D1E" w14:textId="252099BB">
            <w:pPr>
              <w:ind w:right="-36"/>
              <w:rPr>
                <w:rFonts w:eastAsia="Calibri"/>
                <w:sz w:val="20"/>
              </w:rPr>
            </w:pPr>
            <w:r w:rsidRPr="00F3686F">
              <w:rPr>
                <w:color w:val="000000"/>
                <w:sz w:val="20"/>
              </w:rPr>
              <w:t>184</w:t>
            </w:r>
          </w:p>
        </w:tc>
        <w:tc>
          <w:tcPr>
            <w:tcW w:w="364" w:type="pct"/>
            <w:tcBorders>
              <w:left w:val="double" w:sz="4" w:space="0" w:color="auto"/>
            </w:tcBorders>
            <w:vAlign w:val="center"/>
          </w:tcPr>
          <w:p w:rsidR="00F3686F" w:rsidRPr="00F3686F" w:rsidP="00F3686F" w14:paraId="46745C74" w14:textId="7DFA464C">
            <w:pPr>
              <w:ind w:right="-36"/>
              <w:rPr>
                <w:rFonts w:eastAsia="Calibri"/>
                <w:sz w:val="20"/>
              </w:rPr>
            </w:pPr>
            <w:r w:rsidRPr="00F3686F">
              <w:rPr>
                <w:color w:val="000000"/>
                <w:sz w:val="20"/>
              </w:rPr>
              <w:t>1,470</w:t>
            </w:r>
          </w:p>
        </w:tc>
      </w:tr>
      <w:tr w14:paraId="1B6A00CF" w14:textId="77777777" w:rsidTr="00F3686F">
        <w:tblPrEx>
          <w:tblW w:w="5398" w:type="pct"/>
          <w:tblInd w:w="-195" w:type="dxa"/>
          <w:tblLayout w:type="fixed"/>
          <w:tblLook w:val="04A0"/>
        </w:tblPrEx>
        <w:trPr>
          <w:trHeight w:val="229"/>
        </w:trPr>
        <w:tc>
          <w:tcPr>
            <w:tcW w:w="538" w:type="pct"/>
            <w:tcBorders>
              <w:bottom w:val="double" w:sz="4" w:space="0" w:color="auto"/>
            </w:tcBorders>
            <w:shd w:val="clear" w:color="auto" w:fill="auto"/>
          </w:tcPr>
          <w:p w:rsidR="00F3686F" w:rsidRPr="00F3686F" w:rsidP="00F3686F" w14:paraId="4DD969A2" w14:textId="77777777">
            <w:pPr>
              <w:ind w:right="-36"/>
              <w:rPr>
                <w:rFonts w:eastAsia="Calibri"/>
                <w:sz w:val="20"/>
              </w:rPr>
            </w:pPr>
            <w:r w:rsidRPr="00F3686F">
              <w:rPr>
                <w:rFonts w:eastAsia="Calibri"/>
                <w:sz w:val="20"/>
              </w:rPr>
              <w:t>Unknown</w:t>
            </w:r>
          </w:p>
        </w:tc>
        <w:tc>
          <w:tcPr>
            <w:tcW w:w="491" w:type="pct"/>
            <w:tcBorders>
              <w:bottom w:val="double" w:sz="4" w:space="0" w:color="auto"/>
            </w:tcBorders>
            <w:shd w:val="clear" w:color="auto" w:fill="auto"/>
            <w:vAlign w:val="center"/>
          </w:tcPr>
          <w:p w:rsidR="00F3686F" w:rsidRPr="00F3686F" w:rsidP="00F3686F" w14:paraId="28B6494A" w14:textId="69FA9F79">
            <w:pPr>
              <w:ind w:right="-36"/>
              <w:rPr>
                <w:rFonts w:eastAsia="Calibri"/>
                <w:sz w:val="20"/>
              </w:rPr>
            </w:pPr>
            <w:r w:rsidRPr="00F3686F">
              <w:rPr>
                <w:color w:val="000000"/>
                <w:sz w:val="20"/>
              </w:rPr>
              <w:t>185</w:t>
            </w:r>
          </w:p>
        </w:tc>
        <w:tc>
          <w:tcPr>
            <w:tcW w:w="535" w:type="pct"/>
            <w:tcBorders>
              <w:bottom w:val="double" w:sz="4" w:space="0" w:color="auto"/>
            </w:tcBorders>
            <w:vAlign w:val="center"/>
          </w:tcPr>
          <w:p w:rsidR="00F3686F" w:rsidRPr="00F3686F" w:rsidP="00F3686F" w14:paraId="742662C3" w14:textId="1635B369">
            <w:pPr>
              <w:ind w:right="-36"/>
              <w:rPr>
                <w:rFonts w:eastAsia="Calibri"/>
                <w:sz w:val="20"/>
              </w:rPr>
            </w:pPr>
            <w:r w:rsidRPr="00F3686F">
              <w:rPr>
                <w:color w:val="000000"/>
                <w:sz w:val="20"/>
              </w:rPr>
              <w:t>122</w:t>
            </w:r>
          </w:p>
        </w:tc>
        <w:tc>
          <w:tcPr>
            <w:tcW w:w="373" w:type="pct"/>
            <w:tcBorders>
              <w:bottom w:val="double" w:sz="4" w:space="0" w:color="auto"/>
            </w:tcBorders>
            <w:shd w:val="clear" w:color="auto" w:fill="auto"/>
            <w:vAlign w:val="center"/>
          </w:tcPr>
          <w:p w:rsidR="00F3686F" w:rsidRPr="00F3686F" w:rsidP="00F3686F" w14:paraId="7FA7CC98" w14:textId="23606A27">
            <w:pPr>
              <w:ind w:right="-36"/>
              <w:rPr>
                <w:rFonts w:eastAsia="Calibri"/>
                <w:sz w:val="20"/>
              </w:rPr>
            </w:pPr>
            <w:r w:rsidRPr="00F3686F">
              <w:rPr>
                <w:color w:val="000000"/>
                <w:sz w:val="20"/>
              </w:rPr>
              <w:t>1,632</w:t>
            </w:r>
          </w:p>
        </w:tc>
        <w:tc>
          <w:tcPr>
            <w:tcW w:w="490" w:type="pct"/>
            <w:tcBorders>
              <w:bottom w:val="double" w:sz="4" w:space="0" w:color="auto"/>
            </w:tcBorders>
            <w:vAlign w:val="center"/>
          </w:tcPr>
          <w:p w:rsidR="00F3686F" w:rsidRPr="00F3686F" w:rsidP="00F3686F" w14:paraId="6360E9DD" w14:textId="31C9353D">
            <w:pPr>
              <w:ind w:right="-36"/>
              <w:rPr>
                <w:rFonts w:eastAsia="Calibri"/>
                <w:sz w:val="20"/>
              </w:rPr>
            </w:pPr>
            <w:r w:rsidRPr="00F3686F">
              <w:rPr>
                <w:color w:val="000000"/>
                <w:sz w:val="20"/>
              </w:rPr>
              <w:t>45</w:t>
            </w:r>
          </w:p>
        </w:tc>
        <w:tc>
          <w:tcPr>
            <w:tcW w:w="490" w:type="pct"/>
            <w:tcBorders>
              <w:bottom w:val="double" w:sz="4" w:space="0" w:color="auto"/>
            </w:tcBorders>
            <w:vAlign w:val="center"/>
          </w:tcPr>
          <w:p w:rsidR="00F3686F" w:rsidRPr="00F3686F" w:rsidP="00F3686F" w14:paraId="17F8ACDD" w14:textId="65659BA2">
            <w:pPr>
              <w:ind w:right="-36"/>
              <w:rPr>
                <w:rFonts w:eastAsia="Calibri"/>
                <w:sz w:val="20"/>
              </w:rPr>
            </w:pPr>
            <w:r w:rsidRPr="00F3686F">
              <w:rPr>
                <w:color w:val="000000"/>
                <w:sz w:val="20"/>
              </w:rPr>
              <w:t>41</w:t>
            </w:r>
          </w:p>
        </w:tc>
        <w:tc>
          <w:tcPr>
            <w:tcW w:w="369" w:type="pct"/>
            <w:tcBorders>
              <w:bottom w:val="double" w:sz="4" w:space="0" w:color="auto"/>
              <w:right w:val="double" w:sz="4" w:space="0" w:color="auto"/>
            </w:tcBorders>
            <w:vAlign w:val="center"/>
          </w:tcPr>
          <w:p w:rsidR="00F3686F" w:rsidRPr="00F3686F" w:rsidP="00F3686F" w14:paraId="3A0C4B24" w14:textId="54052AA8">
            <w:pPr>
              <w:ind w:right="-36"/>
              <w:rPr>
                <w:rFonts w:eastAsia="Calibri"/>
                <w:sz w:val="20"/>
              </w:rPr>
            </w:pPr>
            <w:r w:rsidRPr="00F3686F">
              <w:rPr>
                <w:color w:val="000000"/>
                <w:sz w:val="20"/>
              </w:rPr>
              <w:t>309</w:t>
            </w:r>
          </w:p>
        </w:tc>
        <w:tc>
          <w:tcPr>
            <w:tcW w:w="491" w:type="pct"/>
            <w:tcBorders>
              <w:bottom w:val="double" w:sz="4" w:space="0" w:color="auto"/>
              <w:right w:val="double" w:sz="4" w:space="0" w:color="auto"/>
            </w:tcBorders>
            <w:vAlign w:val="center"/>
          </w:tcPr>
          <w:p w:rsidR="00F3686F" w:rsidRPr="00F3686F" w:rsidP="00F3686F" w14:paraId="04AB680B" w14:textId="7ED47BEB">
            <w:pPr>
              <w:ind w:right="-36"/>
              <w:rPr>
                <w:rFonts w:eastAsia="Calibri"/>
                <w:sz w:val="20"/>
              </w:rPr>
            </w:pPr>
            <w:r w:rsidRPr="00F3686F">
              <w:rPr>
                <w:color w:val="000000"/>
                <w:sz w:val="20"/>
              </w:rPr>
              <w:t>36</w:t>
            </w:r>
          </w:p>
        </w:tc>
        <w:tc>
          <w:tcPr>
            <w:tcW w:w="490" w:type="pct"/>
            <w:tcBorders>
              <w:bottom w:val="double" w:sz="4" w:space="0" w:color="auto"/>
              <w:right w:val="double" w:sz="4" w:space="0" w:color="auto"/>
            </w:tcBorders>
            <w:vAlign w:val="center"/>
          </w:tcPr>
          <w:p w:rsidR="00F3686F" w:rsidRPr="00F3686F" w:rsidP="00F3686F" w14:paraId="3EC317CE" w14:textId="510288D1">
            <w:pPr>
              <w:ind w:right="-36"/>
              <w:rPr>
                <w:rFonts w:eastAsia="Calibri"/>
                <w:sz w:val="20"/>
              </w:rPr>
            </w:pPr>
            <w:r w:rsidRPr="00F3686F">
              <w:rPr>
                <w:color w:val="000000"/>
                <w:sz w:val="20"/>
              </w:rPr>
              <w:t>15</w:t>
            </w:r>
          </w:p>
        </w:tc>
        <w:tc>
          <w:tcPr>
            <w:tcW w:w="369" w:type="pct"/>
            <w:tcBorders>
              <w:bottom w:val="double" w:sz="4" w:space="0" w:color="auto"/>
              <w:right w:val="double" w:sz="4" w:space="0" w:color="auto"/>
            </w:tcBorders>
            <w:vAlign w:val="center"/>
          </w:tcPr>
          <w:p w:rsidR="00F3686F" w:rsidRPr="00F3686F" w:rsidP="00F3686F" w14:paraId="5D75214F" w14:textId="6EB6711A">
            <w:pPr>
              <w:ind w:right="-36"/>
              <w:rPr>
                <w:rFonts w:eastAsia="Calibri"/>
                <w:sz w:val="20"/>
              </w:rPr>
            </w:pPr>
            <w:r w:rsidRPr="00F3686F">
              <w:rPr>
                <w:color w:val="000000"/>
                <w:sz w:val="20"/>
              </w:rPr>
              <w:t>246</w:t>
            </w:r>
          </w:p>
        </w:tc>
        <w:tc>
          <w:tcPr>
            <w:tcW w:w="364" w:type="pct"/>
            <w:tcBorders>
              <w:left w:val="double" w:sz="4" w:space="0" w:color="auto"/>
              <w:bottom w:val="double" w:sz="4" w:space="0" w:color="auto"/>
            </w:tcBorders>
            <w:vAlign w:val="center"/>
          </w:tcPr>
          <w:p w:rsidR="00F3686F" w:rsidRPr="00F3686F" w:rsidP="00F3686F" w14:paraId="718BCDFB" w14:textId="0567D0C4">
            <w:pPr>
              <w:ind w:right="-36"/>
              <w:rPr>
                <w:rFonts w:eastAsia="Calibri"/>
                <w:sz w:val="20"/>
              </w:rPr>
            </w:pPr>
            <w:r w:rsidRPr="00F3686F">
              <w:rPr>
                <w:color w:val="000000"/>
                <w:sz w:val="20"/>
              </w:rPr>
              <w:t>2,631</w:t>
            </w:r>
          </w:p>
        </w:tc>
      </w:tr>
      <w:tr w14:paraId="77390CC4" w14:textId="77777777" w:rsidTr="00F3686F">
        <w:tblPrEx>
          <w:tblW w:w="5398" w:type="pct"/>
          <w:tblInd w:w="-195" w:type="dxa"/>
          <w:tblLayout w:type="fixed"/>
          <w:tblLook w:val="04A0"/>
        </w:tblPrEx>
        <w:trPr>
          <w:trHeight w:val="229"/>
        </w:trPr>
        <w:tc>
          <w:tcPr>
            <w:tcW w:w="538" w:type="pct"/>
            <w:tcBorders>
              <w:top w:val="double" w:sz="4" w:space="0" w:color="auto"/>
              <w:bottom w:val="double" w:sz="4" w:space="0" w:color="auto"/>
            </w:tcBorders>
            <w:shd w:val="clear" w:color="auto" w:fill="auto"/>
          </w:tcPr>
          <w:p w:rsidR="00F3686F" w:rsidRPr="00F3686F" w:rsidP="00F3686F" w14:paraId="4CADCAF5" w14:textId="77777777">
            <w:pPr>
              <w:ind w:right="-36"/>
              <w:rPr>
                <w:rFonts w:eastAsia="Calibri"/>
                <w:b/>
                <w:sz w:val="20"/>
              </w:rPr>
            </w:pPr>
            <w:r w:rsidRPr="00F3686F">
              <w:rPr>
                <w:rFonts w:eastAsia="Calibri"/>
                <w:b/>
                <w:sz w:val="20"/>
              </w:rPr>
              <w:t>Total</w:t>
            </w:r>
          </w:p>
        </w:tc>
        <w:tc>
          <w:tcPr>
            <w:tcW w:w="491" w:type="pct"/>
            <w:tcBorders>
              <w:top w:val="double" w:sz="4" w:space="0" w:color="auto"/>
              <w:bottom w:val="double" w:sz="4" w:space="0" w:color="auto"/>
            </w:tcBorders>
            <w:shd w:val="clear" w:color="auto" w:fill="auto"/>
            <w:vAlign w:val="center"/>
          </w:tcPr>
          <w:p w:rsidR="00F3686F" w:rsidRPr="00F3686F" w:rsidP="00F3686F" w14:paraId="424FF6F7" w14:textId="4EC4DF77">
            <w:pPr>
              <w:ind w:right="-36"/>
              <w:rPr>
                <w:rFonts w:eastAsia="Calibri"/>
                <w:sz w:val="20"/>
              </w:rPr>
            </w:pPr>
            <w:r w:rsidRPr="00F3686F">
              <w:rPr>
                <w:color w:val="000000"/>
                <w:sz w:val="20"/>
              </w:rPr>
              <w:t>637</w:t>
            </w:r>
          </w:p>
        </w:tc>
        <w:tc>
          <w:tcPr>
            <w:tcW w:w="535" w:type="pct"/>
            <w:tcBorders>
              <w:top w:val="double" w:sz="4" w:space="0" w:color="auto"/>
              <w:bottom w:val="double" w:sz="4" w:space="0" w:color="auto"/>
            </w:tcBorders>
            <w:vAlign w:val="center"/>
          </w:tcPr>
          <w:p w:rsidR="00F3686F" w:rsidRPr="00F3686F" w:rsidP="00F3686F" w14:paraId="10C23308" w14:textId="2530889B">
            <w:pPr>
              <w:ind w:right="-36"/>
              <w:rPr>
                <w:rFonts w:eastAsia="Calibri"/>
                <w:sz w:val="20"/>
              </w:rPr>
            </w:pPr>
            <w:r w:rsidRPr="00F3686F">
              <w:rPr>
                <w:color w:val="000000"/>
                <w:sz w:val="20"/>
              </w:rPr>
              <w:t>534</w:t>
            </w:r>
          </w:p>
        </w:tc>
        <w:tc>
          <w:tcPr>
            <w:tcW w:w="373" w:type="pct"/>
            <w:tcBorders>
              <w:top w:val="double" w:sz="4" w:space="0" w:color="auto"/>
              <w:bottom w:val="double" w:sz="4" w:space="0" w:color="auto"/>
            </w:tcBorders>
            <w:shd w:val="clear" w:color="auto" w:fill="auto"/>
            <w:vAlign w:val="center"/>
          </w:tcPr>
          <w:p w:rsidR="00F3686F" w:rsidRPr="00F3686F" w:rsidP="00F3686F" w14:paraId="052C7075" w14:textId="44D519EF">
            <w:pPr>
              <w:ind w:right="-36"/>
              <w:rPr>
                <w:rFonts w:eastAsia="Calibri"/>
                <w:sz w:val="20"/>
              </w:rPr>
            </w:pPr>
            <w:r w:rsidRPr="00F3686F">
              <w:rPr>
                <w:color w:val="000000"/>
                <w:sz w:val="20"/>
              </w:rPr>
              <w:t>6,456</w:t>
            </w:r>
          </w:p>
        </w:tc>
        <w:tc>
          <w:tcPr>
            <w:tcW w:w="490" w:type="pct"/>
            <w:tcBorders>
              <w:top w:val="double" w:sz="4" w:space="0" w:color="auto"/>
              <w:bottom w:val="double" w:sz="4" w:space="0" w:color="auto"/>
            </w:tcBorders>
            <w:vAlign w:val="center"/>
          </w:tcPr>
          <w:p w:rsidR="00F3686F" w:rsidRPr="00F3686F" w:rsidP="00F3686F" w14:paraId="14E2F4F9" w14:textId="0F0C2FCB">
            <w:pPr>
              <w:ind w:right="-36"/>
              <w:rPr>
                <w:rFonts w:eastAsia="Calibri"/>
                <w:sz w:val="20"/>
              </w:rPr>
            </w:pPr>
            <w:r w:rsidRPr="00F3686F">
              <w:rPr>
                <w:color w:val="000000"/>
                <w:sz w:val="20"/>
              </w:rPr>
              <w:t>210</w:t>
            </w:r>
          </w:p>
        </w:tc>
        <w:tc>
          <w:tcPr>
            <w:tcW w:w="490" w:type="pct"/>
            <w:tcBorders>
              <w:top w:val="double" w:sz="4" w:space="0" w:color="auto"/>
              <w:bottom w:val="double" w:sz="4" w:space="0" w:color="auto"/>
            </w:tcBorders>
            <w:vAlign w:val="center"/>
          </w:tcPr>
          <w:p w:rsidR="00F3686F" w:rsidRPr="00F3686F" w:rsidP="00F3686F" w14:paraId="61DCBE56" w14:textId="061089D8">
            <w:pPr>
              <w:ind w:right="-36"/>
              <w:rPr>
                <w:rFonts w:eastAsia="Calibri"/>
                <w:sz w:val="20"/>
              </w:rPr>
            </w:pPr>
            <w:r w:rsidRPr="00F3686F">
              <w:rPr>
                <w:color w:val="000000"/>
                <w:sz w:val="20"/>
              </w:rPr>
              <w:t>169</w:t>
            </w:r>
          </w:p>
        </w:tc>
        <w:tc>
          <w:tcPr>
            <w:tcW w:w="369" w:type="pct"/>
            <w:tcBorders>
              <w:top w:val="double" w:sz="4" w:space="0" w:color="auto"/>
              <w:bottom w:val="double" w:sz="4" w:space="0" w:color="auto"/>
              <w:right w:val="double" w:sz="4" w:space="0" w:color="auto"/>
            </w:tcBorders>
            <w:vAlign w:val="center"/>
          </w:tcPr>
          <w:p w:rsidR="00F3686F" w:rsidRPr="00F3686F" w:rsidP="00F3686F" w14:paraId="6C7EC6D3" w14:textId="654258FA">
            <w:pPr>
              <w:ind w:right="-36"/>
              <w:rPr>
                <w:rFonts w:eastAsia="Calibri"/>
                <w:sz w:val="20"/>
              </w:rPr>
            </w:pPr>
            <w:r w:rsidRPr="00F3686F">
              <w:rPr>
                <w:color w:val="000000"/>
                <w:sz w:val="20"/>
              </w:rPr>
              <w:t>781</w:t>
            </w:r>
          </w:p>
        </w:tc>
        <w:tc>
          <w:tcPr>
            <w:tcW w:w="491" w:type="pct"/>
            <w:tcBorders>
              <w:top w:val="double" w:sz="4" w:space="0" w:color="auto"/>
              <w:bottom w:val="double" w:sz="4" w:space="0" w:color="auto"/>
              <w:right w:val="double" w:sz="4" w:space="0" w:color="auto"/>
            </w:tcBorders>
            <w:vAlign w:val="center"/>
          </w:tcPr>
          <w:p w:rsidR="00F3686F" w:rsidRPr="00F3686F" w:rsidP="00F3686F" w14:paraId="569E87D5" w14:textId="38A2EB98">
            <w:pPr>
              <w:ind w:right="-36"/>
              <w:rPr>
                <w:rFonts w:eastAsia="Calibri"/>
                <w:sz w:val="20"/>
              </w:rPr>
            </w:pPr>
            <w:r w:rsidRPr="00F3686F">
              <w:rPr>
                <w:color w:val="000000"/>
                <w:sz w:val="20"/>
              </w:rPr>
              <w:t>252</w:t>
            </w:r>
          </w:p>
        </w:tc>
        <w:tc>
          <w:tcPr>
            <w:tcW w:w="490" w:type="pct"/>
            <w:tcBorders>
              <w:top w:val="double" w:sz="4" w:space="0" w:color="auto"/>
              <w:bottom w:val="double" w:sz="4" w:space="0" w:color="auto"/>
              <w:right w:val="double" w:sz="4" w:space="0" w:color="auto"/>
            </w:tcBorders>
            <w:vAlign w:val="center"/>
          </w:tcPr>
          <w:p w:rsidR="00F3686F" w:rsidRPr="00F3686F" w:rsidP="00F3686F" w14:paraId="1ACDE7E6" w14:textId="69479064">
            <w:pPr>
              <w:ind w:right="-36"/>
              <w:rPr>
                <w:rFonts w:eastAsia="Calibri"/>
                <w:sz w:val="20"/>
              </w:rPr>
            </w:pPr>
            <w:r w:rsidRPr="00F3686F">
              <w:rPr>
                <w:color w:val="000000"/>
                <w:sz w:val="20"/>
              </w:rPr>
              <w:t>140</w:t>
            </w:r>
          </w:p>
        </w:tc>
        <w:tc>
          <w:tcPr>
            <w:tcW w:w="369" w:type="pct"/>
            <w:tcBorders>
              <w:top w:val="double" w:sz="4" w:space="0" w:color="auto"/>
              <w:bottom w:val="double" w:sz="4" w:space="0" w:color="auto"/>
              <w:right w:val="double" w:sz="4" w:space="0" w:color="auto"/>
            </w:tcBorders>
            <w:vAlign w:val="center"/>
          </w:tcPr>
          <w:p w:rsidR="00F3686F" w:rsidRPr="00F3686F" w:rsidP="00F3686F" w14:paraId="68461D25" w14:textId="681DDEF0">
            <w:pPr>
              <w:ind w:right="-36"/>
              <w:rPr>
                <w:rFonts w:eastAsia="Calibri"/>
                <w:sz w:val="20"/>
              </w:rPr>
            </w:pPr>
            <w:r w:rsidRPr="00F3686F">
              <w:rPr>
                <w:color w:val="000000"/>
                <w:sz w:val="20"/>
              </w:rPr>
              <w:t>1,286</w:t>
            </w:r>
          </w:p>
        </w:tc>
        <w:tc>
          <w:tcPr>
            <w:tcW w:w="364" w:type="pct"/>
            <w:tcBorders>
              <w:top w:val="double" w:sz="4" w:space="0" w:color="auto"/>
              <w:left w:val="double" w:sz="4" w:space="0" w:color="auto"/>
              <w:bottom w:val="double" w:sz="4" w:space="0" w:color="auto"/>
            </w:tcBorders>
            <w:vAlign w:val="center"/>
          </w:tcPr>
          <w:p w:rsidR="00F3686F" w:rsidRPr="00F3686F" w:rsidP="00F3686F" w14:paraId="64D9164A" w14:textId="7AC0AC1E">
            <w:pPr>
              <w:ind w:right="-36"/>
              <w:rPr>
                <w:rFonts w:eastAsia="Calibri"/>
                <w:sz w:val="20"/>
              </w:rPr>
            </w:pPr>
            <w:r w:rsidRPr="00F3686F">
              <w:rPr>
                <w:color w:val="000000"/>
                <w:sz w:val="20"/>
              </w:rPr>
              <w:t>10,465</w:t>
            </w:r>
          </w:p>
        </w:tc>
      </w:tr>
    </w:tbl>
    <w:p w:rsidR="00675CC0" w:rsidP="002438BE" w14:paraId="38F97C52" w14:textId="7FE92B58"/>
    <w:p w:rsidR="00A10C36" w:rsidP="00A10C36" w14:paraId="7D7D48D4" w14:textId="02A25B67">
      <w:pPr>
        <w:pStyle w:val="Heading2"/>
        <w:rPr>
          <w:rFonts w:eastAsiaTheme="minorEastAsia"/>
          <w:sz w:val="22"/>
          <w:szCs w:val="18"/>
        </w:rPr>
      </w:pPr>
      <w:bookmarkStart w:id="18" w:name="_Toc187144064"/>
      <w:r w:rsidRPr="00DC7187">
        <w:rPr>
          <w:rFonts w:eastAsiaTheme="minorEastAsia"/>
          <w:sz w:val="22"/>
          <w:szCs w:val="18"/>
        </w:rPr>
        <w:t>B.1.</w:t>
      </w:r>
      <w:r>
        <w:rPr>
          <w:rFonts w:eastAsiaTheme="minorEastAsia"/>
          <w:sz w:val="22"/>
          <w:szCs w:val="18"/>
        </w:rPr>
        <w:t>3</w:t>
      </w:r>
      <w:r w:rsidRPr="00DC7187">
        <w:rPr>
          <w:rFonts w:eastAsiaTheme="minorEastAsia"/>
          <w:sz w:val="22"/>
          <w:szCs w:val="18"/>
        </w:rPr>
        <w:tab/>
        <w:t xml:space="preserve">2024-25 </w:t>
      </w:r>
      <w:r>
        <w:rPr>
          <w:rFonts w:eastAsiaTheme="minorEastAsia"/>
          <w:sz w:val="22"/>
          <w:szCs w:val="18"/>
        </w:rPr>
        <w:t>P</w:t>
      </w:r>
      <w:r w:rsidRPr="00DC7187">
        <w:rPr>
          <w:rFonts w:eastAsiaTheme="minorEastAsia"/>
          <w:sz w:val="22"/>
          <w:szCs w:val="18"/>
        </w:rPr>
        <w:t>FS Respondent Universe and Sample Design</w:t>
      </w:r>
      <w:bookmarkEnd w:id="18"/>
    </w:p>
    <w:p w:rsidR="00A10C36" w:rsidRPr="00486921" w:rsidP="00A10C36" w14:paraId="311A768E" w14:textId="012405D1">
      <w:r w:rsidRPr="00486921">
        <w:t>The sampling frame for the 202</w:t>
      </w:r>
      <w:r>
        <w:t>4</w:t>
      </w:r>
      <w:r w:rsidRPr="00486921">
        <w:t>-2</w:t>
      </w:r>
      <w:r>
        <w:t>5</w:t>
      </w:r>
      <w:r w:rsidRPr="00486921">
        <w:t xml:space="preserve"> PFS consists of all the traditional public and public charter school principals who completed a Principal Questionnaire and all private school principals who completed a Private School Principal Questionnaire during the 202</w:t>
      </w:r>
      <w:r>
        <w:t>3</w:t>
      </w:r>
      <w:r w:rsidRPr="00486921">
        <w:t>-2</w:t>
      </w:r>
      <w:r>
        <w:t>4</w:t>
      </w:r>
      <w:r w:rsidRPr="00486921">
        <w:t xml:space="preserve"> NTPS. Any sampled NTPS principal who did not complete their questionnaire or was otherwise found to be out of scope for NTPS will not be included in the PFS frame. The 202</w:t>
      </w:r>
      <w:r>
        <w:t>4</w:t>
      </w:r>
      <w:r w:rsidRPr="00486921">
        <w:t>-2</w:t>
      </w:r>
      <w:r>
        <w:t>5</w:t>
      </w:r>
      <w:r w:rsidRPr="00486921">
        <w:t xml:space="preserve"> PFS sample will include </w:t>
      </w:r>
      <w:r w:rsidRPr="008B2D43">
        <w:t>approximately 6,</w:t>
      </w:r>
      <w:r w:rsidRPr="008B2D43" w:rsidR="008B2D43">
        <w:t>850</w:t>
      </w:r>
      <w:r w:rsidRPr="008B2D43">
        <w:t xml:space="preserve"> public</w:t>
      </w:r>
      <w:r w:rsidRPr="00486921">
        <w:t xml:space="preserve"> and public charter school principals and </w:t>
      </w:r>
      <w:r w:rsidR="008B2D43">
        <w:t>1,950</w:t>
      </w:r>
      <w:r w:rsidRPr="00486921">
        <w:t xml:space="preserve"> private school principals.</w:t>
      </w:r>
      <w:r w:rsidR="008B2D43">
        <w:t xml:space="preserve"> T</w:t>
      </w:r>
      <w:r w:rsidRPr="00486921">
        <w:t>he 20</w:t>
      </w:r>
      <w:r>
        <w:t>21</w:t>
      </w:r>
      <w:r w:rsidRPr="00486921">
        <w:t>-</w:t>
      </w:r>
      <w:r>
        <w:t>22</w:t>
      </w:r>
      <w:r w:rsidRPr="00486921">
        <w:t xml:space="preserve"> PFS included a sample of </w:t>
      </w:r>
      <w:r w:rsidR="008B2D43">
        <w:t>6,508</w:t>
      </w:r>
      <w:r w:rsidRPr="00486921">
        <w:t xml:space="preserve"> </w:t>
      </w:r>
      <w:r w:rsidR="008B2D43">
        <w:t xml:space="preserve">public and public charter school </w:t>
      </w:r>
      <w:r w:rsidRPr="00486921">
        <w:t>principals</w:t>
      </w:r>
      <w:r w:rsidR="008B2D43">
        <w:t xml:space="preserve"> and 1,753 private school principals.</w:t>
      </w:r>
    </w:p>
    <w:p w:rsidR="00A10C36" w:rsidRPr="00A10C36" w:rsidP="00A10C36" w14:paraId="67E3B7DA" w14:textId="77777777">
      <w:pPr>
        <w:rPr>
          <w:rFonts w:eastAsiaTheme="minorEastAsia"/>
        </w:rPr>
      </w:pPr>
    </w:p>
    <w:p w:rsidR="00825F33" w:rsidRPr="00DC7187" w:rsidP="00825F33" w14:paraId="662718E6" w14:textId="71FAAE31">
      <w:pPr>
        <w:pStyle w:val="Heading1"/>
        <w:keepNext w:val="0"/>
        <w:spacing w:after="120"/>
        <w:rPr>
          <w:sz w:val="22"/>
          <w:szCs w:val="22"/>
        </w:rPr>
      </w:pPr>
      <w:bookmarkStart w:id="19" w:name="_Toc187144065"/>
      <w:r w:rsidRPr="00DC7187">
        <w:rPr>
          <w:sz w:val="22"/>
          <w:szCs w:val="22"/>
        </w:rPr>
        <w:t>B.2</w:t>
      </w:r>
      <w:r w:rsidRPr="00DC7187">
        <w:rPr>
          <w:sz w:val="22"/>
          <w:szCs w:val="22"/>
        </w:rPr>
        <w:tab/>
        <w:t>Procedures for the Collection of Information</w:t>
      </w:r>
      <w:bookmarkEnd w:id="4"/>
      <w:bookmarkEnd w:id="5"/>
      <w:bookmarkEnd w:id="6"/>
      <w:bookmarkEnd w:id="7"/>
      <w:bookmarkEnd w:id="8"/>
      <w:bookmarkEnd w:id="9"/>
      <w:bookmarkEnd w:id="10"/>
      <w:bookmarkEnd w:id="11"/>
      <w:bookmarkEnd w:id="19"/>
    </w:p>
    <w:p w:rsidR="00FB177D" w:rsidRPr="00DC7187" w:rsidP="003A6CFA" w14:paraId="04F317C9" w14:textId="102EA492">
      <w:pPr>
        <w:pStyle w:val="Heading2"/>
        <w:rPr>
          <w:rFonts w:eastAsiaTheme="minorEastAsia"/>
          <w:sz w:val="22"/>
          <w:szCs w:val="18"/>
        </w:rPr>
      </w:pPr>
      <w:bookmarkStart w:id="20" w:name="_Toc57039280"/>
      <w:bookmarkStart w:id="21" w:name="_Toc187144066"/>
      <w:r w:rsidRPr="00DC7187">
        <w:rPr>
          <w:rFonts w:eastAsiaTheme="minorEastAsia"/>
          <w:sz w:val="22"/>
          <w:szCs w:val="18"/>
        </w:rPr>
        <w:t>B.2.1</w:t>
      </w:r>
      <w:r w:rsidRPr="00DC7187">
        <w:rPr>
          <w:rFonts w:eastAsiaTheme="minorEastAsia"/>
          <w:sz w:val="22"/>
          <w:szCs w:val="18"/>
        </w:rPr>
        <w:tab/>
        <w:t>202</w:t>
      </w:r>
      <w:r w:rsidR="00A3462C">
        <w:rPr>
          <w:rFonts w:eastAsiaTheme="minorEastAsia"/>
          <w:sz w:val="22"/>
          <w:szCs w:val="18"/>
        </w:rPr>
        <w:t>4</w:t>
      </w:r>
      <w:r w:rsidRPr="00DC7187">
        <w:rPr>
          <w:rFonts w:eastAsiaTheme="minorEastAsia"/>
          <w:sz w:val="22"/>
          <w:szCs w:val="18"/>
        </w:rPr>
        <w:t>-2</w:t>
      </w:r>
      <w:r w:rsidR="00A3462C">
        <w:rPr>
          <w:rFonts w:eastAsiaTheme="minorEastAsia"/>
          <w:sz w:val="22"/>
          <w:szCs w:val="18"/>
        </w:rPr>
        <w:t>5</w:t>
      </w:r>
      <w:r w:rsidRPr="00DC7187">
        <w:rPr>
          <w:rFonts w:eastAsiaTheme="minorEastAsia"/>
          <w:sz w:val="22"/>
          <w:szCs w:val="18"/>
        </w:rPr>
        <w:t xml:space="preserve"> TFS Procedures for the Collection of Information</w:t>
      </w:r>
      <w:bookmarkEnd w:id="20"/>
      <w:bookmarkEnd w:id="21"/>
    </w:p>
    <w:p w:rsidR="00385160" w:rsidRPr="00DC7187" w:rsidP="00385160" w14:paraId="7CE42087" w14:textId="77777777">
      <w:pPr>
        <w:rPr>
          <w:sz w:val="22"/>
          <w:szCs w:val="18"/>
        </w:rPr>
      </w:pPr>
    </w:p>
    <w:p w:rsidR="007306CB" w:rsidRPr="00DC7187" w:rsidP="0062297F" w14:paraId="56C0E92E" w14:textId="641CFDA5">
      <w:pPr>
        <w:pStyle w:val="Heading3"/>
        <w:rPr>
          <w:sz w:val="22"/>
          <w:szCs w:val="18"/>
        </w:rPr>
      </w:pPr>
      <w:bookmarkStart w:id="22" w:name="_Toc187144067"/>
      <w:bookmarkStart w:id="23" w:name="_Hlk151974329"/>
      <w:r w:rsidRPr="00DC7187">
        <w:rPr>
          <w:sz w:val="22"/>
          <w:szCs w:val="18"/>
        </w:rPr>
        <w:t>B.2.</w:t>
      </w:r>
      <w:r w:rsidRPr="00DC7187" w:rsidR="00223A7E">
        <w:rPr>
          <w:sz w:val="22"/>
          <w:szCs w:val="18"/>
        </w:rPr>
        <w:t>1.1</w:t>
      </w:r>
      <w:r w:rsidRPr="00DC7187">
        <w:rPr>
          <w:sz w:val="22"/>
          <w:szCs w:val="18"/>
        </w:rPr>
        <w:t xml:space="preserve"> </w:t>
      </w:r>
      <w:r w:rsidRPr="00DC7187" w:rsidR="00223A7E">
        <w:rPr>
          <w:sz w:val="22"/>
          <w:szCs w:val="18"/>
        </w:rPr>
        <w:tab/>
      </w:r>
      <w:r w:rsidRPr="00DC7187">
        <w:rPr>
          <w:sz w:val="22"/>
          <w:szCs w:val="18"/>
        </w:rPr>
        <w:t>Teacher Status Form (</w:t>
      </w:r>
      <w:r w:rsidR="00A3462C">
        <w:rPr>
          <w:sz w:val="22"/>
          <w:szCs w:val="18"/>
        </w:rPr>
        <w:t>NTPS-5A/5B/5C)</w:t>
      </w:r>
      <w:bookmarkEnd w:id="22"/>
    </w:p>
    <w:p w:rsidR="00466624" w:rsidP="00466624" w14:paraId="062FC3BB" w14:textId="472427CE">
      <w:pPr>
        <w:rPr>
          <w:sz w:val="22"/>
          <w:szCs w:val="18"/>
        </w:rPr>
      </w:pPr>
      <w:r>
        <w:rPr>
          <w:sz w:val="22"/>
          <w:szCs w:val="18"/>
        </w:rPr>
        <w:t xml:space="preserve">Data collection for the TFS will begin with contacting schools </w:t>
      </w:r>
      <w:r w:rsidRPr="00DC7187" w:rsidR="007306CB">
        <w:rPr>
          <w:sz w:val="22"/>
          <w:szCs w:val="18"/>
        </w:rPr>
        <w:t>in which a</w:t>
      </w:r>
      <w:r w:rsidR="00E8715B">
        <w:rPr>
          <w:sz w:val="22"/>
          <w:szCs w:val="18"/>
        </w:rPr>
        <w:t>t least one</w:t>
      </w:r>
      <w:r w:rsidRPr="00DC7187" w:rsidR="007306CB">
        <w:rPr>
          <w:sz w:val="22"/>
          <w:szCs w:val="18"/>
        </w:rPr>
        <w:t xml:space="preserve"> teacher completed a Teacher Questionnaire during the 20</w:t>
      </w:r>
      <w:r w:rsidRPr="00DC7187" w:rsidR="00223A7E">
        <w:rPr>
          <w:sz w:val="22"/>
          <w:szCs w:val="18"/>
        </w:rPr>
        <w:t>2</w:t>
      </w:r>
      <w:r>
        <w:rPr>
          <w:sz w:val="22"/>
          <w:szCs w:val="18"/>
        </w:rPr>
        <w:t>3</w:t>
      </w:r>
      <w:r w:rsidRPr="00DC7187" w:rsidR="00223A7E">
        <w:rPr>
          <w:sz w:val="22"/>
          <w:szCs w:val="18"/>
        </w:rPr>
        <w:t>-2</w:t>
      </w:r>
      <w:r>
        <w:rPr>
          <w:sz w:val="22"/>
          <w:szCs w:val="18"/>
        </w:rPr>
        <w:t>4</w:t>
      </w:r>
      <w:r w:rsidRPr="00DC7187" w:rsidR="007306CB">
        <w:rPr>
          <w:sz w:val="22"/>
          <w:szCs w:val="18"/>
        </w:rPr>
        <w:t xml:space="preserve"> administration of NTPS. A knowledgeable person at the school will be asked to complete </w:t>
      </w:r>
      <w:r>
        <w:rPr>
          <w:sz w:val="22"/>
          <w:szCs w:val="18"/>
        </w:rPr>
        <w:t xml:space="preserve">a teacher status form electronically via a Teacher Status Qualtrics web instrument. Specifically, the principal </w:t>
      </w:r>
      <w:r w:rsidR="00E8715B">
        <w:rPr>
          <w:sz w:val="22"/>
          <w:szCs w:val="18"/>
        </w:rPr>
        <w:t xml:space="preserve">or other knowledgeable person </w:t>
      </w:r>
      <w:r>
        <w:rPr>
          <w:sz w:val="22"/>
          <w:szCs w:val="18"/>
        </w:rPr>
        <w:t xml:space="preserve">will </w:t>
      </w:r>
      <w:r w:rsidRPr="00DC7187" w:rsidR="007306CB">
        <w:rPr>
          <w:sz w:val="22"/>
          <w:szCs w:val="18"/>
        </w:rPr>
        <w:t>indicat</w:t>
      </w:r>
      <w:r>
        <w:rPr>
          <w:sz w:val="22"/>
          <w:szCs w:val="18"/>
        </w:rPr>
        <w:t>e</w:t>
      </w:r>
      <w:r w:rsidRPr="00DC7187" w:rsidR="007306CB">
        <w:rPr>
          <w:sz w:val="22"/>
          <w:szCs w:val="18"/>
        </w:rPr>
        <w:t xml:space="preserve"> the current teaching status of each </w:t>
      </w:r>
      <w:r>
        <w:rPr>
          <w:sz w:val="22"/>
          <w:szCs w:val="18"/>
        </w:rPr>
        <w:t xml:space="preserve">NTPS sampled </w:t>
      </w:r>
      <w:r w:rsidRPr="00DC7187" w:rsidR="007306CB">
        <w:rPr>
          <w:sz w:val="22"/>
          <w:szCs w:val="18"/>
        </w:rPr>
        <w:t>teacher</w:t>
      </w:r>
      <w:r>
        <w:rPr>
          <w:sz w:val="22"/>
          <w:szCs w:val="18"/>
        </w:rPr>
        <w:t xml:space="preserve">, by selecting one of </w:t>
      </w:r>
      <w:r w:rsidR="00175332">
        <w:rPr>
          <w:sz w:val="22"/>
          <w:szCs w:val="18"/>
        </w:rPr>
        <w:t>seven</w:t>
      </w:r>
      <w:r>
        <w:rPr>
          <w:sz w:val="22"/>
          <w:szCs w:val="18"/>
        </w:rPr>
        <w:t xml:space="preserve"> occupation status designations for each teacher, as well as </w:t>
      </w:r>
      <w:r w:rsidR="00921807">
        <w:rPr>
          <w:sz w:val="22"/>
          <w:szCs w:val="18"/>
        </w:rPr>
        <w:t>indicating</w:t>
      </w:r>
      <w:r>
        <w:rPr>
          <w:sz w:val="22"/>
          <w:szCs w:val="18"/>
        </w:rPr>
        <w:t xml:space="preserve"> whether last year's principal</w:t>
      </w:r>
      <w:r w:rsidR="00314AC8">
        <w:rPr>
          <w:sz w:val="22"/>
          <w:szCs w:val="18"/>
        </w:rPr>
        <w:t xml:space="preserve">, </w:t>
      </w:r>
      <w:r w:rsidR="00921807">
        <w:rPr>
          <w:sz w:val="22"/>
          <w:szCs w:val="18"/>
        </w:rPr>
        <w:t>if information about last year's principal was collected on the NTPS</w:t>
      </w:r>
      <w:r w:rsidR="00314AC8">
        <w:rPr>
          <w:sz w:val="22"/>
          <w:szCs w:val="18"/>
        </w:rPr>
        <w:t>,</w:t>
      </w:r>
      <w:r w:rsidR="00921807">
        <w:rPr>
          <w:sz w:val="22"/>
          <w:szCs w:val="18"/>
        </w:rPr>
        <w:t xml:space="preserve"> is still the principal of the school this school year. </w:t>
      </w:r>
      <w:r w:rsidRPr="00DC7187" w:rsidR="007306CB">
        <w:rPr>
          <w:sz w:val="22"/>
          <w:szCs w:val="18"/>
        </w:rPr>
        <w:t xml:space="preserve">These data will be used to stratify the teachers for </w:t>
      </w:r>
      <w:r w:rsidRPr="00DC7187" w:rsidR="00223A7E">
        <w:rPr>
          <w:sz w:val="22"/>
          <w:szCs w:val="18"/>
        </w:rPr>
        <w:t>202</w:t>
      </w:r>
      <w:r>
        <w:rPr>
          <w:sz w:val="22"/>
          <w:szCs w:val="18"/>
        </w:rPr>
        <w:t>4</w:t>
      </w:r>
      <w:r w:rsidRPr="00DC7187" w:rsidR="00223A7E">
        <w:rPr>
          <w:sz w:val="22"/>
          <w:szCs w:val="18"/>
        </w:rPr>
        <w:t>-2</w:t>
      </w:r>
      <w:r>
        <w:rPr>
          <w:sz w:val="22"/>
          <w:szCs w:val="18"/>
        </w:rPr>
        <w:t>5</w:t>
      </w:r>
      <w:r w:rsidRPr="00DC7187" w:rsidR="00223A7E">
        <w:rPr>
          <w:sz w:val="22"/>
          <w:szCs w:val="18"/>
        </w:rPr>
        <w:t xml:space="preserve"> </w:t>
      </w:r>
      <w:r w:rsidRPr="00DC7187" w:rsidR="007306CB">
        <w:rPr>
          <w:sz w:val="22"/>
          <w:szCs w:val="18"/>
        </w:rPr>
        <w:t>TFS sampling into groups of “</w:t>
      </w:r>
      <w:r w:rsidR="00D17954">
        <w:rPr>
          <w:sz w:val="22"/>
          <w:szCs w:val="18"/>
        </w:rPr>
        <w:t>stayers, movers, leavers, and teachers whose status is unknown</w:t>
      </w:r>
      <w:r w:rsidRPr="00DC7187" w:rsidR="007306CB">
        <w:rPr>
          <w:sz w:val="22"/>
          <w:szCs w:val="18"/>
        </w:rPr>
        <w:t>.</w:t>
      </w:r>
      <w:r w:rsidR="00921807">
        <w:rPr>
          <w:sz w:val="22"/>
          <w:szCs w:val="18"/>
        </w:rPr>
        <w:t xml:space="preserve"> The principal </w:t>
      </w:r>
      <w:r w:rsidR="007A3161">
        <w:rPr>
          <w:sz w:val="22"/>
          <w:szCs w:val="18"/>
        </w:rPr>
        <w:t xml:space="preserve">status </w:t>
      </w:r>
      <w:r w:rsidR="00921807">
        <w:rPr>
          <w:sz w:val="22"/>
          <w:szCs w:val="18"/>
        </w:rPr>
        <w:t>information will serve as a data point for a validation study conducted as part of the 2024-25 PFS</w:t>
      </w:r>
      <w:r w:rsidR="002D0424">
        <w:rPr>
          <w:sz w:val="22"/>
          <w:szCs w:val="18"/>
        </w:rPr>
        <w:t>.</w:t>
      </w:r>
    </w:p>
    <w:p w:rsidR="002D0424" w:rsidP="00466624" w14:paraId="39A89E54" w14:textId="77777777">
      <w:pPr>
        <w:rPr>
          <w:sz w:val="22"/>
          <w:szCs w:val="18"/>
        </w:rPr>
      </w:pPr>
    </w:p>
    <w:p w:rsidR="00466624" w:rsidRPr="00DC7187" w:rsidP="00466624" w14:paraId="7BC38034" w14:textId="070531EA">
      <w:pPr>
        <w:rPr>
          <w:sz w:val="22"/>
          <w:szCs w:val="18"/>
        </w:rPr>
      </w:pPr>
      <w:r>
        <w:rPr>
          <w:sz w:val="22"/>
          <w:szCs w:val="18"/>
        </w:rPr>
        <w:t xml:space="preserve">Traditionally, this operation was conducted by paper questionnaire only; however, it will be conducted primarily via web starting with the 2024-25 TFS, with paper questionnaires offered in a follow-up mailing. There </w:t>
      </w:r>
      <w:r w:rsidR="00F0061B">
        <w:rPr>
          <w:sz w:val="22"/>
          <w:szCs w:val="18"/>
        </w:rPr>
        <w:t xml:space="preserve">will be </w:t>
      </w:r>
      <w:r>
        <w:rPr>
          <w:sz w:val="22"/>
          <w:szCs w:val="18"/>
        </w:rPr>
        <w:t xml:space="preserve">3 different versions of the paper Teacher Status Form – the Teacher and Principal Status Form for public schools </w:t>
      </w:r>
      <w:r w:rsidR="004F6B7C">
        <w:rPr>
          <w:sz w:val="22"/>
          <w:szCs w:val="18"/>
        </w:rPr>
        <w:t xml:space="preserve">where the </w:t>
      </w:r>
      <w:r w:rsidR="006D2B05">
        <w:rPr>
          <w:sz w:val="22"/>
          <w:szCs w:val="18"/>
        </w:rPr>
        <w:t xml:space="preserve">2023-24 </w:t>
      </w:r>
      <w:r w:rsidR="004F6B7C">
        <w:rPr>
          <w:sz w:val="22"/>
          <w:szCs w:val="18"/>
        </w:rPr>
        <w:t>principal</w:t>
      </w:r>
      <w:r w:rsidR="006D2B05">
        <w:rPr>
          <w:sz w:val="22"/>
          <w:szCs w:val="18"/>
        </w:rPr>
        <w:t xml:space="preserve">’s name is known </w:t>
      </w:r>
      <w:r>
        <w:rPr>
          <w:sz w:val="22"/>
          <w:szCs w:val="18"/>
        </w:rPr>
        <w:t>(NTPS-5A), the Teacher and Principal Status Form for private schools</w:t>
      </w:r>
      <w:r w:rsidR="006D2B05">
        <w:rPr>
          <w:sz w:val="22"/>
          <w:szCs w:val="18"/>
        </w:rPr>
        <w:t xml:space="preserve"> where the 2023-24 principal’s/school head’s name is known</w:t>
      </w:r>
      <w:r>
        <w:rPr>
          <w:sz w:val="22"/>
          <w:szCs w:val="18"/>
        </w:rPr>
        <w:t xml:space="preserve"> (NTPS-5B), and the Teacher Status Form (NTPS-5C)</w:t>
      </w:r>
      <w:r w:rsidR="006D2B05">
        <w:rPr>
          <w:sz w:val="22"/>
          <w:szCs w:val="18"/>
        </w:rPr>
        <w:t xml:space="preserve"> for public and private schools where the principal’s/school head’s name is not known </w:t>
      </w:r>
      <w:r w:rsidR="00256772">
        <w:rPr>
          <w:sz w:val="22"/>
          <w:szCs w:val="18"/>
        </w:rPr>
        <w:t>(</w:t>
      </w:r>
      <w:r w:rsidR="00B84681">
        <w:rPr>
          <w:sz w:val="22"/>
          <w:szCs w:val="18"/>
        </w:rPr>
        <w:t>excludes the principal status item</w:t>
      </w:r>
      <w:r w:rsidR="00256772">
        <w:rPr>
          <w:sz w:val="22"/>
          <w:szCs w:val="18"/>
        </w:rPr>
        <w:t>)</w:t>
      </w:r>
      <w:r>
        <w:rPr>
          <w:sz w:val="22"/>
          <w:szCs w:val="18"/>
        </w:rPr>
        <w:t xml:space="preserve">. </w:t>
      </w:r>
    </w:p>
    <w:p w:rsidR="00A761F0" w:rsidRPr="00DC7187" w:rsidP="008B5B06" w14:paraId="28092A5A" w14:textId="77777777">
      <w:pPr>
        <w:rPr>
          <w:sz w:val="22"/>
          <w:szCs w:val="18"/>
        </w:rPr>
      </w:pPr>
    </w:p>
    <w:p w:rsidR="007306CB" w:rsidRPr="00DC7187" w:rsidP="008B5B06" w14:paraId="2FE06B70" w14:textId="222DD3CB">
      <w:pPr>
        <w:rPr>
          <w:sz w:val="22"/>
          <w:szCs w:val="18"/>
        </w:rPr>
      </w:pPr>
      <w:r w:rsidRPr="00DC7187">
        <w:rPr>
          <w:sz w:val="22"/>
          <w:szCs w:val="18"/>
        </w:rPr>
        <w:t xml:space="preserve">TFS was designed from its inception to sample only from respondents to SASS/NTPS in the prior year. It is possible to sample teachers for TFS from the pool of teachers initially selected for NTPS rather than only from those who responded to NTPS. By not sampling teachers from the nonresponse stratum, potential biases may be introduced into TFS. </w:t>
      </w:r>
      <w:r w:rsidR="001874E7">
        <w:rPr>
          <w:sz w:val="22"/>
          <w:szCs w:val="18"/>
        </w:rPr>
        <w:t>However, w</w:t>
      </w:r>
      <w:r w:rsidRPr="00DC7187">
        <w:rPr>
          <w:sz w:val="22"/>
          <w:szCs w:val="18"/>
        </w:rPr>
        <w:t>hen considering unit nonresponse for SASS, there was no evidence to point to a substantial bias in teacher response rates.</w:t>
      </w:r>
    </w:p>
    <w:p w:rsidR="007306CB" w:rsidRPr="00DC7187" w:rsidP="008B5B06" w14:paraId="4F8670F7" w14:textId="77777777">
      <w:pPr>
        <w:rPr>
          <w:sz w:val="22"/>
          <w:szCs w:val="18"/>
        </w:rPr>
      </w:pPr>
    </w:p>
    <w:p w:rsidR="007306CB" w:rsidRPr="00DC7187" w:rsidP="008B5B06" w14:paraId="73A8A64B" w14:textId="06B854EA">
      <w:pPr>
        <w:rPr>
          <w:sz w:val="22"/>
          <w:szCs w:val="18"/>
        </w:rPr>
      </w:pPr>
      <w:r w:rsidRPr="00DC7187">
        <w:rPr>
          <w:sz w:val="22"/>
          <w:szCs w:val="18"/>
        </w:rPr>
        <w:t>The main purpose of TFS is to measure various characteristics collected</w:t>
      </w:r>
      <w:r w:rsidR="00B84681">
        <w:rPr>
          <w:sz w:val="22"/>
          <w:szCs w:val="18"/>
        </w:rPr>
        <w:t xml:space="preserve"> from </w:t>
      </w:r>
      <w:r w:rsidRPr="00DC7187">
        <w:rPr>
          <w:sz w:val="22"/>
          <w:szCs w:val="18"/>
        </w:rPr>
        <w:t xml:space="preserve">NTPS </w:t>
      </w:r>
      <w:r w:rsidR="00B84681">
        <w:rPr>
          <w:sz w:val="22"/>
          <w:szCs w:val="18"/>
        </w:rPr>
        <w:t xml:space="preserve">teacher respondents </w:t>
      </w:r>
      <w:r w:rsidRPr="00DC7187">
        <w:rPr>
          <w:sz w:val="22"/>
          <w:szCs w:val="18"/>
        </w:rPr>
        <w:t xml:space="preserve">of teachers who move, leave, or stay in the teaching profession the following year. A response rate of approximately </w:t>
      </w:r>
      <w:r w:rsidR="00921807">
        <w:rPr>
          <w:sz w:val="22"/>
          <w:szCs w:val="18"/>
        </w:rPr>
        <w:t xml:space="preserve">84% </w:t>
      </w:r>
      <w:r w:rsidRPr="00DC7187">
        <w:rPr>
          <w:sz w:val="22"/>
          <w:szCs w:val="18"/>
        </w:rPr>
        <w:t>percent can be expected from the T</w:t>
      </w:r>
      <w:r w:rsidR="00921807">
        <w:rPr>
          <w:sz w:val="22"/>
          <w:szCs w:val="18"/>
        </w:rPr>
        <w:t xml:space="preserve">eacher Status </w:t>
      </w:r>
      <w:r w:rsidR="00BF760A">
        <w:rPr>
          <w:sz w:val="22"/>
          <w:szCs w:val="18"/>
        </w:rPr>
        <w:t xml:space="preserve">data collection operations with schools, and the </w:t>
      </w:r>
      <w:r w:rsidR="00921807">
        <w:rPr>
          <w:sz w:val="22"/>
          <w:szCs w:val="18"/>
        </w:rPr>
        <w:t>expectation is that the overall</w:t>
      </w:r>
      <w:r w:rsidR="00BF760A">
        <w:rPr>
          <w:sz w:val="22"/>
          <w:szCs w:val="18"/>
        </w:rPr>
        <w:t xml:space="preserve"> Teacher Status response rate will be approximately </w:t>
      </w:r>
      <w:r w:rsidR="00B26F0A">
        <w:rPr>
          <w:sz w:val="22"/>
          <w:szCs w:val="18"/>
        </w:rPr>
        <w:t>95%</w:t>
      </w:r>
      <w:r w:rsidR="00B84681">
        <w:rPr>
          <w:sz w:val="22"/>
          <w:szCs w:val="18"/>
        </w:rPr>
        <w:t xml:space="preserve"> once clerical research operations are </w:t>
      </w:r>
      <w:r w:rsidR="00B84681">
        <w:rPr>
          <w:sz w:val="22"/>
          <w:szCs w:val="18"/>
        </w:rPr>
        <w:t>completed for non-responding schools</w:t>
      </w:r>
      <w:r w:rsidR="00B26F0A">
        <w:rPr>
          <w:sz w:val="22"/>
          <w:szCs w:val="18"/>
        </w:rPr>
        <w:t>.</w:t>
      </w:r>
    </w:p>
    <w:p w:rsidR="007306CB" w:rsidRPr="00DC7187" w:rsidP="008B5B06" w14:paraId="28008109" w14:textId="77777777">
      <w:pPr>
        <w:rPr>
          <w:color w:val="000000"/>
          <w:sz w:val="22"/>
          <w:szCs w:val="18"/>
        </w:rPr>
      </w:pPr>
    </w:p>
    <w:p w:rsidR="007306CB" w:rsidRPr="00DC7187" w:rsidP="0062297F" w14:paraId="3662FE6D" w14:textId="77777777">
      <w:pPr>
        <w:pStyle w:val="Heading3"/>
        <w:rPr>
          <w:sz w:val="22"/>
          <w:szCs w:val="18"/>
        </w:rPr>
      </w:pPr>
      <w:bookmarkStart w:id="24" w:name="_Toc187144068"/>
      <w:r w:rsidRPr="00DC7187">
        <w:rPr>
          <w:sz w:val="22"/>
          <w:szCs w:val="18"/>
        </w:rPr>
        <w:t>B.2.1.2</w:t>
      </w:r>
      <w:r w:rsidRPr="00DC7187">
        <w:rPr>
          <w:sz w:val="22"/>
          <w:szCs w:val="18"/>
        </w:rPr>
        <w:tab/>
        <w:t>Questionnaires for Former and Current Teachers (TFS-2 and TFS-3)</w:t>
      </w:r>
      <w:bookmarkEnd w:id="24"/>
    </w:p>
    <w:p w:rsidR="007306CB" w:rsidRPr="00DC7187" w:rsidP="008B5B06" w14:paraId="147B40AA" w14:textId="1B2C8FB5">
      <w:pPr>
        <w:rPr>
          <w:sz w:val="22"/>
          <w:szCs w:val="18"/>
        </w:rPr>
      </w:pPr>
      <w:r w:rsidRPr="00DC7187">
        <w:rPr>
          <w:sz w:val="22"/>
          <w:szCs w:val="18"/>
        </w:rPr>
        <w:t xml:space="preserve">Using the teacher statuses provided by schools on the </w:t>
      </w:r>
      <w:r w:rsidR="007F08A4">
        <w:rPr>
          <w:sz w:val="22"/>
          <w:szCs w:val="18"/>
        </w:rPr>
        <w:t>Teacher Status Form (NTPS-5A/5B/5C)</w:t>
      </w:r>
      <w:r w:rsidR="00B84681">
        <w:rPr>
          <w:sz w:val="22"/>
          <w:szCs w:val="18"/>
        </w:rPr>
        <w:t xml:space="preserve"> or collected via clerical research</w:t>
      </w:r>
      <w:r w:rsidR="007F08A4">
        <w:rPr>
          <w:sz w:val="22"/>
          <w:szCs w:val="18"/>
        </w:rPr>
        <w:t>,</w:t>
      </w:r>
      <w:r w:rsidRPr="00DC7187">
        <w:rPr>
          <w:sz w:val="22"/>
          <w:szCs w:val="18"/>
        </w:rPr>
        <w:t xml:space="preserve"> Census Bureau staff will select the sample of teachers for the </w:t>
      </w:r>
      <w:r w:rsidRPr="00DC7187" w:rsidR="00223A7E">
        <w:rPr>
          <w:sz w:val="22"/>
          <w:szCs w:val="18"/>
        </w:rPr>
        <w:t>202</w:t>
      </w:r>
      <w:r w:rsidR="007F08A4">
        <w:rPr>
          <w:sz w:val="22"/>
          <w:szCs w:val="18"/>
        </w:rPr>
        <w:t>4</w:t>
      </w:r>
      <w:r w:rsidRPr="00DC7187" w:rsidR="00223A7E">
        <w:rPr>
          <w:sz w:val="22"/>
          <w:szCs w:val="18"/>
        </w:rPr>
        <w:t>-2</w:t>
      </w:r>
      <w:r w:rsidR="007F08A4">
        <w:rPr>
          <w:sz w:val="22"/>
          <w:szCs w:val="18"/>
        </w:rPr>
        <w:t>5</w:t>
      </w:r>
      <w:r w:rsidRPr="00DC7187" w:rsidR="00223A7E">
        <w:rPr>
          <w:sz w:val="22"/>
          <w:szCs w:val="18"/>
        </w:rPr>
        <w:t xml:space="preserve"> </w:t>
      </w:r>
      <w:r w:rsidRPr="00DC7187">
        <w:rPr>
          <w:sz w:val="22"/>
          <w:szCs w:val="18"/>
        </w:rPr>
        <w:t>TFS and prepare materials for data collection.</w:t>
      </w:r>
    </w:p>
    <w:p w:rsidR="007306CB" w:rsidRPr="00DC7187" w:rsidP="008B5B06" w14:paraId="576C7C4B" w14:textId="77777777">
      <w:pPr>
        <w:rPr>
          <w:sz w:val="22"/>
          <w:szCs w:val="18"/>
        </w:rPr>
      </w:pPr>
    </w:p>
    <w:p w:rsidR="007306CB" w:rsidRPr="00DC7187" w:rsidP="008B5B06" w14:paraId="77E92E79" w14:textId="34F2B27A">
      <w:pPr>
        <w:rPr>
          <w:sz w:val="22"/>
          <w:szCs w:val="18"/>
        </w:rPr>
      </w:pPr>
      <w:r>
        <w:rPr>
          <w:sz w:val="22"/>
          <w:szCs w:val="18"/>
        </w:rPr>
        <w:t>On</w:t>
      </w:r>
      <w:r w:rsidRPr="00DC7187" w:rsidR="00223A7E">
        <w:rPr>
          <w:sz w:val="22"/>
          <w:szCs w:val="18"/>
        </w:rPr>
        <w:t xml:space="preserve"> the 202</w:t>
      </w:r>
      <w:r>
        <w:rPr>
          <w:sz w:val="22"/>
          <w:szCs w:val="18"/>
        </w:rPr>
        <w:t>3</w:t>
      </w:r>
      <w:r w:rsidRPr="00DC7187" w:rsidR="00223A7E">
        <w:rPr>
          <w:sz w:val="22"/>
          <w:szCs w:val="18"/>
        </w:rPr>
        <w:t>-2</w:t>
      </w:r>
      <w:r>
        <w:rPr>
          <w:sz w:val="22"/>
          <w:szCs w:val="18"/>
        </w:rPr>
        <w:t>4</w:t>
      </w:r>
      <w:r w:rsidRPr="00DC7187">
        <w:rPr>
          <w:sz w:val="22"/>
          <w:szCs w:val="18"/>
        </w:rPr>
        <w:t xml:space="preserve"> NTPS</w:t>
      </w:r>
      <w:r>
        <w:rPr>
          <w:sz w:val="22"/>
          <w:szCs w:val="18"/>
        </w:rPr>
        <w:t xml:space="preserve"> Teacher Questionnaire</w:t>
      </w:r>
      <w:r w:rsidRPr="00DC7187">
        <w:rPr>
          <w:sz w:val="22"/>
          <w:szCs w:val="18"/>
        </w:rPr>
        <w:t>, teachers were asked to provide the following information:</w:t>
      </w:r>
    </w:p>
    <w:p w:rsidR="007306CB" w:rsidRPr="00DC7187" w:rsidP="008B5B06" w14:paraId="47A8C102" w14:textId="77777777">
      <w:pPr>
        <w:rPr>
          <w:color w:val="000000"/>
          <w:sz w:val="22"/>
          <w:szCs w:val="18"/>
        </w:rPr>
      </w:pPr>
    </w:p>
    <w:p w:rsidR="007306CB" w:rsidRPr="00DC7187" w:rsidP="008B5B06" w14:paraId="300136AE" w14:textId="77777777">
      <w:pPr>
        <w:rPr>
          <w:sz w:val="22"/>
          <w:szCs w:val="18"/>
        </w:rPr>
      </w:pPr>
      <w:r w:rsidRPr="00DC7187">
        <w:rPr>
          <w:sz w:val="22"/>
          <w:szCs w:val="18"/>
        </w:rPr>
        <w:t>Name</w:t>
      </w:r>
    </w:p>
    <w:p w:rsidR="007306CB" w:rsidP="008B5B06" w14:paraId="399B7998" w14:textId="2F3BCC49">
      <w:pPr>
        <w:rPr>
          <w:color w:val="000000"/>
          <w:sz w:val="22"/>
          <w:szCs w:val="18"/>
        </w:rPr>
      </w:pPr>
      <w:r>
        <w:rPr>
          <w:color w:val="000000"/>
          <w:sz w:val="22"/>
          <w:szCs w:val="18"/>
        </w:rPr>
        <w:t xml:space="preserve">Home </w:t>
      </w:r>
      <w:r w:rsidRPr="00DC7187">
        <w:rPr>
          <w:color w:val="000000"/>
          <w:sz w:val="22"/>
          <w:szCs w:val="18"/>
        </w:rPr>
        <w:t>address</w:t>
      </w:r>
    </w:p>
    <w:p w:rsidR="007F08A4" w:rsidP="008B5B06" w14:paraId="1B2BC45B" w14:textId="056D1FF4">
      <w:pPr>
        <w:rPr>
          <w:color w:val="000000"/>
          <w:sz w:val="22"/>
          <w:szCs w:val="18"/>
        </w:rPr>
      </w:pPr>
      <w:r>
        <w:rPr>
          <w:color w:val="000000"/>
          <w:sz w:val="22"/>
          <w:szCs w:val="18"/>
        </w:rPr>
        <w:t>Home email address</w:t>
      </w:r>
    </w:p>
    <w:p w:rsidR="007F08A4" w:rsidRPr="00DC7187" w:rsidP="008B5B06" w14:paraId="466F749C" w14:textId="7B8146E1">
      <w:pPr>
        <w:rPr>
          <w:color w:val="000000"/>
          <w:sz w:val="22"/>
          <w:szCs w:val="18"/>
        </w:rPr>
      </w:pPr>
      <w:r>
        <w:rPr>
          <w:color w:val="000000"/>
          <w:sz w:val="22"/>
          <w:szCs w:val="18"/>
        </w:rPr>
        <w:t>Work email address</w:t>
      </w:r>
    </w:p>
    <w:p w:rsidR="007306CB" w:rsidP="008B5B06" w14:paraId="1C948188" w14:textId="50C29045">
      <w:pPr>
        <w:rPr>
          <w:color w:val="000000"/>
          <w:sz w:val="22"/>
          <w:szCs w:val="18"/>
        </w:rPr>
      </w:pPr>
      <w:r w:rsidRPr="00DC7187">
        <w:rPr>
          <w:color w:val="000000"/>
          <w:sz w:val="22"/>
          <w:szCs w:val="18"/>
        </w:rPr>
        <w:t>Cell phone number</w:t>
      </w:r>
    </w:p>
    <w:p w:rsidR="007F08A4" w:rsidRPr="00DC7187" w:rsidP="008B5B06" w14:paraId="532578D0" w14:textId="588B2024">
      <w:pPr>
        <w:rPr>
          <w:color w:val="000000"/>
          <w:sz w:val="22"/>
          <w:szCs w:val="18"/>
        </w:rPr>
      </w:pPr>
      <w:r>
        <w:rPr>
          <w:color w:val="000000"/>
          <w:sz w:val="22"/>
          <w:szCs w:val="18"/>
        </w:rPr>
        <w:t>An option to opt out of receiving text messages</w:t>
      </w:r>
    </w:p>
    <w:p w:rsidR="007F08A4" w:rsidRPr="00DC7187" w:rsidP="008B5B06" w14:paraId="3FF6BBD6" w14:textId="304C1FDC">
      <w:pPr>
        <w:rPr>
          <w:color w:val="000000"/>
          <w:sz w:val="22"/>
          <w:szCs w:val="18"/>
        </w:rPr>
      </w:pPr>
      <w:r w:rsidRPr="00DC7187">
        <w:rPr>
          <w:color w:val="000000"/>
          <w:sz w:val="22"/>
          <w:szCs w:val="18"/>
        </w:rPr>
        <w:t>Home phone number</w:t>
      </w:r>
    </w:p>
    <w:p w:rsidR="007306CB" w:rsidRPr="00DC7187" w:rsidP="008B5B06" w14:paraId="40DC4887" w14:textId="77777777">
      <w:pPr>
        <w:rPr>
          <w:color w:val="000000"/>
          <w:sz w:val="22"/>
          <w:szCs w:val="18"/>
        </w:rPr>
      </w:pPr>
    </w:p>
    <w:p w:rsidR="007306CB" w:rsidRPr="00DC7187" w:rsidP="008B5B06" w14:paraId="5DD73563" w14:textId="68E61235">
      <w:pPr>
        <w:rPr>
          <w:sz w:val="22"/>
          <w:szCs w:val="18"/>
        </w:rPr>
      </w:pPr>
      <w:bookmarkStart w:id="25" w:name="_Hlk152051261"/>
      <w:r w:rsidRPr="00DC7187">
        <w:rPr>
          <w:sz w:val="22"/>
          <w:szCs w:val="18"/>
        </w:rPr>
        <w:t xml:space="preserve">Prior to the start of </w:t>
      </w:r>
      <w:r w:rsidR="001A29C8">
        <w:rPr>
          <w:sz w:val="22"/>
          <w:szCs w:val="18"/>
        </w:rPr>
        <w:t xml:space="preserve">TFS </w:t>
      </w:r>
      <w:r w:rsidRPr="00DC7187">
        <w:rPr>
          <w:sz w:val="22"/>
          <w:szCs w:val="18"/>
        </w:rPr>
        <w:t xml:space="preserve">data collection, Census </w:t>
      </w:r>
      <w:r w:rsidR="00F247D4">
        <w:rPr>
          <w:sz w:val="22"/>
          <w:szCs w:val="18"/>
        </w:rPr>
        <w:t xml:space="preserve">Bureau </w:t>
      </w:r>
      <w:r w:rsidRPr="00DC7187">
        <w:rPr>
          <w:sz w:val="22"/>
          <w:szCs w:val="18"/>
        </w:rPr>
        <w:t>staff will conduct research to obtain contact information (</w:t>
      </w:r>
      <w:r w:rsidRPr="00DC7187" w:rsidR="00223A7E">
        <w:rPr>
          <w:sz w:val="22"/>
          <w:szCs w:val="18"/>
        </w:rPr>
        <w:t xml:space="preserve">e.g., </w:t>
      </w:r>
      <w:r w:rsidRPr="00DC7187">
        <w:rPr>
          <w:sz w:val="22"/>
          <w:szCs w:val="18"/>
        </w:rPr>
        <w:t>home address, email address, and</w:t>
      </w:r>
      <w:r w:rsidRPr="00DC7187" w:rsidR="00223A7E">
        <w:rPr>
          <w:sz w:val="22"/>
          <w:szCs w:val="18"/>
        </w:rPr>
        <w:t>/or</w:t>
      </w:r>
      <w:r w:rsidRPr="00DC7187">
        <w:rPr>
          <w:sz w:val="22"/>
          <w:szCs w:val="18"/>
        </w:rPr>
        <w:t xml:space="preserve"> telephone number) for teachers who provided incomplete or no</w:t>
      </w:r>
      <w:r w:rsidR="00B84681">
        <w:rPr>
          <w:sz w:val="22"/>
          <w:szCs w:val="18"/>
        </w:rPr>
        <w:t xml:space="preserve"> personal</w:t>
      </w:r>
      <w:r w:rsidRPr="00DC7187">
        <w:rPr>
          <w:sz w:val="22"/>
          <w:szCs w:val="18"/>
        </w:rPr>
        <w:t xml:space="preserve"> contact information </w:t>
      </w:r>
      <w:r w:rsidR="001A29C8">
        <w:rPr>
          <w:sz w:val="22"/>
          <w:szCs w:val="18"/>
        </w:rPr>
        <w:t>o</w:t>
      </w:r>
      <w:r w:rsidRPr="00DC7187">
        <w:rPr>
          <w:sz w:val="22"/>
          <w:szCs w:val="18"/>
        </w:rPr>
        <w:t>n the</w:t>
      </w:r>
      <w:r w:rsidR="007F08A4">
        <w:rPr>
          <w:sz w:val="22"/>
          <w:szCs w:val="18"/>
        </w:rPr>
        <w:t>ir completed</w:t>
      </w:r>
      <w:r w:rsidRPr="00DC7187">
        <w:rPr>
          <w:sz w:val="22"/>
          <w:szCs w:val="18"/>
        </w:rPr>
        <w:t xml:space="preserve"> NTPS </w:t>
      </w:r>
      <w:r w:rsidR="007F08A4">
        <w:rPr>
          <w:sz w:val="22"/>
          <w:szCs w:val="18"/>
        </w:rPr>
        <w:t>questionnaire</w:t>
      </w:r>
      <w:r w:rsidRPr="00DC7187">
        <w:rPr>
          <w:sz w:val="22"/>
          <w:szCs w:val="18"/>
        </w:rPr>
        <w:t xml:space="preserve">. Staff will use </w:t>
      </w:r>
      <w:r w:rsidR="00A87F03">
        <w:rPr>
          <w:sz w:val="22"/>
          <w:szCs w:val="18"/>
        </w:rPr>
        <w:t xml:space="preserve">partial address </w:t>
      </w:r>
      <w:r w:rsidRPr="00DC7187">
        <w:rPr>
          <w:sz w:val="22"/>
          <w:szCs w:val="18"/>
        </w:rPr>
        <w:t xml:space="preserve">information provided </w:t>
      </w:r>
      <w:r w:rsidR="00A87F03">
        <w:rPr>
          <w:sz w:val="22"/>
          <w:szCs w:val="18"/>
        </w:rPr>
        <w:t>on</w:t>
      </w:r>
      <w:r w:rsidRPr="00DC7187">
        <w:rPr>
          <w:sz w:val="22"/>
          <w:szCs w:val="18"/>
        </w:rPr>
        <w:t xml:space="preserve"> the NTPS questionnaire to attempt to complete the address of the sample</w:t>
      </w:r>
      <w:r w:rsidR="00DF5342">
        <w:rPr>
          <w:sz w:val="22"/>
          <w:szCs w:val="18"/>
        </w:rPr>
        <w:t>d teacher</w:t>
      </w:r>
      <w:r w:rsidRPr="00DC7187">
        <w:rPr>
          <w:sz w:val="22"/>
          <w:szCs w:val="18"/>
        </w:rPr>
        <w:t xml:space="preserve">. </w:t>
      </w:r>
      <w:r w:rsidR="00A87F03">
        <w:rPr>
          <w:sz w:val="22"/>
          <w:szCs w:val="18"/>
        </w:rPr>
        <w:t>In addition, s</w:t>
      </w:r>
      <w:r w:rsidRPr="00DC7187">
        <w:rPr>
          <w:sz w:val="22"/>
          <w:szCs w:val="18"/>
        </w:rPr>
        <w:t xml:space="preserve">taff will use sources such as the white or yellow pages, </w:t>
      </w:r>
      <w:r w:rsidR="008C4398">
        <w:rPr>
          <w:sz w:val="22"/>
          <w:szCs w:val="18"/>
        </w:rPr>
        <w:t>i</w:t>
      </w:r>
      <w:r w:rsidRPr="00DC7187">
        <w:rPr>
          <w:sz w:val="22"/>
          <w:szCs w:val="18"/>
        </w:rPr>
        <w:t>nternet searches, and other address and phone number databases</w:t>
      </w:r>
      <w:r w:rsidR="00483A16">
        <w:rPr>
          <w:sz w:val="22"/>
          <w:szCs w:val="18"/>
        </w:rPr>
        <w:t xml:space="preserve"> </w:t>
      </w:r>
      <w:r w:rsidRPr="00DC7187" w:rsidR="00483A16">
        <w:rPr>
          <w:sz w:val="22"/>
          <w:szCs w:val="18"/>
        </w:rPr>
        <w:t xml:space="preserve">to attempt to </w:t>
      </w:r>
      <w:r w:rsidR="00A87F03">
        <w:rPr>
          <w:sz w:val="22"/>
          <w:szCs w:val="18"/>
        </w:rPr>
        <w:t xml:space="preserve">collect missing contact information. </w:t>
      </w:r>
    </w:p>
    <w:bookmarkEnd w:id="25"/>
    <w:p w:rsidR="007306CB" w:rsidP="008B5B06" w14:paraId="242808B5" w14:textId="66F405CD">
      <w:pPr>
        <w:rPr>
          <w:sz w:val="22"/>
          <w:szCs w:val="18"/>
        </w:rPr>
      </w:pPr>
    </w:p>
    <w:p w:rsidR="00175332" w:rsidP="008B5B06" w14:paraId="6F5ADF5C" w14:textId="55EC6B36">
      <w:pPr>
        <w:rPr>
          <w:sz w:val="22"/>
          <w:szCs w:val="18"/>
        </w:rPr>
      </w:pPr>
      <w:r>
        <w:rPr>
          <w:sz w:val="22"/>
          <w:szCs w:val="18"/>
        </w:rPr>
        <w:t xml:space="preserve">All teachers with a </w:t>
      </w:r>
      <w:r w:rsidR="00080C09">
        <w:rPr>
          <w:sz w:val="22"/>
          <w:szCs w:val="18"/>
        </w:rPr>
        <w:t>“</w:t>
      </w:r>
      <w:r w:rsidR="000E481C">
        <w:rPr>
          <w:sz w:val="22"/>
          <w:szCs w:val="18"/>
        </w:rPr>
        <w:t>m</w:t>
      </w:r>
      <w:r w:rsidR="00080C09">
        <w:rPr>
          <w:sz w:val="22"/>
          <w:szCs w:val="18"/>
        </w:rPr>
        <w:t>over”</w:t>
      </w:r>
      <w:r w:rsidR="00A87F03">
        <w:rPr>
          <w:sz w:val="22"/>
          <w:szCs w:val="18"/>
        </w:rPr>
        <w:t xml:space="preserve">, </w:t>
      </w:r>
      <w:r w:rsidR="00080C09">
        <w:rPr>
          <w:sz w:val="22"/>
          <w:szCs w:val="18"/>
        </w:rPr>
        <w:t>“</w:t>
      </w:r>
      <w:r w:rsidR="000E481C">
        <w:rPr>
          <w:sz w:val="22"/>
          <w:szCs w:val="18"/>
        </w:rPr>
        <w:t>l</w:t>
      </w:r>
      <w:r w:rsidR="00080C09">
        <w:rPr>
          <w:sz w:val="22"/>
          <w:szCs w:val="18"/>
        </w:rPr>
        <w:t>eaver”</w:t>
      </w:r>
      <w:r w:rsidR="00A87F03">
        <w:rPr>
          <w:sz w:val="22"/>
          <w:szCs w:val="18"/>
        </w:rPr>
        <w:t>, or unknown</w:t>
      </w:r>
      <w:r w:rsidR="007219CA">
        <w:rPr>
          <w:sz w:val="22"/>
          <w:szCs w:val="18"/>
        </w:rPr>
        <w:t xml:space="preserve"> occupation</w:t>
      </w:r>
      <w:r w:rsidR="00080C09">
        <w:rPr>
          <w:sz w:val="22"/>
          <w:szCs w:val="18"/>
        </w:rPr>
        <w:t xml:space="preserve"> status </w:t>
      </w:r>
      <w:r w:rsidR="007219CA">
        <w:rPr>
          <w:sz w:val="22"/>
          <w:szCs w:val="18"/>
        </w:rPr>
        <w:t>("unknown"</w:t>
      </w:r>
      <w:r w:rsidR="009A4471">
        <w:rPr>
          <w:sz w:val="22"/>
          <w:szCs w:val="18"/>
        </w:rPr>
        <w:t xml:space="preserve"> teachers</w:t>
      </w:r>
      <w:r w:rsidR="007219CA">
        <w:rPr>
          <w:sz w:val="22"/>
          <w:szCs w:val="18"/>
        </w:rPr>
        <w:t xml:space="preserve">) </w:t>
      </w:r>
      <w:r>
        <w:rPr>
          <w:sz w:val="22"/>
          <w:szCs w:val="18"/>
        </w:rPr>
        <w:t>are included in the TFS.</w:t>
      </w:r>
      <w:r w:rsidR="008A4ECA">
        <w:rPr>
          <w:sz w:val="22"/>
          <w:szCs w:val="18"/>
        </w:rPr>
        <w:t xml:space="preserve"> </w:t>
      </w:r>
      <w:r w:rsidR="00C2773B">
        <w:rPr>
          <w:sz w:val="22"/>
          <w:szCs w:val="18"/>
        </w:rPr>
        <w:t>Data collection for m</w:t>
      </w:r>
      <w:r w:rsidR="008A4ECA">
        <w:rPr>
          <w:sz w:val="22"/>
          <w:szCs w:val="18"/>
        </w:rPr>
        <w:t>overs</w:t>
      </w:r>
      <w:r w:rsidR="007219CA">
        <w:rPr>
          <w:sz w:val="22"/>
          <w:szCs w:val="18"/>
        </w:rPr>
        <w:t xml:space="preserve">, </w:t>
      </w:r>
      <w:r w:rsidR="008A4ECA">
        <w:rPr>
          <w:sz w:val="22"/>
          <w:szCs w:val="18"/>
        </w:rPr>
        <w:t>leavers</w:t>
      </w:r>
      <w:r w:rsidR="007219CA">
        <w:rPr>
          <w:sz w:val="22"/>
          <w:szCs w:val="18"/>
        </w:rPr>
        <w:t xml:space="preserve">, unknowns </w:t>
      </w:r>
      <w:r w:rsidR="000E481C">
        <w:rPr>
          <w:sz w:val="22"/>
          <w:szCs w:val="18"/>
        </w:rPr>
        <w:t xml:space="preserve">will </w:t>
      </w:r>
      <w:r w:rsidR="00430FD0">
        <w:rPr>
          <w:sz w:val="22"/>
          <w:szCs w:val="18"/>
        </w:rPr>
        <w:t>be</w:t>
      </w:r>
      <w:r w:rsidR="00C2773B">
        <w:rPr>
          <w:sz w:val="22"/>
          <w:szCs w:val="18"/>
        </w:rPr>
        <w:t xml:space="preserve">gin in the fall with an </w:t>
      </w:r>
      <w:r w:rsidR="009A61F8">
        <w:rPr>
          <w:sz w:val="22"/>
          <w:szCs w:val="18"/>
        </w:rPr>
        <w:t xml:space="preserve">early </w:t>
      </w:r>
      <w:r w:rsidR="001954EE">
        <w:rPr>
          <w:sz w:val="22"/>
          <w:szCs w:val="18"/>
        </w:rPr>
        <w:t xml:space="preserve">email </w:t>
      </w:r>
      <w:r w:rsidR="004A77B3">
        <w:rPr>
          <w:sz w:val="22"/>
          <w:szCs w:val="18"/>
        </w:rPr>
        <w:t xml:space="preserve">invitation </w:t>
      </w:r>
      <w:r w:rsidR="00B41B71">
        <w:rPr>
          <w:sz w:val="22"/>
          <w:szCs w:val="18"/>
        </w:rPr>
        <w:t>asking them to</w:t>
      </w:r>
      <w:r w:rsidR="00C2773B">
        <w:rPr>
          <w:sz w:val="22"/>
          <w:szCs w:val="18"/>
        </w:rPr>
        <w:t xml:space="preserve"> </w:t>
      </w:r>
      <w:r w:rsidR="004A77B3">
        <w:rPr>
          <w:sz w:val="22"/>
          <w:szCs w:val="18"/>
        </w:rPr>
        <w:t>participat</w:t>
      </w:r>
      <w:r w:rsidR="00B41B71">
        <w:rPr>
          <w:sz w:val="22"/>
          <w:szCs w:val="18"/>
        </w:rPr>
        <w:t>e</w:t>
      </w:r>
      <w:r w:rsidR="008A4ECA">
        <w:rPr>
          <w:sz w:val="22"/>
          <w:szCs w:val="18"/>
        </w:rPr>
        <w:t xml:space="preserve"> in the 2024-25 TFS, </w:t>
      </w:r>
      <w:r w:rsidRPr="00DC7187" w:rsidR="0094585F">
        <w:rPr>
          <w:sz w:val="22"/>
          <w:szCs w:val="18"/>
        </w:rPr>
        <w:t xml:space="preserve">unless a valid </w:t>
      </w:r>
      <w:r w:rsidR="00645F66">
        <w:rPr>
          <w:sz w:val="22"/>
          <w:szCs w:val="18"/>
        </w:rPr>
        <w:t xml:space="preserve">home </w:t>
      </w:r>
      <w:r w:rsidRPr="00DC7187" w:rsidR="0094585F">
        <w:rPr>
          <w:sz w:val="22"/>
          <w:szCs w:val="18"/>
        </w:rPr>
        <w:t>email address is unavailable</w:t>
      </w:r>
      <w:r w:rsidR="008A4ECA">
        <w:rPr>
          <w:sz w:val="22"/>
          <w:szCs w:val="18"/>
        </w:rPr>
        <w:t>.</w:t>
      </w:r>
      <w:r w:rsidR="001954EE">
        <w:rPr>
          <w:sz w:val="22"/>
          <w:szCs w:val="18"/>
        </w:rPr>
        <w:t xml:space="preserve"> This email </w:t>
      </w:r>
      <w:r w:rsidR="003917DF">
        <w:rPr>
          <w:sz w:val="22"/>
          <w:szCs w:val="18"/>
        </w:rPr>
        <w:t xml:space="preserve">invitation </w:t>
      </w:r>
      <w:r w:rsidR="001954EE">
        <w:rPr>
          <w:sz w:val="22"/>
          <w:szCs w:val="18"/>
        </w:rPr>
        <w:t xml:space="preserve">will include </w:t>
      </w:r>
      <w:r w:rsidR="00546CA3">
        <w:rPr>
          <w:sz w:val="22"/>
          <w:szCs w:val="18"/>
        </w:rPr>
        <w:t xml:space="preserve">text thanking the teacher for their participation in the NTPS, </w:t>
      </w:r>
      <w:r w:rsidR="00556B41">
        <w:rPr>
          <w:sz w:val="22"/>
          <w:szCs w:val="18"/>
        </w:rPr>
        <w:t>along with</w:t>
      </w:r>
      <w:r w:rsidR="00546CA3">
        <w:rPr>
          <w:sz w:val="22"/>
          <w:szCs w:val="18"/>
        </w:rPr>
        <w:t xml:space="preserve"> </w:t>
      </w:r>
      <w:r w:rsidR="001954EE">
        <w:rPr>
          <w:sz w:val="22"/>
          <w:szCs w:val="18"/>
        </w:rPr>
        <w:t xml:space="preserve">a link to the </w:t>
      </w:r>
      <w:r w:rsidR="00546CA3">
        <w:rPr>
          <w:sz w:val="22"/>
          <w:szCs w:val="18"/>
        </w:rPr>
        <w:t xml:space="preserve">TFS </w:t>
      </w:r>
      <w:r w:rsidR="001954EE">
        <w:rPr>
          <w:sz w:val="22"/>
          <w:szCs w:val="18"/>
        </w:rPr>
        <w:t>survey</w:t>
      </w:r>
      <w:r w:rsidR="00546CA3">
        <w:rPr>
          <w:sz w:val="22"/>
          <w:szCs w:val="18"/>
        </w:rPr>
        <w:t xml:space="preserve"> and </w:t>
      </w:r>
      <w:r w:rsidR="001954EE">
        <w:rPr>
          <w:sz w:val="22"/>
          <w:szCs w:val="18"/>
        </w:rPr>
        <w:t>their login credentials</w:t>
      </w:r>
      <w:r w:rsidR="00546CA3">
        <w:rPr>
          <w:sz w:val="22"/>
          <w:szCs w:val="18"/>
        </w:rPr>
        <w:t>.</w:t>
      </w:r>
      <w:r w:rsidR="008422BE">
        <w:rPr>
          <w:sz w:val="22"/>
          <w:szCs w:val="18"/>
        </w:rPr>
        <w:t xml:space="preserve"> </w:t>
      </w:r>
      <w:r w:rsidR="00556B41">
        <w:rPr>
          <w:sz w:val="22"/>
          <w:szCs w:val="18"/>
        </w:rPr>
        <w:t>Teachers receiving this email will be promised a</w:t>
      </w:r>
      <w:r w:rsidR="008422BE">
        <w:rPr>
          <w:sz w:val="22"/>
          <w:szCs w:val="18"/>
        </w:rPr>
        <w:t xml:space="preserve"> $</w:t>
      </w:r>
      <w:r>
        <w:rPr>
          <w:sz w:val="22"/>
          <w:szCs w:val="18"/>
        </w:rPr>
        <w:t>20</w:t>
      </w:r>
      <w:r w:rsidR="008422BE">
        <w:rPr>
          <w:sz w:val="22"/>
          <w:szCs w:val="18"/>
        </w:rPr>
        <w:t xml:space="preserve"> incentive</w:t>
      </w:r>
      <w:r w:rsidR="00C2773B">
        <w:rPr>
          <w:sz w:val="22"/>
          <w:szCs w:val="18"/>
        </w:rPr>
        <w:t xml:space="preserve"> </w:t>
      </w:r>
      <w:r>
        <w:rPr>
          <w:sz w:val="22"/>
          <w:szCs w:val="18"/>
        </w:rPr>
        <w:t>if they complete the TFS online within two weeks</w:t>
      </w:r>
      <w:r w:rsidR="00C2773B">
        <w:rPr>
          <w:sz w:val="22"/>
          <w:szCs w:val="18"/>
        </w:rPr>
        <w:t xml:space="preserve"> ("early bird incentive")</w:t>
      </w:r>
      <w:r>
        <w:rPr>
          <w:sz w:val="22"/>
          <w:szCs w:val="18"/>
        </w:rPr>
        <w:t xml:space="preserve">. One day before the completion deadline, teachers who have not yet completed their TFS online will </w:t>
      </w:r>
      <w:r w:rsidR="00C2773B">
        <w:rPr>
          <w:sz w:val="22"/>
          <w:szCs w:val="18"/>
        </w:rPr>
        <w:t xml:space="preserve">be sent a </w:t>
      </w:r>
      <w:r>
        <w:rPr>
          <w:sz w:val="22"/>
          <w:szCs w:val="18"/>
        </w:rPr>
        <w:t xml:space="preserve">reminder email, extending the completion deadline </w:t>
      </w:r>
      <w:r w:rsidR="00C2773B">
        <w:rPr>
          <w:sz w:val="22"/>
          <w:szCs w:val="18"/>
        </w:rPr>
        <w:t>one</w:t>
      </w:r>
      <w:r>
        <w:rPr>
          <w:sz w:val="22"/>
          <w:szCs w:val="18"/>
        </w:rPr>
        <w:t xml:space="preserve"> additional week. The</w:t>
      </w:r>
      <w:r w:rsidR="00C2773B">
        <w:rPr>
          <w:sz w:val="22"/>
          <w:szCs w:val="18"/>
        </w:rPr>
        <w:t>refore, movers</w:t>
      </w:r>
      <w:r w:rsidR="007219CA">
        <w:rPr>
          <w:sz w:val="22"/>
          <w:szCs w:val="18"/>
        </w:rPr>
        <w:t>,</w:t>
      </w:r>
      <w:r w:rsidR="00C2773B">
        <w:rPr>
          <w:sz w:val="22"/>
          <w:szCs w:val="18"/>
        </w:rPr>
        <w:t xml:space="preserve"> leavers</w:t>
      </w:r>
      <w:r w:rsidR="007219CA">
        <w:rPr>
          <w:sz w:val="22"/>
          <w:szCs w:val="18"/>
        </w:rPr>
        <w:t>, and unknown</w:t>
      </w:r>
      <w:r w:rsidR="009A4471">
        <w:rPr>
          <w:sz w:val="22"/>
          <w:szCs w:val="18"/>
        </w:rPr>
        <w:t xml:space="preserve"> teachers</w:t>
      </w:r>
      <w:r w:rsidR="00C2773B">
        <w:rPr>
          <w:sz w:val="22"/>
          <w:szCs w:val="18"/>
        </w:rPr>
        <w:t xml:space="preserve"> who complete their TFS online within 3 weeks of the initial invitation </w:t>
      </w:r>
      <w:r w:rsidR="008C7B87">
        <w:rPr>
          <w:sz w:val="22"/>
          <w:szCs w:val="18"/>
        </w:rPr>
        <w:t xml:space="preserve">email </w:t>
      </w:r>
      <w:r w:rsidR="00C2773B">
        <w:rPr>
          <w:sz w:val="22"/>
          <w:szCs w:val="18"/>
        </w:rPr>
        <w:t>will receive a $20 incentive</w:t>
      </w:r>
      <w:r w:rsidR="006C4C65">
        <w:rPr>
          <w:sz w:val="22"/>
          <w:szCs w:val="18"/>
        </w:rPr>
        <w:t xml:space="preserve"> after they complete their TFS. </w:t>
      </w:r>
      <w:r w:rsidR="00C2773B">
        <w:rPr>
          <w:sz w:val="22"/>
          <w:szCs w:val="18"/>
        </w:rPr>
        <w:t>Th</w:t>
      </w:r>
      <w:r w:rsidR="007219CA">
        <w:rPr>
          <w:sz w:val="22"/>
          <w:szCs w:val="18"/>
        </w:rPr>
        <w:t xml:space="preserve">is early </w:t>
      </w:r>
      <w:r w:rsidR="00C2773B">
        <w:rPr>
          <w:sz w:val="22"/>
          <w:szCs w:val="18"/>
        </w:rPr>
        <w:t xml:space="preserve">contact strategy described above will be administered in </w:t>
      </w:r>
      <w:r w:rsidR="00556B41">
        <w:rPr>
          <w:sz w:val="22"/>
          <w:szCs w:val="18"/>
        </w:rPr>
        <w:t xml:space="preserve">two batches, </w:t>
      </w:r>
      <w:r w:rsidR="0050079D">
        <w:rPr>
          <w:sz w:val="22"/>
          <w:szCs w:val="18"/>
        </w:rPr>
        <w:t xml:space="preserve">with the </w:t>
      </w:r>
      <w:r w:rsidR="00556B41">
        <w:rPr>
          <w:sz w:val="22"/>
          <w:szCs w:val="18"/>
        </w:rPr>
        <w:t>first in late October and the</w:t>
      </w:r>
      <w:r w:rsidR="0050079D">
        <w:rPr>
          <w:sz w:val="22"/>
          <w:szCs w:val="18"/>
        </w:rPr>
        <w:t xml:space="preserve"> second</w:t>
      </w:r>
      <w:r w:rsidR="00556B41">
        <w:rPr>
          <w:sz w:val="22"/>
          <w:szCs w:val="18"/>
        </w:rPr>
        <w:t xml:space="preserve"> in early December.</w:t>
      </w:r>
      <w:r w:rsidR="00C2773B">
        <w:rPr>
          <w:sz w:val="22"/>
          <w:szCs w:val="18"/>
        </w:rPr>
        <w:t xml:space="preserve"> </w:t>
      </w:r>
      <w:r w:rsidR="007613E6">
        <w:rPr>
          <w:sz w:val="22"/>
          <w:szCs w:val="18"/>
        </w:rPr>
        <w:t>Nonrespondents will</w:t>
      </w:r>
      <w:r w:rsidR="00C2773B">
        <w:rPr>
          <w:sz w:val="22"/>
          <w:szCs w:val="18"/>
        </w:rPr>
        <w:t xml:space="preserve"> be in</w:t>
      </w:r>
      <w:r w:rsidR="007219CA">
        <w:rPr>
          <w:sz w:val="22"/>
          <w:szCs w:val="18"/>
        </w:rPr>
        <w:t>cluded in the</w:t>
      </w:r>
      <w:r w:rsidR="00C2773B">
        <w:rPr>
          <w:sz w:val="22"/>
          <w:szCs w:val="18"/>
        </w:rPr>
        <w:t xml:space="preserve"> </w:t>
      </w:r>
      <w:r w:rsidR="007219CA">
        <w:rPr>
          <w:sz w:val="22"/>
          <w:szCs w:val="18"/>
        </w:rPr>
        <w:t xml:space="preserve">Main </w:t>
      </w:r>
      <w:r w:rsidR="0050079D">
        <w:rPr>
          <w:sz w:val="22"/>
          <w:szCs w:val="18"/>
        </w:rPr>
        <w:t xml:space="preserve">TFS </w:t>
      </w:r>
      <w:r w:rsidR="007219CA">
        <w:rPr>
          <w:sz w:val="22"/>
          <w:szCs w:val="18"/>
        </w:rPr>
        <w:t>Contact Operations</w:t>
      </w:r>
      <w:r w:rsidR="00C2773B">
        <w:rPr>
          <w:sz w:val="22"/>
          <w:szCs w:val="18"/>
        </w:rPr>
        <w:t>,</w:t>
      </w:r>
      <w:r w:rsidR="003917DF">
        <w:rPr>
          <w:sz w:val="22"/>
          <w:szCs w:val="18"/>
        </w:rPr>
        <w:t xml:space="preserve"> beginning in January</w:t>
      </w:r>
      <w:r w:rsidR="005E14D4">
        <w:rPr>
          <w:sz w:val="22"/>
          <w:szCs w:val="18"/>
        </w:rPr>
        <w:t xml:space="preserve"> 2025</w:t>
      </w:r>
      <w:r>
        <w:rPr>
          <w:rStyle w:val="FootnoteReference"/>
          <w:sz w:val="22"/>
          <w:szCs w:val="18"/>
        </w:rPr>
        <w:footnoteReference w:id="4"/>
      </w:r>
      <w:r w:rsidR="0050079D">
        <w:rPr>
          <w:sz w:val="22"/>
          <w:szCs w:val="18"/>
        </w:rPr>
        <w:t>.</w:t>
      </w:r>
    </w:p>
    <w:p w:rsidR="00175332" w:rsidRPr="00DC7187" w:rsidP="008B5B06" w14:paraId="04886C95" w14:textId="77777777">
      <w:pPr>
        <w:rPr>
          <w:sz w:val="22"/>
          <w:szCs w:val="18"/>
        </w:rPr>
      </w:pPr>
    </w:p>
    <w:p w:rsidR="007F08A4" w:rsidP="008B5B06" w14:paraId="667B3D54" w14:textId="49A6BAB7">
      <w:pPr>
        <w:rPr>
          <w:sz w:val="22"/>
          <w:szCs w:val="18"/>
        </w:rPr>
      </w:pPr>
      <w:bookmarkStart w:id="26" w:name="_Hlk152051208"/>
      <w:r>
        <w:rPr>
          <w:sz w:val="22"/>
          <w:szCs w:val="18"/>
        </w:rPr>
        <w:t>Teachers sampled as "stayers" will begin data collection in January 2025, once</w:t>
      </w:r>
      <w:r w:rsidR="00737E7D">
        <w:rPr>
          <w:sz w:val="22"/>
          <w:szCs w:val="18"/>
        </w:rPr>
        <w:t xml:space="preserve"> the</w:t>
      </w:r>
      <w:r>
        <w:rPr>
          <w:sz w:val="22"/>
          <w:szCs w:val="18"/>
        </w:rPr>
        <w:t xml:space="preserve"> </w:t>
      </w:r>
      <w:r>
        <w:rPr>
          <w:sz w:val="22"/>
          <w:szCs w:val="18"/>
        </w:rPr>
        <w:t xml:space="preserve">TFS Main </w:t>
      </w:r>
      <w:r w:rsidR="007219CA">
        <w:rPr>
          <w:sz w:val="22"/>
          <w:szCs w:val="18"/>
        </w:rPr>
        <w:t>Contact Operations</w:t>
      </w:r>
      <w:r>
        <w:rPr>
          <w:sz w:val="22"/>
          <w:szCs w:val="18"/>
        </w:rPr>
        <w:t xml:space="preserve"> begin. </w:t>
      </w:r>
      <w:r w:rsidRPr="00DC7187" w:rsidR="007306CB">
        <w:rPr>
          <w:sz w:val="22"/>
          <w:szCs w:val="18"/>
        </w:rPr>
        <w:t>The first contact</w:t>
      </w:r>
      <w:r>
        <w:rPr>
          <w:sz w:val="22"/>
          <w:szCs w:val="18"/>
        </w:rPr>
        <w:t xml:space="preserve"> will be an initial </w:t>
      </w:r>
      <w:r w:rsidRPr="00DC7187" w:rsidR="008C0926">
        <w:rPr>
          <w:sz w:val="22"/>
          <w:szCs w:val="18"/>
        </w:rPr>
        <w:t>email invitation to participate (unless a valid email address is unavailable) with a link to the survey and their login credentials</w:t>
      </w:r>
      <w:r>
        <w:rPr>
          <w:sz w:val="22"/>
          <w:szCs w:val="18"/>
        </w:rPr>
        <w:t>. For the "mover</w:t>
      </w:r>
      <w:r w:rsidR="006067D1">
        <w:rPr>
          <w:sz w:val="22"/>
          <w:szCs w:val="18"/>
        </w:rPr>
        <w:t xml:space="preserve">, </w:t>
      </w:r>
      <w:r>
        <w:rPr>
          <w:sz w:val="22"/>
          <w:szCs w:val="18"/>
        </w:rPr>
        <w:t>"leav</w:t>
      </w:r>
      <w:r w:rsidR="006067D1">
        <w:rPr>
          <w:sz w:val="22"/>
          <w:szCs w:val="18"/>
        </w:rPr>
        <w:t>er,”</w:t>
      </w:r>
      <w:r w:rsidR="007219CA">
        <w:rPr>
          <w:sz w:val="22"/>
          <w:szCs w:val="18"/>
        </w:rPr>
        <w:t>, and "unknown"</w:t>
      </w:r>
      <w:r>
        <w:rPr>
          <w:sz w:val="22"/>
          <w:szCs w:val="18"/>
        </w:rPr>
        <w:t xml:space="preserve"> teachers who </w:t>
      </w:r>
      <w:r w:rsidR="00C2773B">
        <w:rPr>
          <w:sz w:val="22"/>
          <w:szCs w:val="18"/>
        </w:rPr>
        <w:t>did not complete their TFS during the early</w:t>
      </w:r>
      <w:r w:rsidR="009A4471">
        <w:rPr>
          <w:sz w:val="22"/>
          <w:szCs w:val="18"/>
        </w:rPr>
        <w:t xml:space="preserve"> contact operations</w:t>
      </w:r>
      <w:r w:rsidR="00C2773B">
        <w:rPr>
          <w:sz w:val="22"/>
          <w:szCs w:val="18"/>
        </w:rPr>
        <w:t xml:space="preserve">, </w:t>
      </w:r>
      <w:r>
        <w:rPr>
          <w:sz w:val="22"/>
          <w:szCs w:val="18"/>
        </w:rPr>
        <w:t xml:space="preserve">this email contact will serve as a reminder email rather than an initial email invitation. </w:t>
      </w:r>
    </w:p>
    <w:p w:rsidR="007F08A4" w:rsidP="008B5B06" w14:paraId="1C729A49" w14:textId="77777777">
      <w:pPr>
        <w:rPr>
          <w:sz w:val="22"/>
          <w:szCs w:val="18"/>
        </w:rPr>
      </w:pPr>
    </w:p>
    <w:p w:rsidR="00577719" w:rsidP="008B5B06" w14:paraId="1D2C31E6" w14:textId="22B6CCF8">
      <w:pPr>
        <w:rPr>
          <w:sz w:val="22"/>
          <w:szCs w:val="18"/>
        </w:rPr>
      </w:pPr>
      <w:r>
        <w:rPr>
          <w:sz w:val="22"/>
          <w:szCs w:val="18"/>
        </w:rPr>
        <w:t>A few weeks</w:t>
      </w:r>
      <w:r w:rsidRPr="00DC7187">
        <w:rPr>
          <w:sz w:val="22"/>
          <w:szCs w:val="18"/>
        </w:rPr>
        <w:t xml:space="preserve"> </w:t>
      </w:r>
      <w:r w:rsidRPr="00DC7187" w:rsidR="006C24F9">
        <w:rPr>
          <w:sz w:val="22"/>
          <w:szCs w:val="18"/>
        </w:rPr>
        <w:t>after this email</w:t>
      </w:r>
      <w:r w:rsidRPr="00DC7187" w:rsidR="008C0926">
        <w:rPr>
          <w:sz w:val="22"/>
          <w:szCs w:val="18"/>
        </w:rPr>
        <w:t>, a</w:t>
      </w:r>
      <w:r w:rsidRPr="00DC7187" w:rsidR="007306CB">
        <w:rPr>
          <w:sz w:val="22"/>
          <w:szCs w:val="18"/>
        </w:rPr>
        <w:t xml:space="preserve"> letter </w:t>
      </w:r>
      <w:r w:rsidRPr="00DC7187" w:rsidR="008C0926">
        <w:rPr>
          <w:sz w:val="22"/>
          <w:szCs w:val="18"/>
        </w:rPr>
        <w:t xml:space="preserve">will </w:t>
      </w:r>
      <w:r w:rsidRPr="00DC7187" w:rsidR="006C24F9">
        <w:rPr>
          <w:sz w:val="22"/>
          <w:szCs w:val="18"/>
        </w:rPr>
        <w:t xml:space="preserve">also </w:t>
      </w:r>
      <w:r w:rsidRPr="00DC7187" w:rsidR="008C0926">
        <w:rPr>
          <w:sz w:val="22"/>
          <w:szCs w:val="18"/>
        </w:rPr>
        <w:t xml:space="preserve">be </w:t>
      </w:r>
      <w:r w:rsidRPr="00DC7187" w:rsidR="007306CB">
        <w:rPr>
          <w:sz w:val="22"/>
          <w:szCs w:val="18"/>
        </w:rPr>
        <w:t xml:space="preserve">sent by mail inviting </w:t>
      </w:r>
      <w:r w:rsidR="00DF5342">
        <w:rPr>
          <w:sz w:val="22"/>
          <w:szCs w:val="18"/>
        </w:rPr>
        <w:t>teachers</w:t>
      </w:r>
      <w:r w:rsidRPr="00DC7187" w:rsidR="006C24F9">
        <w:rPr>
          <w:sz w:val="22"/>
          <w:szCs w:val="18"/>
        </w:rPr>
        <w:t xml:space="preserve"> </w:t>
      </w:r>
      <w:r w:rsidRPr="00DC7187" w:rsidR="007306CB">
        <w:rPr>
          <w:sz w:val="22"/>
          <w:szCs w:val="18"/>
        </w:rPr>
        <w:t xml:space="preserve">to participate in the survey and </w:t>
      </w:r>
      <w:bookmarkStart w:id="27" w:name="_Hlk152054686"/>
      <w:r w:rsidRPr="00DC7187" w:rsidR="007306CB">
        <w:rPr>
          <w:sz w:val="22"/>
          <w:szCs w:val="18"/>
        </w:rPr>
        <w:t xml:space="preserve">providing credentials for them to log </w:t>
      </w:r>
      <w:r w:rsidR="00483A16">
        <w:rPr>
          <w:sz w:val="22"/>
          <w:szCs w:val="18"/>
        </w:rPr>
        <w:t>in</w:t>
      </w:r>
      <w:r w:rsidRPr="00DC7187" w:rsidR="00483A16">
        <w:rPr>
          <w:sz w:val="22"/>
          <w:szCs w:val="18"/>
        </w:rPr>
        <w:t xml:space="preserve"> </w:t>
      </w:r>
      <w:r w:rsidRPr="00DC7187" w:rsidR="007306CB">
        <w:rPr>
          <w:sz w:val="22"/>
          <w:szCs w:val="18"/>
        </w:rPr>
        <w:t xml:space="preserve">and complete </w:t>
      </w:r>
      <w:bookmarkEnd w:id="27"/>
      <w:r w:rsidRPr="00DC7187" w:rsidR="007306CB">
        <w:rPr>
          <w:sz w:val="22"/>
          <w:szCs w:val="18"/>
        </w:rPr>
        <w:t>the</w:t>
      </w:r>
      <w:r w:rsidR="008A4ECA">
        <w:rPr>
          <w:sz w:val="22"/>
          <w:szCs w:val="18"/>
        </w:rPr>
        <w:t xml:space="preserve"> TFS online.</w:t>
      </w:r>
      <w:r w:rsidRPr="00DC7187" w:rsidR="007306CB">
        <w:rPr>
          <w:sz w:val="22"/>
          <w:szCs w:val="18"/>
        </w:rPr>
        <w:t xml:space="preserve"> </w:t>
      </w:r>
      <w:r>
        <w:rPr>
          <w:sz w:val="22"/>
          <w:szCs w:val="18"/>
        </w:rPr>
        <w:t xml:space="preserve">If a home address was provided on the 2023-24 NTPS </w:t>
      </w:r>
      <w:r w:rsidR="00483A16">
        <w:rPr>
          <w:sz w:val="22"/>
          <w:szCs w:val="18"/>
        </w:rPr>
        <w:t>T</w:t>
      </w:r>
      <w:r>
        <w:rPr>
          <w:sz w:val="22"/>
          <w:szCs w:val="18"/>
        </w:rPr>
        <w:t xml:space="preserve">eacher </w:t>
      </w:r>
      <w:r w:rsidR="00483A16">
        <w:rPr>
          <w:sz w:val="22"/>
          <w:szCs w:val="18"/>
        </w:rPr>
        <w:t>Q</w:t>
      </w:r>
      <w:r>
        <w:rPr>
          <w:sz w:val="22"/>
          <w:szCs w:val="18"/>
        </w:rPr>
        <w:t xml:space="preserve">uestionnaire or was obtained </w:t>
      </w:r>
      <w:r w:rsidR="008A4ECA">
        <w:rPr>
          <w:sz w:val="22"/>
          <w:szCs w:val="18"/>
        </w:rPr>
        <w:t>during the research operation conduct</w:t>
      </w:r>
      <w:r w:rsidR="00BD57C9">
        <w:rPr>
          <w:sz w:val="22"/>
          <w:szCs w:val="18"/>
        </w:rPr>
        <w:t>ed</w:t>
      </w:r>
      <w:r w:rsidR="008A4ECA">
        <w:rPr>
          <w:sz w:val="22"/>
          <w:szCs w:val="18"/>
        </w:rPr>
        <w:t xml:space="preserve"> prior to TFS data collection, then </w:t>
      </w:r>
      <w:r>
        <w:rPr>
          <w:sz w:val="22"/>
          <w:szCs w:val="18"/>
        </w:rPr>
        <w:t>the package will be mailed to the</w:t>
      </w:r>
      <w:r w:rsidR="005958D6">
        <w:rPr>
          <w:sz w:val="22"/>
          <w:szCs w:val="18"/>
        </w:rPr>
        <w:t xml:space="preserve"> teacher’s</w:t>
      </w:r>
      <w:r>
        <w:rPr>
          <w:sz w:val="22"/>
          <w:szCs w:val="18"/>
        </w:rPr>
        <w:t xml:space="preserve"> home address; otherwise, the NTPS school address will be used as the</w:t>
      </w:r>
      <w:r w:rsidR="004D525F">
        <w:rPr>
          <w:sz w:val="22"/>
          <w:szCs w:val="18"/>
        </w:rPr>
        <w:t xml:space="preserve"> mailing</w:t>
      </w:r>
      <w:r>
        <w:rPr>
          <w:sz w:val="22"/>
          <w:szCs w:val="18"/>
        </w:rPr>
        <w:t xml:space="preserve"> address.</w:t>
      </w:r>
      <w:r w:rsidR="005E14D4">
        <w:rPr>
          <w:sz w:val="22"/>
          <w:szCs w:val="18"/>
        </w:rPr>
        <w:t xml:space="preserve"> </w:t>
      </w:r>
      <w:r w:rsidRPr="00DC7187" w:rsidR="00530F72">
        <w:rPr>
          <w:sz w:val="22"/>
          <w:szCs w:val="18"/>
        </w:rPr>
        <w:t xml:space="preserve">All teachers will receive a </w:t>
      </w:r>
      <w:r w:rsidRPr="00DC7187" w:rsidR="006F6C6A">
        <w:rPr>
          <w:sz w:val="22"/>
          <w:szCs w:val="18"/>
        </w:rPr>
        <w:t xml:space="preserve">$10 </w:t>
      </w:r>
      <w:r w:rsidRPr="00DC7187" w:rsidR="00530F72">
        <w:rPr>
          <w:sz w:val="22"/>
          <w:szCs w:val="18"/>
        </w:rPr>
        <w:t xml:space="preserve">cash incentive in this initial mailed package. </w:t>
      </w:r>
      <w:r w:rsidR="0015537F">
        <w:rPr>
          <w:sz w:val="22"/>
          <w:szCs w:val="18"/>
        </w:rPr>
        <w:t xml:space="preserve">This </w:t>
      </w:r>
      <w:r w:rsidRPr="00DC7187" w:rsidR="006F6C6A">
        <w:rPr>
          <w:sz w:val="22"/>
          <w:szCs w:val="18"/>
        </w:rPr>
        <w:t xml:space="preserve">$10 </w:t>
      </w:r>
      <w:r w:rsidR="008A4ECA">
        <w:rPr>
          <w:sz w:val="22"/>
          <w:szCs w:val="18"/>
        </w:rPr>
        <w:t>cash incentive w</w:t>
      </w:r>
      <w:r w:rsidRPr="00DC7187" w:rsidR="009A6017">
        <w:rPr>
          <w:sz w:val="22"/>
          <w:szCs w:val="18"/>
        </w:rPr>
        <w:t xml:space="preserve">ill be adhered to a piece of yellow cardstock using removable sticky glue </w:t>
      </w:r>
      <w:r w:rsidRPr="00DC7187" w:rsidR="00D11A7C">
        <w:rPr>
          <w:sz w:val="22"/>
          <w:szCs w:val="18"/>
        </w:rPr>
        <w:t>and will be</w:t>
      </w:r>
      <w:r w:rsidRPr="00DC7187" w:rsidR="009A6017">
        <w:rPr>
          <w:sz w:val="22"/>
          <w:szCs w:val="18"/>
        </w:rPr>
        <w:t xml:space="preserve"> inserted</w:t>
      </w:r>
      <w:r w:rsidR="008A4ECA">
        <w:rPr>
          <w:sz w:val="22"/>
          <w:szCs w:val="18"/>
        </w:rPr>
        <w:t xml:space="preserve"> into the package along with the </w:t>
      </w:r>
      <w:r w:rsidR="00391A24">
        <w:rPr>
          <w:sz w:val="22"/>
          <w:szCs w:val="18"/>
        </w:rPr>
        <w:t>letter</w:t>
      </w:r>
      <w:r w:rsidRPr="00DC7187" w:rsidR="009A6017">
        <w:rPr>
          <w:sz w:val="22"/>
          <w:szCs w:val="18"/>
        </w:rPr>
        <w:t>. The cardstock will be ½ sheet rather than a full sheet and will include text thanking the</w:t>
      </w:r>
      <w:r w:rsidR="008A4ECA">
        <w:rPr>
          <w:sz w:val="22"/>
          <w:szCs w:val="18"/>
        </w:rPr>
        <w:t xml:space="preserve"> teacher</w:t>
      </w:r>
      <w:r w:rsidRPr="00DC7187" w:rsidR="009A6017">
        <w:rPr>
          <w:sz w:val="22"/>
          <w:szCs w:val="18"/>
        </w:rPr>
        <w:t xml:space="preserve"> for their participation in the study. Adhering the cas</w:t>
      </w:r>
      <w:r w:rsidRPr="00DC7187" w:rsidR="008C0926">
        <w:rPr>
          <w:sz w:val="22"/>
          <w:szCs w:val="18"/>
        </w:rPr>
        <w:t>h</w:t>
      </w:r>
      <w:r w:rsidRPr="00DC7187" w:rsidR="009A6017">
        <w:rPr>
          <w:sz w:val="22"/>
          <w:szCs w:val="18"/>
        </w:rPr>
        <w:t xml:space="preserve"> to the cardstock insert will (1) increase </w:t>
      </w:r>
      <w:r w:rsidRPr="00DC7187" w:rsidR="009A6017">
        <w:rPr>
          <w:sz w:val="22"/>
          <w:szCs w:val="18"/>
        </w:rPr>
        <w:t>the weight of the envelope, making it feel more “substantial” and important; (2) prevent the money from free-floating inside the envelope; and (3) help ensure that the respondent notices the cash.</w:t>
      </w:r>
    </w:p>
    <w:p w:rsidR="00577719" w:rsidP="008B5B06" w14:paraId="7DFB747D" w14:textId="77777777">
      <w:pPr>
        <w:rPr>
          <w:sz w:val="22"/>
          <w:szCs w:val="18"/>
        </w:rPr>
      </w:pPr>
    </w:p>
    <w:p w:rsidR="00F93E7C" w:rsidRPr="00DC7187" w:rsidP="008B5B06" w14:paraId="2EE2D741" w14:textId="518409BB">
      <w:pPr>
        <w:rPr>
          <w:sz w:val="22"/>
          <w:szCs w:val="18"/>
        </w:rPr>
      </w:pPr>
      <w:r w:rsidRPr="00DC7187">
        <w:rPr>
          <w:sz w:val="22"/>
          <w:szCs w:val="18"/>
        </w:rPr>
        <w:t xml:space="preserve">Each letter and email </w:t>
      </w:r>
      <w:r w:rsidR="00577719">
        <w:rPr>
          <w:sz w:val="22"/>
          <w:szCs w:val="18"/>
        </w:rPr>
        <w:t xml:space="preserve">sent throughout TFS data collection </w:t>
      </w:r>
      <w:r w:rsidRPr="00DC7187">
        <w:rPr>
          <w:sz w:val="22"/>
          <w:szCs w:val="18"/>
        </w:rPr>
        <w:t xml:space="preserve">will be customized and will provide the sampled teacher with login information to access the web-based instrument. </w:t>
      </w:r>
    </w:p>
    <w:p w:rsidR="002E0E01" w:rsidRPr="00DC7187" w:rsidP="008B5B06" w14:paraId="2D7E33C3" w14:textId="5D948C7D">
      <w:pPr>
        <w:rPr>
          <w:sz w:val="22"/>
          <w:szCs w:val="18"/>
        </w:rPr>
      </w:pPr>
    </w:p>
    <w:p w:rsidR="002E0E01" w:rsidRPr="00DC7187" w:rsidP="008B5B06" w14:paraId="26DE90A5" w14:textId="5E789ED8">
      <w:pPr>
        <w:rPr>
          <w:sz w:val="22"/>
          <w:szCs w:val="18"/>
        </w:rPr>
      </w:pPr>
      <w:bookmarkStart w:id="28" w:name="_Hlk92470751"/>
      <w:bookmarkStart w:id="29" w:name="_Hlk92470795"/>
      <w:r w:rsidRPr="00DC7187">
        <w:rPr>
          <w:sz w:val="22"/>
          <w:szCs w:val="18"/>
        </w:rPr>
        <w:t>In late January, Census will send nonrespond</w:t>
      </w:r>
      <w:r w:rsidR="005958D6">
        <w:rPr>
          <w:sz w:val="22"/>
          <w:szCs w:val="18"/>
        </w:rPr>
        <w:t>ing teachers</w:t>
      </w:r>
      <w:r w:rsidRPr="00DC7187" w:rsidR="00C64C80">
        <w:rPr>
          <w:sz w:val="22"/>
          <w:szCs w:val="18"/>
        </w:rPr>
        <w:t xml:space="preserve"> a first email reminder, followed by</w:t>
      </w:r>
      <w:r w:rsidRPr="00DC7187">
        <w:rPr>
          <w:sz w:val="22"/>
          <w:szCs w:val="18"/>
        </w:rPr>
        <w:t xml:space="preserve"> a second mailout</w:t>
      </w:r>
      <w:r w:rsidRPr="00DC7187" w:rsidR="00C64C80">
        <w:rPr>
          <w:sz w:val="22"/>
          <w:szCs w:val="18"/>
        </w:rPr>
        <w:t xml:space="preserve"> </w:t>
      </w:r>
      <w:r w:rsidR="00564F80">
        <w:rPr>
          <w:sz w:val="22"/>
          <w:szCs w:val="18"/>
        </w:rPr>
        <w:t xml:space="preserve">letter </w:t>
      </w:r>
      <w:r w:rsidRPr="00DC7187" w:rsidR="00036626">
        <w:rPr>
          <w:sz w:val="22"/>
          <w:szCs w:val="18"/>
        </w:rPr>
        <w:t xml:space="preserve">in early February. </w:t>
      </w:r>
      <w:bookmarkEnd w:id="28"/>
      <w:r w:rsidRPr="00DC7187" w:rsidR="00036626">
        <w:rPr>
          <w:sz w:val="22"/>
          <w:szCs w:val="18"/>
        </w:rPr>
        <w:t>A second reminder will be sent by email only in mid-February.</w:t>
      </w:r>
    </w:p>
    <w:bookmarkEnd w:id="29"/>
    <w:p w:rsidR="00F93E7C" w:rsidRPr="00DC7187" w:rsidP="008B5B06" w14:paraId="4F68A7BD" w14:textId="77777777">
      <w:pPr>
        <w:rPr>
          <w:sz w:val="22"/>
          <w:szCs w:val="18"/>
        </w:rPr>
      </w:pPr>
    </w:p>
    <w:p w:rsidR="00C51974" w:rsidP="00C405E4" w14:paraId="0AF23931" w14:textId="3D545DCA">
      <w:pPr>
        <w:rPr>
          <w:sz w:val="22"/>
          <w:szCs w:val="18"/>
        </w:rPr>
      </w:pPr>
      <w:bookmarkStart w:id="30" w:name="_Hlk92471198"/>
      <w:r>
        <w:rPr>
          <w:sz w:val="22"/>
          <w:szCs w:val="18"/>
        </w:rPr>
        <w:t>A</w:t>
      </w:r>
      <w:r w:rsidRPr="00DC7187">
        <w:rPr>
          <w:sz w:val="22"/>
          <w:szCs w:val="18"/>
        </w:rPr>
        <w:t xml:space="preserve"> </w:t>
      </w:r>
      <w:r w:rsidRPr="00DC7187" w:rsidR="00D11A7C">
        <w:rPr>
          <w:sz w:val="22"/>
          <w:szCs w:val="18"/>
        </w:rPr>
        <w:t xml:space="preserve">third </w:t>
      </w:r>
      <w:r w:rsidRPr="00DC7187" w:rsidR="00C64C80">
        <w:rPr>
          <w:sz w:val="22"/>
          <w:szCs w:val="18"/>
        </w:rPr>
        <w:t xml:space="preserve">reminder </w:t>
      </w:r>
      <w:r>
        <w:rPr>
          <w:sz w:val="22"/>
          <w:szCs w:val="18"/>
        </w:rPr>
        <w:t xml:space="preserve">by email </w:t>
      </w:r>
      <w:r w:rsidRPr="00DC7187" w:rsidR="00C64C80">
        <w:rPr>
          <w:sz w:val="22"/>
          <w:szCs w:val="18"/>
        </w:rPr>
        <w:t xml:space="preserve">will be sent to </w:t>
      </w:r>
      <w:r w:rsidRPr="00DC7187" w:rsidR="00564F80">
        <w:rPr>
          <w:sz w:val="22"/>
          <w:szCs w:val="18"/>
        </w:rPr>
        <w:t>nonrespond</w:t>
      </w:r>
      <w:r w:rsidR="00564F80">
        <w:rPr>
          <w:sz w:val="22"/>
          <w:szCs w:val="18"/>
        </w:rPr>
        <w:t>ing teachers</w:t>
      </w:r>
      <w:r w:rsidRPr="00DC7187" w:rsidR="00564F80">
        <w:rPr>
          <w:sz w:val="22"/>
          <w:szCs w:val="18"/>
        </w:rPr>
        <w:t xml:space="preserve"> </w:t>
      </w:r>
      <w:r w:rsidRPr="00DC7187" w:rsidR="00C64C80">
        <w:rPr>
          <w:sz w:val="22"/>
          <w:szCs w:val="18"/>
        </w:rPr>
        <w:t xml:space="preserve">in early March, followed by a </w:t>
      </w:r>
      <w:r w:rsidRPr="00DC7187" w:rsidR="00F93E7C">
        <w:rPr>
          <w:sz w:val="22"/>
          <w:szCs w:val="18"/>
        </w:rPr>
        <w:t xml:space="preserve">third </w:t>
      </w:r>
      <w:r w:rsidRPr="00DC7187" w:rsidR="00C64C80">
        <w:rPr>
          <w:sz w:val="22"/>
          <w:szCs w:val="18"/>
        </w:rPr>
        <w:t>mailout</w:t>
      </w:r>
      <w:r w:rsidRPr="00DC7187" w:rsidR="00F93E7C">
        <w:rPr>
          <w:sz w:val="22"/>
          <w:szCs w:val="18"/>
        </w:rPr>
        <w:t xml:space="preserve"> </w:t>
      </w:r>
      <w:r w:rsidR="00564F80">
        <w:rPr>
          <w:sz w:val="22"/>
          <w:szCs w:val="18"/>
        </w:rPr>
        <w:t xml:space="preserve">letter </w:t>
      </w:r>
      <w:r w:rsidRPr="00DC7187" w:rsidR="007306CB">
        <w:rPr>
          <w:sz w:val="22"/>
          <w:szCs w:val="18"/>
        </w:rPr>
        <w:t xml:space="preserve">in </w:t>
      </w:r>
      <w:r w:rsidRPr="00DC7187" w:rsidR="00D862A1">
        <w:rPr>
          <w:sz w:val="22"/>
          <w:szCs w:val="18"/>
        </w:rPr>
        <w:t>mid-</w:t>
      </w:r>
      <w:r w:rsidRPr="00DC7187" w:rsidR="007306CB">
        <w:rPr>
          <w:sz w:val="22"/>
          <w:szCs w:val="18"/>
        </w:rPr>
        <w:t>March.</w:t>
      </w:r>
      <w:r w:rsidRPr="00DC7187" w:rsidR="00C405E4">
        <w:rPr>
          <w:sz w:val="22"/>
          <w:szCs w:val="18"/>
        </w:rPr>
        <w:t xml:space="preserve"> A fourth reminder by email only will be sent in late March</w:t>
      </w:r>
      <w:r>
        <w:rPr>
          <w:sz w:val="22"/>
          <w:szCs w:val="18"/>
        </w:rPr>
        <w:t>.</w:t>
      </w:r>
    </w:p>
    <w:p w:rsidR="00C51974" w:rsidP="00C405E4" w14:paraId="76BDCAE8" w14:textId="77777777">
      <w:pPr>
        <w:rPr>
          <w:sz w:val="22"/>
          <w:szCs w:val="18"/>
        </w:rPr>
      </w:pPr>
    </w:p>
    <w:p w:rsidR="001B7AFB" w:rsidP="00C405E4" w14:paraId="1D1C5537" w14:textId="51E01768">
      <w:pPr>
        <w:rPr>
          <w:sz w:val="22"/>
          <w:szCs w:val="18"/>
        </w:rPr>
      </w:pPr>
      <w:r>
        <w:rPr>
          <w:sz w:val="22"/>
          <w:szCs w:val="18"/>
        </w:rPr>
        <w:t xml:space="preserve">In mid-April, </w:t>
      </w:r>
      <w:r w:rsidR="00C51974">
        <w:rPr>
          <w:sz w:val="22"/>
          <w:szCs w:val="18"/>
        </w:rPr>
        <w:t xml:space="preserve">nonresponding teachers will be sent </w:t>
      </w:r>
      <w:r>
        <w:rPr>
          <w:sz w:val="22"/>
          <w:szCs w:val="18"/>
        </w:rPr>
        <w:t>a</w:t>
      </w:r>
      <w:r w:rsidR="00602103">
        <w:rPr>
          <w:sz w:val="22"/>
          <w:szCs w:val="18"/>
        </w:rPr>
        <w:t xml:space="preserve"> fourth mailout letter with</w:t>
      </w:r>
      <w:r w:rsidR="005909AA">
        <w:rPr>
          <w:sz w:val="22"/>
          <w:szCs w:val="18"/>
        </w:rPr>
        <w:t xml:space="preserve"> web instrument login credentials and</w:t>
      </w:r>
      <w:r w:rsidR="00602103">
        <w:rPr>
          <w:sz w:val="22"/>
          <w:szCs w:val="18"/>
        </w:rPr>
        <w:t xml:space="preserve"> a paper copy of the </w:t>
      </w:r>
      <w:r w:rsidR="008A4ECA">
        <w:rPr>
          <w:sz w:val="22"/>
          <w:szCs w:val="18"/>
        </w:rPr>
        <w:t>appropr</w:t>
      </w:r>
      <w:r w:rsidR="005E14D4">
        <w:rPr>
          <w:sz w:val="22"/>
          <w:szCs w:val="18"/>
        </w:rPr>
        <w:t>i</w:t>
      </w:r>
      <w:r w:rsidR="008A4ECA">
        <w:rPr>
          <w:sz w:val="22"/>
          <w:szCs w:val="18"/>
        </w:rPr>
        <w:t xml:space="preserve">ate </w:t>
      </w:r>
      <w:r w:rsidR="00602103">
        <w:rPr>
          <w:sz w:val="22"/>
          <w:szCs w:val="18"/>
        </w:rPr>
        <w:t>TFS questionnaire</w:t>
      </w:r>
      <w:r w:rsidR="008A4ECA">
        <w:rPr>
          <w:sz w:val="22"/>
          <w:szCs w:val="18"/>
        </w:rPr>
        <w:t xml:space="preserve"> (if current or former teaching status is known) or both TFS questionnaires (if teaching status is not known)</w:t>
      </w:r>
      <w:r w:rsidR="00510009">
        <w:rPr>
          <w:sz w:val="22"/>
          <w:szCs w:val="18"/>
        </w:rPr>
        <w:t xml:space="preserve">. </w:t>
      </w:r>
      <w:r w:rsidR="00D34D90">
        <w:rPr>
          <w:sz w:val="22"/>
          <w:szCs w:val="18"/>
        </w:rPr>
        <w:t xml:space="preserve">A contingency </w:t>
      </w:r>
      <w:r w:rsidRPr="005E2BE2" w:rsidR="00D34D90">
        <w:rPr>
          <w:sz w:val="22"/>
          <w:szCs w:val="18"/>
        </w:rPr>
        <w:t>incentive</w:t>
      </w:r>
      <w:r w:rsidR="00D34D90">
        <w:rPr>
          <w:sz w:val="22"/>
          <w:szCs w:val="18"/>
        </w:rPr>
        <w:t xml:space="preserve"> may be offered alongside the fourth mailed package to teachers in low-responding subdomains, as identified jointly by Census and NCES. </w:t>
      </w:r>
      <w:r w:rsidR="00510009">
        <w:rPr>
          <w:sz w:val="22"/>
          <w:szCs w:val="18"/>
        </w:rPr>
        <w:t xml:space="preserve">A </w:t>
      </w:r>
      <w:r w:rsidRPr="00DC7187" w:rsidR="00C405E4">
        <w:rPr>
          <w:sz w:val="22"/>
          <w:szCs w:val="18"/>
        </w:rPr>
        <w:t xml:space="preserve">fifth and sixth reminder </w:t>
      </w:r>
      <w:r w:rsidR="00C51974">
        <w:rPr>
          <w:sz w:val="22"/>
          <w:szCs w:val="18"/>
        </w:rPr>
        <w:t xml:space="preserve">by email will </w:t>
      </w:r>
      <w:r w:rsidR="00510009">
        <w:rPr>
          <w:sz w:val="22"/>
          <w:szCs w:val="18"/>
        </w:rPr>
        <w:t xml:space="preserve">be sent </w:t>
      </w:r>
      <w:r w:rsidR="00C51974">
        <w:rPr>
          <w:sz w:val="22"/>
          <w:szCs w:val="18"/>
        </w:rPr>
        <w:t xml:space="preserve">to nonresponding teachers </w:t>
      </w:r>
      <w:r>
        <w:rPr>
          <w:sz w:val="22"/>
          <w:szCs w:val="18"/>
        </w:rPr>
        <w:t>in mid-</w:t>
      </w:r>
      <w:r w:rsidR="008A4ECA">
        <w:rPr>
          <w:sz w:val="22"/>
          <w:szCs w:val="18"/>
        </w:rPr>
        <w:t xml:space="preserve"> </w:t>
      </w:r>
      <w:r>
        <w:rPr>
          <w:sz w:val="22"/>
          <w:szCs w:val="18"/>
        </w:rPr>
        <w:t>and late April, respectively</w:t>
      </w:r>
      <w:r w:rsidRPr="00DC7187" w:rsidR="004A2A8E">
        <w:rPr>
          <w:sz w:val="22"/>
          <w:szCs w:val="18"/>
        </w:rPr>
        <w:t xml:space="preserve">. </w:t>
      </w:r>
    </w:p>
    <w:p w:rsidR="001B7AFB" w:rsidP="00C405E4" w14:paraId="0076787C" w14:textId="77777777">
      <w:pPr>
        <w:rPr>
          <w:sz w:val="22"/>
          <w:szCs w:val="18"/>
        </w:rPr>
      </w:pPr>
    </w:p>
    <w:p w:rsidR="001A216B" w:rsidRPr="00DC7187" w:rsidP="00C405E4" w14:paraId="292C08F3" w14:textId="7FE5A020">
      <w:pPr>
        <w:rPr>
          <w:sz w:val="22"/>
          <w:szCs w:val="18"/>
        </w:rPr>
      </w:pPr>
      <w:r>
        <w:rPr>
          <w:sz w:val="22"/>
          <w:szCs w:val="18"/>
        </w:rPr>
        <w:t xml:space="preserve">A </w:t>
      </w:r>
      <w:r w:rsidRPr="00DC7187" w:rsidR="00C405E4">
        <w:rPr>
          <w:sz w:val="22"/>
          <w:szCs w:val="18"/>
        </w:rPr>
        <w:t>fifth mail</w:t>
      </w:r>
      <w:r>
        <w:rPr>
          <w:sz w:val="22"/>
          <w:szCs w:val="18"/>
        </w:rPr>
        <w:t>out letter with another paper TFS questionnaire</w:t>
      </w:r>
      <w:r w:rsidR="008A4ECA">
        <w:rPr>
          <w:sz w:val="22"/>
          <w:szCs w:val="18"/>
        </w:rPr>
        <w:t>(s)</w:t>
      </w:r>
      <w:r>
        <w:rPr>
          <w:sz w:val="22"/>
          <w:szCs w:val="18"/>
        </w:rPr>
        <w:t xml:space="preserve"> will be sent </w:t>
      </w:r>
      <w:r w:rsidR="001B7AFB">
        <w:rPr>
          <w:sz w:val="22"/>
          <w:szCs w:val="18"/>
        </w:rPr>
        <w:t xml:space="preserve">to nonresponding teachers </w:t>
      </w:r>
      <w:r>
        <w:rPr>
          <w:sz w:val="22"/>
          <w:szCs w:val="18"/>
        </w:rPr>
        <w:t>in mid-May</w:t>
      </w:r>
      <w:r w:rsidR="001B7AFB">
        <w:rPr>
          <w:sz w:val="22"/>
          <w:szCs w:val="18"/>
        </w:rPr>
        <w:t xml:space="preserve">, followed by a seventh </w:t>
      </w:r>
      <w:r w:rsidR="00893979">
        <w:rPr>
          <w:sz w:val="22"/>
          <w:szCs w:val="18"/>
        </w:rPr>
        <w:t xml:space="preserve">reminder by email in late May </w:t>
      </w:r>
      <w:r w:rsidR="001B7AFB">
        <w:rPr>
          <w:sz w:val="22"/>
          <w:szCs w:val="18"/>
        </w:rPr>
        <w:t xml:space="preserve">and </w:t>
      </w:r>
      <w:r w:rsidR="00893979">
        <w:rPr>
          <w:sz w:val="22"/>
          <w:szCs w:val="18"/>
        </w:rPr>
        <w:t xml:space="preserve">an </w:t>
      </w:r>
      <w:r w:rsidR="001B7AFB">
        <w:rPr>
          <w:sz w:val="22"/>
          <w:szCs w:val="18"/>
        </w:rPr>
        <w:t xml:space="preserve">eighth reminder </w:t>
      </w:r>
      <w:r w:rsidR="002A6889">
        <w:rPr>
          <w:sz w:val="22"/>
          <w:szCs w:val="18"/>
        </w:rPr>
        <w:t xml:space="preserve">by </w:t>
      </w:r>
      <w:r w:rsidR="001B7AFB">
        <w:rPr>
          <w:sz w:val="22"/>
          <w:szCs w:val="18"/>
        </w:rPr>
        <w:t xml:space="preserve">email </w:t>
      </w:r>
      <w:r w:rsidR="00893979">
        <w:rPr>
          <w:sz w:val="22"/>
          <w:szCs w:val="18"/>
        </w:rPr>
        <w:t>in</w:t>
      </w:r>
      <w:r w:rsidR="001B7AFB">
        <w:rPr>
          <w:sz w:val="22"/>
          <w:szCs w:val="18"/>
        </w:rPr>
        <w:t xml:space="preserve"> early June. </w:t>
      </w:r>
      <w:bookmarkEnd w:id="30"/>
      <w:r w:rsidRPr="001B7AFB" w:rsidR="007306CB">
        <w:rPr>
          <w:sz w:val="22"/>
          <w:szCs w:val="18"/>
        </w:rPr>
        <w:t>Data collection will end in early July 20</w:t>
      </w:r>
      <w:r w:rsidRPr="001B7AFB" w:rsidR="00C93770">
        <w:rPr>
          <w:sz w:val="22"/>
          <w:szCs w:val="18"/>
        </w:rPr>
        <w:t>2</w:t>
      </w:r>
      <w:r w:rsidRPr="004D525F" w:rsidR="001B7AFB">
        <w:rPr>
          <w:sz w:val="22"/>
          <w:szCs w:val="18"/>
        </w:rPr>
        <w:t>5</w:t>
      </w:r>
      <w:r w:rsidRPr="001B7AFB" w:rsidR="007306CB">
        <w:rPr>
          <w:sz w:val="22"/>
          <w:szCs w:val="18"/>
        </w:rPr>
        <w:t>. Throughout data collection, research will be conducted, as needed, to find current addresses and emails for sampled teachers whose letters and emails are returned as undeliverable.</w:t>
      </w:r>
    </w:p>
    <w:bookmarkEnd w:id="26"/>
    <w:p w:rsidR="007306CB" w:rsidRPr="00DC7187" w:rsidP="008B5B06" w14:paraId="5C9E8B05" w14:textId="7D0740AA">
      <w:pPr>
        <w:rPr>
          <w:sz w:val="22"/>
          <w:szCs w:val="18"/>
        </w:rPr>
      </w:pPr>
      <w:r w:rsidRPr="00DC7187">
        <w:rPr>
          <w:sz w:val="22"/>
          <w:szCs w:val="18"/>
        </w:rPr>
        <w:t xml:space="preserve">From February through </w:t>
      </w:r>
      <w:r w:rsidR="001B7AFB">
        <w:rPr>
          <w:sz w:val="22"/>
          <w:szCs w:val="18"/>
        </w:rPr>
        <w:t>May</w:t>
      </w:r>
      <w:r w:rsidRPr="00DC7187">
        <w:rPr>
          <w:sz w:val="22"/>
          <w:szCs w:val="18"/>
        </w:rPr>
        <w:t xml:space="preserve">, </w:t>
      </w:r>
      <w:r w:rsidRPr="00DC7187" w:rsidR="00C93770">
        <w:rPr>
          <w:sz w:val="22"/>
          <w:szCs w:val="18"/>
        </w:rPr>
        <w:t xml:space="preserve">outbound telephone calls </w:t>
      </w:r>
      <w:r w:rsidR="001B7AFB">
        <w:rPr>
          <w:sz w:val="22"/>
          <w:szCs w:val="18"/>
        </w:rPr>
        <w:t xml:space="preserve">will be made </w:t>
      </w:r>
      <w:r w:rsidRPr="00DC7187" w:rsidR="00C93770">
        <w:rPr>
          <w:sz w:val="22"/>
          <w:szCs w:val="18"/>
        </w:rPr>
        <w:t xml:space="preserve">to remind </w:t>
      </w:r>
      <w:r w:rsidRPr="00DC7187">
        <w:rPr>
          <w:sz w:val="22"/>
          <w:szCs w:val="18"/>
        </w:rPr>
        <w:t>teachers who have not yet responded to the web-based collection</w:t>
      </w:r>
      <w:r w:rsidRPr="00DC7187" w:rsidR="00C93770">
        <w:rPr>
          <w:sz w:val="22"/>
          <w:szCs w:val="18"/>
        </w:rPr>
        <w:t xml:space="preserve"> to complete their form.</w:t>
      </w:r>
      <w:r w:rsidRPr="00DC7187">
        <w:rPr>
          <w:sz w:val="22"/>
          <w:szCs w:val="18"/>
        </w:rPr>
        <w:t xml:space="preserve"> While the call is intended to encourage teachers to log on and respond to the survey themselves, interviewers will be able to administer it over the phone </w:t>
      </w:r>
      <w:r w:rsidRPr="00DC7187" w:rsidR="00C93770">
        <w:rPr>
          <w:sz w:val="22"/>
          <w:szCs w:val="18"/>
        </w:rPr>
        <w:t xml:space="preserve">at the request of the respondent. </w:t>
      </w:r>
      <w:r w:rsidRPr="00DC7187">
        <w:rPr>
          <w:sz w:val="22"/>
          <w:szCs w:val="18"/>
        </w:rPr>
        <w:t xml:space="preserve">Throughout the data collection period, </w:t>
      </w:r>
      <w:r w:rsidRPr="00DC7187" w:rsidR="00C93770">
        <w:rPr>
          <w:sz w:val="22"/>
          <w:szCs w:val="18"/>
        </w:rPr>
        <w:t xml:space="preserve">respondents who request a paper </w:t>
      </w:r>
      <w:r w:rsidRPr="00DC7187">
        <w:rPr>
          <w:sz w:val="22"/>
          <w:szCs w:val="18"/>
        </w:rPr>
        <w:t xml:space="preserve">questionnaire will be </w:t>
      </w:r>
      <w:r w:rsidRPr="00DC7187" w:rsidR="00C93770">
        <w:rPr>
          <w:sz w:val="22"/>
          <w:szCs w:val="18"/>
        </w:rPr>
        <w:t xml:space="preserve">mailed </w:t>
      </w:r>
      <w:r w:rsidR="00B83272">
        <w:rPr>
          <w:sz w:val="22"/>
          <w:szCs w:val="18"/>
        </w:rPr>
        <w:t>the appropriate paper questionnaire</w:t>
      </w:r>
      <w:r w:rsidR="00A2002B">
        <w:rPr>
          <w:sz w:val="22"/>
          <w:szCs w:val="18"/>
        </w:rPr>
        <w:t>(s)</w:t>
      </w:r>
      <w:r w:rsidR="00B83272">
        <w:rPr>
          <w:sz w:val="22"/>
          <w:szCs w:val="18"/>
        </w:rPr>
        <w:t xml:space="preserve"> along with a postage page return </w:t>
      </w:r>
      <w:r w:rsidR="001721E8">
        <w:rPr>
          <w:sz w:val="22"/>
          <w:szCs w:val="18"/>
        </w:rPr>
        <w:t>envelope</w:t>
      </w:r>
      <w:r w:rsidR="00B83272">
        <w:rPr>
          <w:sz w:val="22"/>
          <w:szCs w:val="18"/>
        </w:rPr>
        <w:t>.</w:t>
      </w:r>
    </w:p>
    <w:p w:rsidR="00C93770" w:rsidRPr="00DC7187" w:rsidP="008B5B06" w14:paraId="42749358" w14:textId="77777777">
      <w:pPr>
        <w:rPr>
          <w:sz w:val="22"/>
          <w:szCs w:val="18"/>
        </w:rPr>
      </w:pPr>
    </w:p>
    <w:p w:rsidR="007306CB" w:rsidRPr="00BD47E8" w:rsidP="008B5B06" w14:paraId="0D4570A9" w14:textId="34FEB936">
      <w:pPr>
        <w:rPr>
          <w:sz w:val="22"/>
          <w:szCs w:val="18"/>
        </w:rPr>
      </w:pPr>
      <w:r w:rsidRPr="00BD47E8">
        <w:rPr>
          <w:sz w:val="22"/>
          <w:szCs w:val="18"/>
        </w:rPr>
        <w:t xml:space="preserve">A response rate of approximately </w:t>
      </w:r>
      <w:r w:rsidRPr="00BD47E8" w:rsidR="00FF174B">
        <w:rPr>
          <w:sz w:val="22"/>
          <w:szCs w:val="18"/>
        </w:rPr>
        <w:t>68</w:t>
      </w:r>
      <w:r w:rsidRPr="00BD47E8">
        <w:rPr>
          <w:sz w:val="22"/>
          <w:szCs w:val="18"/>
        </w:rPr>
        <w:t xml:space="preserve"> percent (base-weighted) can be expected from leavers after follow</w:t>
      </w:r>
      <w:r w:rsidRPr="00BD47E8" w:rsidR="00AA58F6">
        <w:rPr>
          <w:sz w:val="22"/>
          <w:szCs w:val="18"/>
        </w:rPr>
        <w:t>-</w:t>
      </w:r>
      <w:r w:rsidRPr="00BD47E8">
        <w:rPr>
          <w:sz w:val="22"/>
          <w:szCs w:val="18"/>
        </w:rPr>
        <w:t>up, and a response rate of about 81 percent (base-weighted) can be expected from stayers and movers after follow-up</w:t>
      </w:r>
      <w:r w:rsidR="00483F04">
        <w:rPr>
          <w:sz w:val="22"/>
          <w:szCs w:val="18"/>
        </w:rPr>
        <w:t xml:space="preserve">; this is based on results from the prior administration of TFS and also accounts for </w:t>
      </w:r>
      <w:r w:rsidR="007168EB">
        <w:rPr>
          <w:sz w:val="22"/>
          <w:szCs w:val="18"/>
        </w:rPr>
        <w:t xml:space="preserve">an expected increase in the response rate due to </w:t>
      </w:r>
      <w:r w:rsidR="00483F04">
        <w:rPr>
          <w:sz w:val="22"/>
          <w:szCs w:val="18"/>
        </w:rPr>
        <w:t xml:space="preserve">the early mover and leaver contact strategy planned for the 2024-25 TFS. </w:t>
      </w:r>
      <w:r w:rsidRPr="00BD47E8" w:rsidR="00E00C8A">
        <w:rPr>
          <w:sz w:val="22"/>
          <w:szCs w:val="18"/>
        </w:rPr>
        <w:t>T</w:t>
      </w:r>
      <w:r w:rsidRPr="00BD47E8">
        <w:rPr>
          <w:sz w:val="22"/>
          <w:szCs w:val="18"/>
        </w:rPr>
        <w:t>able</w:t>
      </w:r>
      <w:r w:rsidRPr="00BD47E8" w:rsidR="00E00C8A">
        <w:rPr>
          <w:sz w:val="22"/>
          <w:szCs w:val="18"/>
        </w:rPr>
        <w:t xml:space="preserve"> B</w:t>
      </w:r>
      <w:r w:rsidR="00E064D3">
        <w:rPr>
          <w:sz w:val="22"/>
          <w:szCs w:val="18"/>
        </w:rPr>
        <w:t>6</w:t>
      </w:r>
      <w:r w:rsidRPr="00BD47E8">
        <w:rPr>
          <w:sz w:val="22"/>
          <w:szCs w:val="18"/>
        </w:rPr>
        <w:t xml:space="preserve"> shows weighted unit response rates in the last administration of TFS, TFS </w:t>
      </w:r>
      <w:r w:rsidRPr="00BD47E8" w:rsidR="00FF174B">
        <w:rPr>
          <w:sz w:val="22"/>
          <w:szCs w:val="18"/>
        </w:rPr>
        <w:t>2021-22</w:t>
      </w:r>
      <w:r w:rsidRPr="00BD47E8">
        <w:rPr>
          <w:sz w:val="22"/>
          <w:szCs w:val="18"/>
        </w:rPr>
        <w:t>.</w:t>
      </w:r>
    </w:p>
    <w:bookmarkEnd w:id="23"/>
    <w:p w:rsidR="007306CB" w:rsidRPr="00BD47E8" w:rsidP="007306CB" w14:paraId="3BFFC721" w14:textId="77777777">
      <w:pPr>
        <w:suppressAutoHyphens/>
        <w:ind w:right="-36"/>
        <w:rPr>
          <w:sz w:val="22"/>
          <w:szCs w:val="18"/>
        </w:rPr>
      </w:pPr>
    </w:p>
    <w:p w:rsidR="007306CB" w:rsidRPr="00BD47E8" w:rsidP="00E00C8A" w14:paraId="5E871E9E" w14:textId="29038AFC">
      <w:pPr>
        <w:suppressAutoHyphens/>
        <w:ind w:right="-43"/>
        <w:rPr>
          <w:b/>
          <w:i/>
          <w:iCs/>
          <w:sz w:val="22"/>
          <w:szCs w:val="22"/>
        </w:rPr>
      </w:pPr>
      <w:r w:rsidRPr="00BD47E8">
        <w:rPr>
          <w:b/>
          <w:i/>
          <w:iCs/>
          <w:sz w:val="22"/>
          <w:szCs w:val="22"/>
        </w:rPr>
        <w:t>Table B</w:t>
      </w:r>
      <w:r w:rsidR="00E064D3">
        <w:rPr>
          <w:b/>
          <w:i/>
          <w:iCs/>
          <w:sz w:val="22"/>
          <w:szCs w:val="22"/>
        </w:rPr>
        <w:t>6</w:t>
      </w:r>
      <w:r w:rsidRPr="00BD47E8">
        <w:rPr>
          <w:b/>
          <w:i/>
          <w:iCs/>
          <w:sz w:val="22"/>
          <w:szCs w:val="22"/>
        </w:rPr>
        <w:t xml:space="preserve">. </w:t>
      </w:r>
      <w:r w:rsidRPr="00BD47E8">
        <w:rPr>
          <w:b/>
          <w:i/>
          <w:iCs/>
          <w:sz w:val="22"/>
          <w:szCs w:val="22"/>
        </w:rPr>
        <w:t xml:space="preserve">Weighted unit and overall response rates of TFS teachers, using initial base weight, by sector and teaching status: </w:t>
      </w:r>
      <w:r w:rsidRPr="00BD47E8" w:rsidR="00FF174B">
        <w:rPr>
          <w:b/>
          <w:i/>
          <w:iCs/>
          <w:sz w:val="22"/>
          <w:szCs w:val="22"/>
        </w:rPr>
        <w:t>2021</w:t>
      </w:r>
      <w:r w:rsidRPr="00BD47E8">
        <w:rPr>
          <w:b/>
          <w:i/>
          <w:iCs/>
          <w:sz w:val="22"/>
          <w:szCs w:val="22"/>
        </w:rPr>
        <w:t>–</w:t>
      </w:r>
      <w:r w:rsidRPr="00BD47E8" w:rsidR="00FF174B">
        <w:rPr>
          <w:b/>
          <w:i/>
          <w:iCs/>
          <w:sz w:val="22"/>
          <w:szCs w:val="22"/>
        </w:rPr>
        <w:t>22</w:t>
      </w:r>
    </w:p>
    <w:tbl>
      <w:tblPr>
        <w:tblW w:w="10090" w:type="dxa"/>
        <w:tblLook w:val="04A0"/>
      </w:tblPr>
      <w:tblGrid>
        <w:gridCol w:w="2790"/>
        <w:gridCol w:w="1710"/>
        <w:gridCol w:w="1710"/>
        <w:gridCol w:w="1940"/>
        <w:gridCol w:w="1940"/>
      </w:tblGrid>
      <w:tr w14:paraId="7A48A3CD" w14:textId="77777777" w:rsidTr="00095A53">
        <w:tblPrEx>
          <w:tblW w:w="10090" w:type="dxa"/>
          <w:tblLook w:val="04A0"/>
        </w:tblPrEx>
        <w:trPr>
          <w:trHeight w:val="555"/>
          <w:tblHeader/>
        </w:trPr>
        <w:tc>
          <w:tcPr>
            <w:tcW w:w="2790" w:type="dxa"/>
            <w:tcBorders>
              <w:top w:val="single" w:sz="4" w:space="0" w:color="auto"/>
              <w:left w:val="nil"/>
              <w:bottom w:val="single" w:sz="4" w:space="0" w:color="auto"/>
              <w:right w:val="nil"/>
            </w:tcBorders>
            <w:shd w:val="clear" w:color="auto" w:fill="auto"/>
            <w:noWrap/>
            <w:vAlign w:val="bottom"/>
            <w:hideMark/>
          </w:tcPr>
          <w:p w:rsidR="00095A53" w:rsidRPr="00BD47E8" w14:paraId="277A5C98" w14:textId="45C63D61">
            <w:pPr>
              <w:widowControl/>
              <w:rPr>
                <w:color w:val="000000"/>
                <w:sz w:val="20"/>
              </w:rPr>
            </w:pPr>
            <w:r w:rsidRPr="00BD47E8">
              <w:rPr>
                <w:b/>
                <w:sz w:val="20"/>
              </w:rPr>
              <w:t>Sector and teaching status</w:t>
            </w:r>
          </w:p>
        </w:tc>
        <w:tc>
          <w:tcPr>
            <w:tcW w:w="1710" w:type="dxa"/>
            <w:tcBorders>
              <w:top w:val="single" w:sz="4" w:space="0" w:color="auto"/>
              <w:left w:val="nil"/>
              <w:bottom w:val="single" w:sz="4" w:space="0" w:color="auto"/>
              <w:right w:val="nil"/>
            </w:tcBorders>
          </w:tcPr>
          <w:p w:rsidR="00095A53" w:rsidRPr="00095A53" w:rsidP="00095A53" w14:paraId="1D3EFE49" w14:textId="075D4870">
            <w:pPr>
              <w:widowControl/>
              <w:jc w:val="right"/>
              <w:rPr>
                <w:color w:val="000000"/>
                <w:sz w:val="20"/>
              </w:rPr>
            </w:pPr>
            <w:r w:rsidRPr="00095A53">
              <w:rPr>
                <w:color w:val="000000"/>
                <w:sz w:val="20"/>
              </w:rPr>
              <w:t>Weighted</w:t>
            </w:r>
          </w:p>
          <w:p w:rsidR="00095A53" w:rsidRPr="00095A53" w:rsidP="00095A53" w14:paraId="5D9C4056" w14:textId="77777777">
            <w:pPr>
              <w:widowControl/>
              <w:jc w:val="right"/>
              <w:rPr>
                <w:color w:val="000000"/>
                <w:sz w:val="20"/>
              </w:rPr>
            </w:pPr>
            <w:r w:rsidRPr="00095A53">
              <w:rPr>
                <w:color w:val="000000"/>
                <w:sz w:val="20"/>
              </w:rPr>
              <w:t xml:space="preserve">2020-21 NTPS Teacher </w:t>
            </w:r>
          </w:p>
          <w:p w:rsidR="00095A53" w:rsidRPr="00095A53" w:rsidP="00095A53" w14:paraId="6112983C" w14:textId="62F7F5C4">
            <w:pPr>
              <w:widowControl/>
              <w:jc w:val="right"/>
              <w:rPr>
                <w:color w:val="000000"/>
                <w:sz w:val="20"/>
              </w:rPr>
            </w:pPr>
            <w:r w:rsidRPr="00095A53">
              <w:rPr>
                <w:color w:val="000000"/>
                <w:sz w:val="20"/>
              </w:rPr>
              <w:t>Listing Form unit response rate</w:t>
            </w:r>
          </w:p>
        </w:tc>
        <w:tc>
          <w:tcPr>
            <w:tcW w:w="1710" w:type="dxa"/>
            <w:tcBorders>
              <w:top w:val="single" w:sz="4" w:space="0" w:color="auto"/>
              <w:left w:val="nil"/>
              <w:bottom w:val="single" w:sz="4" w:space="0" w:color="auto"/>
              <w:right w:val="nil"/>
            </w:tcBorders>
          </w:tcPr>
          <w:p w:rsidR="00095A53" w:rsidRPr="00095A53" w:rsidP="00095A53" w14:paraId="0D665DC2" w14:textId="20B0A810">
            <w:pPr>
              <w:widowControl/>
              <w:jc w:val="right"/>
              <w:rPr>
                <w:color w:val="000000"/>
                <w:sz w:val="20"/>
              </w:rPr>
            </w:pPr>
            <w:r w:rsidRPr="00095A53">
              <w:rPr>
                <w:color w:val="000000"/>
                <w:sz w:val="20"/>
              </w:rPr>
              <w:t>Weighted</w:t>
            </w:r>
          </w:p>
          <w:p w:rsidR="00095A53" w:rsidRPr="00095A53" w:rsidP="00095A53" w14:paraId="515BCFDC" w14:textId="77777777">
            <w:pPr>
              <w:widowControl/>
              <w:jc w:val="right"/>
              <w:rPr>
                <w:color w:val="000000"/>
                <w:sz w:val="20"/>
              </w:rPr>
            </w:pPr>
            <w:r w:rsidRPr="00095A53">
              <w:rPr>
                <w:color w:val="000000"/>
                <w:sz w:val="20"/>
              </w:rPr>
              <w:t xml:space="preserve">2020-21 NTPS Teacher Questionnaire </w:t>
            </w:r>
          </w:p>
          <w:p w:rsidR="00095A53" w:rsidRPr="00095A53" w:rsidP="00095A53" w14:paraId="3D0758A8" w14:textId="2E56C1F6">
            <w:pPr>
              <w:widowControl/>
              <w:jc w:val="right"/>
              <w:rPr>
                <w:color w:val="000000"/>
                <w:sz w:val="20"/>
              </w:rPr>
            </w:pPr>
            <w:r w:rsidRPr="00095A53">
              <w:rPr>
                <w:color w:val="000000"/>
                <w:sz w:val="20"/>
              </w:rPr>
              <w:t>unit response rate</w:t>
            </w:r>
          </w:p>
        </w:tc>
        <w:tc>
          <w:tcPr>
            <w:tcW w:w="1940" w:type="dxa"/>
            <w:tcBorders>
              <w:top w:val="single" w:sz="4" w:space="0" w:color="auto"/>
              <w:left w:val="nil"/>
              <w:bottom w:val="single" w:sz="4" w:space="0" w:color="auto"/>
              <w:right w:val="nil"/>
            </w:tcBorders>
            <w:shd w:val="clear" w:color="auto" w:fill="auto"/>
            <w:vAlign w:val="bottom"/>
            <w:hideMark/>
          </w:tcPr>
          <w:p w:rsidR="00095A53" w:rsidRPr="00BD47E8" w14:paraId="364A13A3" w14:textId="066D3DC3">
            <w:pPr>
              <w:widowControl/>
              <w:jc w:val="right"/>
              <w:rPr>
                <w:color w:val="000000"/>
                <w:sz w:val="20"/>
              </w:rPr>
            </w:pPr>
            <w:r w:rsidRPr="00BD47E8">
              <w:rPr>
                <w:color w:val="000000"/>
                <w:sz w:val="20"/>
              </w:rPr>
              <w:t>Weighted</w:t>
            </w:r>
            <w:r w:rsidR="005B57B9">
              <w:rPr>
                <w:color w:val="000000"/>
                <w:sz w:val="20"/>
              </w:rPr>
              <w:t xml:space="preserve"> 2021-22 TFS</w:t>
            </w:r>
            <w:r w:rsidRPr="00BD47E8">
              <w:rPr>
                <w:color w:val="000000"/>
                <w:sz w:val="20"/>
              </w:rPr>
              <w:t xml:space="preserve"> unit response rate</w:t>
            </w:r>
          </w:p>
        </w:tc>
        <w:tc>
          <w:tcPr>
            <w:tcW w:w="1940" w:type="dxa"/>
            <w:tcBorders>
              <w:top w:val="single" w:sz="4" w:space="0" w:color="auto"/>
              <w:left w:val="nil"/>
              <w:bottom w:val="single" w:sz="4" w:space="0" w:color="auto"/>
              <w:right w:val="nil"/>
            </w:tcBorders>
            <w:shd w:val="clear" w:color="auto" w:fill="auto"/>
            <w:vAlign w:val="bottom"/>
            <w:hideMark/>
          </w:tcPr>
          <w:p w:rsidR="00095A53" w:rsidRPr="00FD7EE1" w14:paraId="52E019BF" w14:textId="77777777">
            <w:pPr>
              <w:widowControl/>
              <w:jc w:val="right"/>
              <w:rPr>
                <w:color w:val="000000"/>
                <w:sz w:val="20"/>
              </w:rPr>
            </w:pPr>
            <w:r w:rsidRPr="00BD47E8">
              <w:rPr>
                <w:color w:val="000000"/>
                <w:sz w:val="20"/>
              </w:rPr>
              <w:t xml:space="preserve"> Weighted overall response rate</w:t>
            </w:r>
            <w:r w:rsidRPr="00BD47E8">
              <w:rPr>
                <w:color w:val="000000"/>
                <w:sz w:val="20"/>
                <w:vertAlign w:val="superscript"/>
              </w:rPr>
              <w:t>1</w:t>
            </w:r>
          </w:p>
        </w:tc>
      </w:tr>
      <w:tr w14:paraId="16549BFE" w14:textId="77777777" w:rsidTr="00095A53">
        <w:tblPrEx>
          <w:tblW w:w="10090" w:type="dxa"/>
          <w:tblLook w:val="04A0"/>
        </w:tblPrEx>
        <w:trPr>
          <w:trHeight w:val="253"/>
        </w:trPr>
        <w:tc>
          <w:tcPr>
            <w:tcW w:w="2790" w:type="dxa"/>
            <w:tcBorders>
              <w:top w:val="nil"/>
              <w:left w:val="nil"/>
              <w:bottom w:val="nil"/>
              <w:right w:val="nil"/>
            </w:tcBorders>
            <w:shd w:val="clear" w:color="auto" w:fill="auto"/>
            <w:noWrap/>
            <w:vAlign w:val="bottom"/>
            <w:hideMark/>
          </w:tcPr>
          <w:p w:rsidR="00095A53" w:rsidRPr="00FD7EE1" w14:paraId="3133E722" w14:textId="77777777">
            <w:pPr>
              <w:widowControl/>
              <w:rPr>
                <w:color w:val="000000"/>
                <w:sz w:val="20"/>
              </w:rPr>
            </w:pPr>
            <w:r w:rsidRPr="00FD7EE1">
              <w:rPr>
                <w:color w:val="000000"/>
                <w:sz w:val="20"/>
              </w:rPr>
              <w:t>Public</w:t>
            </w:r>
          </w:p>
        </w:tc>
        <w:tc>
          <w:tcPr>
            <w:tcW w:w="1710" w:type="dxa"/>
            <w:tcBorders>
              <w:top w:val="nil"/>
              <w:left w:val="nil"/>
              <w:bottom w:val="nil"/>
              <w:right w:val="nil"/>
            </w:tcBorders>
          </w:tcPr>
          <w:p w:rsidR="00095A53" w:rsidRPr="0066300D" w14:paraId="0D450A0F" w14:textId="10E0F961">
            <w:pPr>
              <w:widowControl/>
              <w:jc w:val="right"/>
              <w:rPr>
                <w:color w:val="000000"/>
                <w:sz w:val="20"/>
              </w:rPr>
            </w:pPr>
            <w:r>
              <w:rPr>
                <w:color w:val="000000"/>
                <w:sz w:val="20"/>
              </w:rPr>
              <w:t>88.2</w:t>
            </w:r>
          </w:p>
        </w:tc>
        <w:tc>
          <w:tcPr>
            <w:tcW w:w="1710" w:type="dxa"/>
            <w:tcBorders>
              <w:top w:val="nil"/>
              <w:left w:val="nil"/>
              <w:bottom w:val="nil"/>
              <w:right w:val="nil"/>
            </w:tcBorders>
          </w:tcPr>
          <w:p w:rsidR="00095A53" w:rsidRPr="0066300D" w14:paraId="19907A5A" w14:textId="52F765E0">
            <w:pPr>
              <w:widowControl/>
              <w:jc w:val="right"/>
              <w:rPr>
                <w:color w:val="000000"/>
                <w:sz w:val="20"/>
              </w:rPr>
            </w:pPr>
            <w:r>
              <w:rPr>
                <w:color w:val="000000"/>
                <w:sz w:val="20"/>
              </w:rPr>
              <w:t>62.4</w:t>
            </w:r>
          </w:p>
        </w:tc>
        <w:tc>
          <w:tcPr>
            <w:tcW w:w="1940" w:type="dxa"/>
            <w:tcBorders>
              <w:top w:val="nil"/>
              <w:left w:val="nil"/>
              <w:bottom w:val="nil"/>
              <w:right w:val="nil"/>
            </w:tcBorders>
            <w:shd w:val="clear" w:color="auto" w:fill="auto"/>
            <w:noWrap/>
            <w:vAlign w:val="bottom"/>
            <w:hideMark/>
          </w:tcPr>
          <w:p w:rsidR="00095A53" w:rsidRPr="0066300D" w14:paraId="64832CFC" w14:textId="5DE0F128">
            <w:pPr>
              <w:widowControl/>
              <w:jc w:val="right"/>
              <w:rPr>
                <w:color w:val="000000"/>
                <w:sz w:val="20"/>
              </w:rPr>
            </w:pPr>
            <w:r w:rsidRPr="0066300D">
              <w:rPr>
                <w:color w:val="000000"/>
                <w:sz w:val="20"/>
              </w:rPr>
              <w:t>79.8</w:t>
            </w:r>
          </w:p>
        </w:tc>
        <w:tc>
          <w:tcPr>
            <w:tcW w:w="1940" w:type="dxa"/>
            <w:tcBorders>
              <w:top w:val="nil"/>
              <w:left w:val="nil"/>
              <w:bottom w:val="nil"/>
              <w:right w:val="nil"/>
            </w:tcBorders>
            <w:shd w:val="clear" w:color="auto" w:fill="auto"/>
            <w:noWrap/>
            <w:vAlign w:val="bottom"/>
            <w:hideMark/>
          </w:tcPr>
          <w:p w:rsidR="00095A53" w:rsidRPr="0066300D" w14:paraId="176199C3" w14:textId="77777777">
            <w:pPr>
              <w:widowControl/>
              <w:jc w:val="right"/>
              <w:rPr>
                <w:color w:val="000000"/>
                <w:sz w:val="20"/>
              </w:rPr>
            </w:pPr>
            <w:r w:rsidRPr="0066300D">
              <w:rPr>
                <w:color w:val="000000"/>
                <w:sz w:val="20"/>
              </w:rPr>
              <w:t>43.9</w:t>
            </w:r>
          </w:p>
        </w:tc>
      </w:tr>
      <w:tr w14:paraId="3CD233B0" w14:textId="77777777" w:rsidTr="00095A53">
        <w:tblPrEx>
          <w:tblW w:w="10090" w:type="dxa"/>
          <w:tblLook w:val="04A0"/>
        </w:tblPrEx>
        <w:trPr>
          <w:trHeight w:val="253"/>
        </w:trPr>
        <w:tc>
          <w:tcPr>
            <w:tcW w:w="2790" w:type="dxa"/>
            <w:tcBorders>
              <w:top w:val="nil"/>
              <w:left w:val="nil"/>
              <w:bottom w:val="nil"/>
              <w:right w:val="nil"/>
            </w:tcBorders>
            <w:shd w:val="clear" w:color="auto" w:fill="auto"/>
            <w:noWrap/>
            <w:vAlign w:val="bottom"/>
            <w:hideMark/>
          </w:tcPr>
          <w:p w:rsidR="00A36B49" w:rsidRPr="00FD7EE1" w:rsidP="00A36B49" w14:paraId="46F1240F" w14:textId="5A6929CE">
            <w:pPr>
              <w:widowControl/>
              <w:ind w:firstLine="400" w:firstLineChars="200"/>
              <w:rPr>
                <w:color w:val="000000"/>
                <w:sz w:val="20"/>
              </w:rPr>
            </w:pPr>
            <w:r w:rsidRPr="00FD7EE1">
              <w:rPr>
                <w:color w:val="000000"/>
                <w:sz w:val="20"/>
              </w:rPr>
              <w:t>Current teacher</w:t>
            </w:r>
            <w:r>
              <w:rPr>
                <w:color w:val="000000"/>
                <w:sz w:val="20"/>
              </w:rPr>
              <w:t>s</w:t>
            </w:r>
          </w:p>
        </w:tc>
        <w:tc>
          <w:tcPr>
            <w:tcW w:w="1710" w:type="dxa"/>
            <w:tcBorders>
              <w:top w:val="nil"/>
              <w:left w:val="nil"/>
              <w:bottom w:val="nil"/>
              <w:right w:val="nil"/>
            </w:tcBorders>
          </w:tcPr>
          <w:p w:rsidR="00A36B49" w:rsidRPr="0066300D" w:rsidP="00A36B49" w14:paraId="0091603D" w14:textId="5DD2B426">
            <w:pPr>
              <w:widowControl/>
              <w:jc w:val="right"/>
              <w:rPr>
                <w:color w:val="000000"/>
                <w:sz w:val="20"/>
              </w:rPr>
            </w:pPr>
            <w:r>
              <w:rPr>
                <w:color w:val="000000"/>
                <w:sz w:val="20"/>
              </w:rPr>
              <w:t>88.2</w:t>
            </w:r>
          </w:p>
        </w:tc>
        <w:tc>
          <w:tcPr>
            <w:tcW w:w="1710" w:type="dxa"/>
            <w:tcBorders>
              <w:top w:val="nil"/>
              <w:left w:val="nil"/>
              <w:bottom w:val="nil"/>
              <w:right w:val="nil"/>
            </w:tcBorders>
          </w:tcPr>
          <w:p w:rsidR="00A36B49" w:rsidRPr="0066300D" w:rsidP="00A36B49" w14:paraId="1CF018DA" w14:textId="7755FDA7">
            <w:pPr>
              <w:widowControl/>
              <w:jc w:val="right"/>
              <w:rPr>
                <w:color w:val="000000"/>
                <w:sz w:val="20"/>
              </w:rPr>
            </w:pPr>
            <w:r>
              <w:rPr>
                <w:color w:val="000000"/>
                <w:sz w:val="20"/>
              </w:rPr>
              <w:t>62.4</w:t>
            </w:r>
          </w:p>
        </w:tc>
        <w:tc>
          <w:tcPr>
            <w:tcW w:w="1940" w:type="dxa"/>
            <w:tcBorders>
              <w:top w:val="nil"/>
              <w:left w:val="nil"/>
              <w:bottom w:val="nil"/>
              <w:right w:val="nil"/>
            </w:tcBorders>
            <w:shd w:val="clear" w:color="auto" w:fill="auto"/>
            <w:noWrap/>
            <w:vAlign w:val="bottom"/>
            <w:hideMark/>
          </w:tcPr>
          <w:p w:rsidR="00A36B49" w:rsidRPr="0066300D" w:rsidP="00A36B49" w14:paraId="42BD925E" w14:textId="56B29AF9">
            <w:pPr>
              <w:widowControl/>
              <w:jc w:val="right"/>
              <w:rPr>
                <w:color w:val="000000"/>
                <w:sz w:val="20"/>
              </w:rPr>
            </w:pPr>
            <w:r w:rsidRPr="0066300D">
              <w:rPr>
                <w:color w:val="000000"/>
                <w:sz w:val="20"/>
              </w:rPr>
              <w:t>81.2</w:t>
            </w:r>
          </w:p>
        </w:tc>
        <w:tc>
          <w:tcPr>
            <w:tcW w:w="1940" w:type="dxa"/>
            <w:tcBorders>
              <w:top w:val="nil"/>
              <w:left w:val="nil"/>
              <w:bottom w:val="nil"/>
              <w:right w:val="nil"/>
            </w:tcBorders>
            <w:shd w:val="clear" w:color="auto" w:fill="auto"/>
            <w:noWrap/>
            <w:vAlign w:val="bottom"/>
            <w:hideMark/>
          </w:tcPr>
          <w:p w:rsidR="00A36B49" w:rsidRPr="0066300D" w:rsidP="00A36B49" w14:paraId="7DA4F830" w14:textId="77777777">
            <w:pPr>
              <w:widowControl/>
              <w:jc w:val="right"/>
              <w:rPr>
                <w:color w:val="000000"/>
                <w:sz w:val="20"/>
              </w:rPr>
            </w:pPr>
            <w:r w:rsidRPr="0066300D">
              <w:rPr>
                <w:color w:val="000000"/>
                <w:sz w:val="20"/>
              </w:rPr>
              <w:t>44.7</w:t>
            </w:r>
          </w:p>
        </w:tc>
      </w:tr>
      <w:tr w14:paraId="7BCDACFB" w14:textId="77777777" w:rsidTr="00095A53">
        <w:tblPrEx>
          <w:tblW w:w="10090" w:type="dxa"/>
          <w:tblLook w:val="04A0"/>
        </w:tblPrEx>
        <w:trPr>
          <w:trHeight w:val="253"/>
        </w:trPr>
        <w:tc>
          <w:tcPr>
            <w:tcW w:w="2790" w:type="dxa"/>
            <w:tcBorders>
              <w:top w:val="nil"/>
              <w:left w:val="nil"/>
              <w:bottom w:val="nil"/>
              <w:right w:val="nil"/>
            </w:tcBorders>
            <w:shd w:val="clear" w:color="auto" w:fill="auto"/>
            <w:noWrap/>
            <w:vAlign w:val="bottom"/>
            <w:hideMark/>
          </w:tcPr>
          <w:p w:rsidR="00A36B49" w:rsidRPr="00FD7EE1" w:rsidP="00A36B49" w14:paraId="6715B04A" w14:textId="29217144">
            <w:pPr>
              <w:widowControl/>
              <w:ind w:firstLine="800" w:firstLineChars="400"/>
              <w:rPr>
                <w:color w:val="000000"/>
                <w:sz w:val="20"/>
              </w:rPr>
            </w:pPr>
            <w:r w:rsidRPr="00FD7EE1">
              <w:rPr>
                <w:color w:val="000000"/>
                <w:sz w:val="20"/>
              </w:rPr>
              <w:t>Stayer</w:t>
            </w:r>
            <w:r>
              <w:rPr>
                <w:color w:val="000000"/>
                <w:sz w:val="20"/>
              </w:rPr>
              <w:t>s</w:t>
            </w:r>
          </w:p>
        </w:tc>
        <w:tc>
          <w:tcPr>
            <w:tcW w:w="1710" w:type="dxa"/>
            <w:tcBorders>
              <w:top w:val="nil"/>
              <w:left w:val="nil"/>
              <w:bottom w:val="nil"/>
              <w:right w:val="nil"/>
            </w:tcBorders>
          </w:tcPr>
          <w:p w:rsidR="00A36B49" w:rsidRPr="0066300D" w:rsidP="00A36B49" w14:paraId="1813A218" w14:textId="38F0E66E">
            <w:pPr>
              <w:widowControl/>
              <w:jc w:val="right"/>
              <w:rPr>
                <w:color w:val="000000"/>
                <w:sz w:val="20"/>
              </w:rPr>
            </w:pPr>
            <w:r>
              <w:rPr>
                <w:color w:val="000000"/>
                <w:sz w:val="20"/>
              </w:rPr>
              <w:t>88.2</w:t>
            </w:r>
          </w:p>
        </w:tc>
        <w:tc>
          <w:tcPr>
            <w:tcW w:w="1710" w:type="dxa"/>
            <w:tcBorders>
              <w:top w:val="nil"/>
              <w:left w:val="nil"/>
              <w:bottom w:val="nil"/>
              <w:right w:val="nil"/>
            </w:tcBorders>
          </w:tcPr>
          <w:p w:rsidR="00A36B49" w:rsidRPr="0066300D" w:rsidP="00A36B49" w14:paraId="1B4BD994" w14:textId="0CC4E00F">
            <w:pPr>
              <w:widowControl/>
              <w:jc w:val="right"/>
              <w:rPr>
                <w:color w:val="000000"/>
                <w:sz w:val="20"/>
              </w:rPr>
            </w:pPr>
            <w:r>
              <w:rPr>
                <w:color w:val="000000"/>
                <w:sz w:val="20"/>
              </w:rPr>
              <w:t>62.4</w:t>
            </w:r>
          </w:p>
        </w:tc>
        <w:tc>
          <w:tcPr>
            <w:tcW w:w="1940" w:type="dxa"/>
            <w:tcBorders>
              <w:top w:val="nil"/>
              <w:left w:val="nil"/>
              <w:bottom w:val="nil"/>
              <w:right w:val="nil"/>
            </w:tcBorders>
            <w:shd w:val="clear" w:color="auto" w:fill="auto"/>
            <w:noWrap/>
            <w:vAlign w:val="bottom"/>
            <w:hideMark/>
          </w:tcPr>
          <w:p w:rsidR="00A36B49" w:rsidRPr="0066300D" w:rsidP="00A36B49" w14:paraId="4831D42D" w14:textId="41F6273B">
            <w:pPr>
              <w:widowControl/>
              <w:jc w:val="right"/>
              <w:rPr>
                <w:color w:val="000000"/>
                <w:sz w:val="20"/>
              </w:rPr>
            </w:pPr>
            <w:r w:rsidRPr="0066300D">
              <w:rPr>
                <w:color w:val="000000"/>
                <w:sz w:val="20"/>
              </w:rPr>
              <w:t>82.1</w:t>
            </w:r>
          </w:p>
        </w:tc>
        <w:tc>
          <w:tcPr>
            <w:tcW w:w="1940" w:type="dxa"/>
            <w:tcBorders>
              <w:top w:val="nil"/>
              <w:left w:val="nil"/>
              <w:bottom w:val="nil"/>
              <w:right w:val="nil"/>
            </w:tcBorders>
            <w:shd w:val="clear" w:color="auto" w:fill="auto"/>
            <w:noWrap/>
            <w:vAlign w:val="bottom"/>
            <w:hideMark/>
          </w:tcPr>
          <w:p w:rsidR="00A36B49" w:rsidRPr="0066300D" w:rsidP="00A36B49" w14:paraId="3AA58AE1" w14:textId="77777777">
            <w:pPr>
              <w:widowControl/>
              <w:jc w:val="right"/>
              <w:rPr>
                <w:color w:val="000000"/>
                <w:sz w:val="20"/>
              </w:rPr>
            </w:pPr>
            <w:r w:rsidRPr="0066300D">
              <w:rPr>
                <w:color w:val="000000"/>
                <w:sz w:val="20"/>
              </w:rPr>
              <w:t>45.2</w:t>
            </w:r>
          </w:p>
        </w:tc>
      </w:tr>
      <w:tr w14:paraId="50B585A9" w14:textId="77777777" w:rsidTr="00095A53">
        <w:tblPrEx>
          <w:tblW w:w="10090" w:type="dxa"/>
          <w:tblLook w:val="04A0"/>
        </w:tblPrEx>
        <w:trPr>
          <w:trHeight w:val="253"/>
        </w:trPr>
        <w:tc>
          <w:tcPr>
            <w:tcW w:w="2790" w:type="dxa"/>
            <w:tcBorders>
              <w:top w:val="nil"/>
              <w:left w:val="nil"/>
              <w:bottom w:val="nil"/>
              <w:right w:val="nil"/>
            </w:tcBorders>
            <w:shd w:val="clear" w:color="auto" w:fill="auto"/>
            <w:noWrap/>
            <w:vAlign w:val="bottom"/>
            <w:hideMark/>
          </w:tcPr>
          <w:p w:rsidR="00A36B49" w:rsidRPr="00FD7EE1" w:rsidP="00A36B49" w14:paraId="1C7211D2" w14:textId="79AAD804">
            <w:pPr>
              <w:widowControl/>
              <w:ind w:firstLine="800" w:firstLineChars="400"/>
              <w:rPr>
                <w:color w:val="000000"/>
                <w:sz w:val="20"/>
              </w:rPr>
            </w:pPr>
            <w:r w:rsidRPr="00FD7EE1">
              <w:rPr>
                <w:color w:val="000000"/>
                <w:sz w:val="20"/>
              </w:rPr>
              <w:t>Mover</w:t>
            </w:r>
            <w:r>
              <w:rPr>
                <w:color w:val="000000"/>
                <w:sz w:val="20"/>
              </w:rPr>
              <w:t>s</w:t>
            </w:r>
          </w:p>
        </w:tc>
        <w:tc>
          <w:tcPr>
            <w:tcW w:w="1710" w:type="dxa"/>
            <w:tcBorders>
              <w:top w:val="nil"/>
              <w:left w:val="nil"/>
              <w:bottom w:val="nil"/>
              <w:right w:val="nil"/>
            </w:tcBorders>
          </w:tcPr>
          <w:p w:rsidR="00A36B49" w:rsidRPr="0066300D" w:rsidP="00A36B49" w14:paraId="224B9B4F" w14:textId="77D4479C">
            <w:pPr>
              <w:widowControl/>
              <w:jc w:val="right"/>
              <w:rPr>
                <w:color w:val="000000"/>
                <w:sz w:val="20"/>
              </w:rPr>
            </w:pPr>
            <w:r>
              <w:rPr>
                <w:color w:val="000000"/>
                <w:sz w:val="20"/>
              </w:rPr>
              <w:t>88.2</w:t>
            </w:r>
          </w:p>
        </w:tc>
        <w:tc>
          <w:tcPr>
            <w:tcW w:w="1710" w:type="dxa"/>
            <w:tcBorders>
              <w:top w:val="nil"/>
              <w:left w:val="nil"/>
              <w:bottom w:val="nil"/>
              <w:right w:val="nil"/>
            </w:tcBorders>
          </w:tcPr>
          <w:p w:rsidR="00A36B49" w:rsidRPr="0066300D" w:rsidP="00A36B49" w14:paraId="7A5749C5" w14:textId="25CC134D">
            <w:pPr>
              <w:widowControl/>
              <w:jc w:val="right"/>
              <w:rPr>
                <w:color w:val="000000"/>
                <w:sz w:val="20"/>
              </w:rPr>
            </w:pPr>
            <w:r>
              <w:rPr>
                <w:color w:val="000000"/>
                <w:sz w:val="20"/>
              </w:rPr>
              <w:t>62.4</w:t>
            </w:r>
          </w:p>
        </w:tc>
        <w:tc>
          <w:tcPr>
            <w:tcW w:w="1940" w:type="dxa"/>
            <w:tcBorders>
              <w:top w:val="nil"/>
              <w:left w:val="nil"/>
              <w:bottom w:val="nil"/>
              <w:right w:val="nil"/>
            </w:tcBorders>
            <w:shd w:val="clear" w:color="auto" w:fill="auto"/>
            <w:noWrap/>
            <w:vAlign w:val="bottom"/>
            <w:hideMark/>
          </w:tcPr>
          <w:p w:rsidR="00A36B49" w:rsidRPr="0066300D" w:rsidP="00A36B49" w14:paraId="46438B63" w14:textId="47E6BFC2">
            <w:pPr>
              <w:widowControl/>
              <w:jc w:val="right"/>
              <w:rPr>
                <w:color w:val="000000"/>
                <w:sz w:val="20"/>
              </w:rPr>
            </w:pPr>
            <w:r w:rsidRPr="0066300D">
              <w:rPr>
                <w:color w:val="000000"/>
                <w:sz w:val="20"/>
              </w:rPr>
              <w:t>75.4</w:t>
            </w:r>
          </w:p>
        </w:tc>
        <w:tc>
          <w:tcPr>
            <w:tcW w:w="1940" w:type="dxa"/>
            <w:tcBorders>
              <w:top w:val="nil"/>
              <w:left w:val="nil"/>
              <w:bottom w:val="nil"/>
              <w:right w:val="nil"/>
            </w:tcBorders>
            <w:shd w:val="clear" w:color="auto" w:fill="auto"/>
            <w:noWrap/>
            <w:vAlign w:val="bottom"/>
            <w:hideMark/>
          </w:tcPr>
          <w:p w:rsidR="00A36B49" w:rsidRPr="0066300D" w:rsidP="00A36B49" w14:paraId="284741D6" w14:textId="77777777">
            <w:pPr>
              <w:widowControl/>
              <w:jc w:val="right"/>
              <w:rPr>
                <w:color w:val="000000"/>
                <w:sz w:val="20"/>
              </w:rPr>
            </w:pPr>
            <w:r w:rsidRPr="0066300D">
              <w:rPr>
                <w:color w:val="000000"/>
                <w:sz w:val="20"/>
              </w:rPr>
              <w:t>41.5</w:t>
            </w:r>
          </w:p>
        </w:tc>
      </w:tr>
      <w:tr w14:paraId="086AA199" w14:textId="77777777" w:rsidTr="00095A53">
        <w:tblPrEx>
          <w:tblW w:w="10090" w:type="dxa"/>
          <w:tblLook w:val="04A0"/>
        </w:tblPrEx>
        <w:trPr>
          <w:trHeight w:val="253"/>
        </w:trPr>
        <w:tc>
          <w:tcPr>
            <w:tcW w:w="2790" w:type="dxa"/>
            <w:tcBorders>
              <w:top w:val="nil"/>
              <w:left w:val="nil"/>
              <w:bottom w:val="nil"/>
              <w:right w:val="nil"/>
            </w:tcBorders>
            <w:shd w:val="clear" w:color="auto" w:fill="auto"/>
            <w:noWrap/>
            <w:vAlign w:val="bottom"/>
            <w:hideMark/>
          </w:tcPr>
          <w:p w:rsidR="00A36B49" w:rsidRPr="00FD7EE1" w:rsidP="00A36B49" w14:paraId="5ED572D8" w14:textId="554F9690">
            <w:pPr>
              <w:widowControl/>
              <w:ind w:firstLine="400" w:firstLineChars="200"/>
              <w:rPr>
                <w:color w:val="000000"/>
                <w:sz w:val="20"/>
              </w:rPr>
            </w:pPr>
            <w:r w:rsidRPr="00FD7EE1">
              <w:rPr>
                <w:color w:val="000000"/>
                <w:sz w:val="20"/>
              </w:rPr>
              <w:t>Former teacher</w:t>
            </w:r>
            <w:r>
              <w:rPr>
                <w:color w:val="000000"/>
                <w:sz w:val="20"/>
              </w:rPr>
              <w:t>s (Leavers)</w:t>
            </w:r>
          </w:p>
        </w:tc>
        <w:tc>
          <w:tcPr>
            <w:tcW w:w="1710" w:type="dxa"/>
            <w:tcBorders>
              <w:top w:val="nil"/>
              <w:left w:val="nil"/>
              <w:bottom w:val="nil"/>
              <w:right w:val="nil"/>
            </w:tcBorders>
          </w:tcPr>
          <w:p w:rsidR="00A36B49" w:rsidRPr="0066300D" w:rsidP="00A36B49" w14:paraId="7D08B0B6" w14:textId="4CF02876">
            <w:pPr>
              <w:widowControl/>
              <w:jc w:val="right"/>
              <w:rPr>
                <w:color w:val="000000"/>
                <w:sz w:val="20"/>
              </w:rPr>
            </w:pPr>
            <w:r>
              <w:rPr>
                <w:color w:val="000000"/>
                <w:sz w:val="20"/>
              </w:rPr>
              <w:t>88.2</w:t>
            </w:r>
          </w:p>
        </w:tc>
        <w:tc>
          <w:tcPr>
            <w:tcW w:w="1710" w:type="dxa"/>
            <w:tcBorders>
              <w:top w:val="nil"/>
              <w:left w:val="nil"/>
              <w:bottom w:val="nil"/>
              <w:right w:val="nil"/>
            </w:tcBorders>
          </w:tcPr>
          <w:p w:rsidR="00A36B49" w:rsidRPr="0066300D" w:rsidP="00A36B49" w14:paraId="3C050490" w14:textId="344D1F3E">
            <w:pPr>
              <w:widowControl/>
              <w:jc w:val="right"/>
              <w:rPr>
                <w:color w:val="000000"/>
                <w:sz w:val="20"/>
              </w:rPr>
            </w:pPr>
            <w:r>
              <w:rPr>
                <w:color w:val="000000"/>
                <w:sz w:val="20"/>
              </w:rPr>
              <w:t>62.4</w:t>
            </w:r>
          </w:p>
        </w:tc>
        <w:tc>
          <w:tcPr>
            <w:tcW w:w="1940" w:type="dxa"/>
            <w:tcBorders>
              <w:top w:val="nil"/>
              <w:left w:val="nil"/>
              <w:bottom w:val="nil"/>
              <w:right w:val="nil"/>
            </w:tcBorders>
            <w:shd w:val="clear" w:color="auto" w:fill="auto"/>
            <w:noWrap/>
            <w:vAlign w:val="bottom"/>
            <w:hideMark/>
          </w:tcPr>
          <w:p w:rsidR="00A36B49" w:rsidRPr="0066300D" w:rsidP="00A36B49" w14:paraId="4A9C169A" w14:textId="01B5F1AC">
            <w:pPr>
              <w:widowControl/>
              <w:jc w:val="right"/>
              <w:rPr>
                <w:color w:val="000000"/>
                <w:sz w:val="20"/>
              </w:rPr>
            </w:pPr>
            <w:r w:rsidRPr="0066300D">
              <w:rPr>
                <w:color w:val="000000"/>
                <w:sz w:val="20"/>
              </w:rPr>
              <w:t>65.8</w:t>
            </w:r>
          </w:p>
        </w:tc>
        <w:tc>
          <w:tcPr>
            <w:tcW w:w="1940" w:type="dxa"/>
            <w:tcBorders>
              <w:top w:val="nil"/>
              <w:left w:val="nil"/>
              <w:bottom w:val="nil"/>
              <w:right w:val="nil"/>
            </w:tcBorders>
            <w:shd w:val="clear" w:color="auto" w:fill="auto"/>
            <w:noWrap/>
            <w:vAlign w:val="bottom"/>
            <w:hideMark/>
          </w:tcPr>
          <w:p w:rsidR="00A36B49" w:rsidRPr="0066300D" w:rsidP="00A36B49" w14:paraId="611BF3F3" w14:textId="77777777">
            <w:pPr>
              <w:widowControl/>
              <w:jc w:val="right"/>
              <w:rPr>
                <w:color w:val="000000"/>
                <w:sz w:val="20"/>
              </w:rPr>
            </w:pPr>
            <w:r w:rsidRPr="0066300D">
              <w:rPr>
                <w:color w:val="000000"/>
                <w:sz w:val="20"/>
              </w:rPr>
              <w:t>36.2</w:t>
            </w:r>
          </w:p>
        </w:tc>
      </w:tr>
      <w:tr w14:paraId="58A9999A" w14:textId="77777777" w:rsidTr="00095A53">
        <w:tblPrEx>
          <w:tblW w:w="10090" w:type="dxa"/>
          <w:tblLook w:val="04A0"/>
        </w:tblPrEx>
        <w:trPr>
          <w:trHeight w:val="253"/>
        </w:trPr>
        <w:tc>
          <w:tcPr>
            <w:tcW w:w="2790" w:type="dxa"/>
            <w:tcBorders>
              <w:top w:val="nil"/>
              <w:left w:val="nil"/>
              <w:bottom w:val="nil"/>
              <w:right w:val="nil"/>
            </w:tcBorders>
            <w:shd w:val="clear" w:color="auto" w:fill="auto"/>
            <w:noWrap/>
            <w:vAlign w:val="bottom"/>
            <w:hideMark/>
          </w:tcPr>
          <w:p w:rsidR="00095A53" w:rsidRPr="00FD7EE1" w14:paraId="7DC628C5" w14:textId="77777777">
            <w:pPr>
              <w:widowControl/>
              <w:rPr>
                <w:color w:val="000000"/>
                <w:sz w:val="20"/>
              </w:rPr>
            </w:pPr>
            <w:r w:rsidRPr="00FD7EE1">
              <w:rPr>
                <w:color w:val="000000"/>
                <w:sz w:val="20"/>
              </w:rPr>
              <w:t xml:space="preserve">Private </w:t>
            </w:r>
          </w:p>
        </w:tc>
        <w:tc>
          <w:tcPr>
            <w:tcW w:w="1710" w:type="dxa"/>
            <w:tcBorders>
              <w:top w:val="nil"/>
              <w:left w:val="nil"/>
              <w:bottom w:val="nil"/>
              <w:right w:val="nil"/>
            </w:tcBorders>
          </w:tcPr>
          <w:p w:rsidR="00095A53" w:rsidRPr="0066300D" w14:paraId="5995D176" w14:textId="629AB629">
            <w:pPr>
              <w:widowControl/>
              <w:jc w:val="right"/>
              <w:rPr>
                <w:color w:val="000000"/>
                <w:sz w:val="20"/>
              </w:rPr>
            </w:pPr>
            <w:r>
              <w:rPr>
                <w:color w:val="000000"/>
                <w:sz w:val="20"/>
              </w:rPr>
              <w:t>71.8</w:t>
            </w:r>
          </w:p>
        </w:tc>
        <w:tc>
          <w:tcPr>
            <w:tcW w:w="1710" w:type="dxa"/>
            <w:tcBorders>
              <w:top w:val="nil"/>
              <w:left w:val="nil"/>
              <w:bottom w:val="nil"/>
              <w:right w:val="nil"/>
            </w:tcBorders>
          </w:tcPr>
          <w:p w:rsidR="00095A53" w:rsidRPr="0066300D" w14:paraId="62A77C86" w14:textId="75D4A34D">
            <w:pPr>
              <w:widowControl/>
              <w:jc w:val="right"/>
              <w:rPr>
                <w:color w:val="000000"/>
                <w:sz w:val="20"/>
              </w:rPr>
            </w:pPr>
            <w:r>
              <w:rPr>
                <w:color w:val="000000"/>
                <w:sz w:val="20"/>
              </w:rPr>
              <w:t>60.6</w:t>
            </w:r>
          </w:p>
        </w:tc>
        <w:tc>
          <w:tcPr>
            <w:tcW w:w="1940" w:type="dxa"/>
            <w:tcBorders>
              <w:top w:val="nil"/>
              <w:left w:val="nil"/>
              <w:bottom w:val="nil"/>
              <w:right w:val="nil"/>
            </w:tcBorders>
            <w:shd w:val="clear" w:color="auto" w:fill="auto"/>
            <w:noWrap/>
            <w:vAlign w:val="bottom"/>
            <w:hideMark/>
          </w:tcPr>
          <w:p w:rsidR="00095A53" w:rsidRPr="0066300D" w14:paraId="2C196018" w14:textId="278CE12E">
            <w:pPr>
              <w:widowControl/>
              <w:jc w:val="right"/>
              <w:rPr>
                <w:color w:val="000000"/>
                <w:sz w:val="20"/>
              </w:rPr>
            </w:pPr>
            <w:r w:rsidRPr="0066300D">
              <w:rPr>
                <w:color w:val="000000"/>
                <w:sz w:val="20"/>
              </w:rPr>
              <w:t>77.7</w:t>
            </w:r>
          </w:p>
        </w:tc>
        <w:tc>
          <w:tcPr>
            <w:tcW w:w="1940" w:type="dxa"/>
            <w:tcBorders>
              <w:top w:val="nil"/>
              <w:left w:val="nil"/>
              <w:bottom w:val="nil"/>
              <w:right w:val="nil"/>
            </w:tcBorders>
            <w:shd w:val="clear" w:color="auto" w:fill="auto"/>
            <w:noWrap/>
            <w:vAlign w:val="bottom"/>
            <w:hideMark/>
          </w:tcPr>
          <w:p w:rsidR="00095A53" w:rsidRPr="0066300D" w14:paraId="648836C2" w14:textId="77777777">
            <w:pPr>
              <w:widowControl/>
              <w:jc w:val="right"/>
              <w:rPr>
                <w:color w:val="000000"/>
                <w:sz w:val="20"/>
              </w:rPr>
            </w:pPr>
            <w:r w:rsidRPr="0066300D">
              <w:rPr>
                <w:color w:val="000000"/>
                <w:sz w:val="20"/>
              </w:rPr>
              <w:t>33.8</w:t>
            </w:r>
          </w:p>
        </w:tc>
      </w:tr>
      <w:tr w14:paraId="27B638CD" w14:textId="77777777" w:rsidTr="00095A53">
        <w:tblPrEx>
          <w:tblW w:w="10090" w:type="dxa"/>
          <w:tblLook w:val="04A0"/>
        </w:tblPrEx>
        <w:trPr>
          <w:trHeight w:val="253"/>
        </w:trPr>
        <w:tc>
          <w:tcPr>
            <w:tcW w:w="2790" w:type="dxa"/>
            <w:tcBorders>
              <w:top w:val="nil"/>
              <w:left w:val="nil"/>
              <w:bottom w:val="nil"/>
              <w:right w:val="nil"/>
            </w:tcBorders>
            <w:shd w:val="clear" w:color="auto" w:fill="auto"/>
            <w:noWrap/>
            <w:vAlign w:val="bottom"/>
            <w:hideMark/>
          </w:tcPr>
          <w:p w:rsidR="00A36B49" w:rsidRPr="00FD7EE1" w:rsidP="00A36B49" w14:paraId="7D767CB6" w14:textId="54D1FEB5">
            <w:pPr>
              <w:widowControl/>
              <w:ind w:firstLine="400" w:firstLineChars="200"/>
              <w:rPr>
                <w:color w:val="000000"/>
                <w:sz w:val="20"/>
              </w:rPr>
            </w:pPr>
            <w:r w:rsidRPr="00FD7EE1">
              <w:rPr>
                <w:color w:val="000000"/>
                <w:sz w:val="20"/>
              </w:rPr>
              <w:t>Current teacher</w:t>
            </w:r>
            <w:r>
              <w:rPr>
                <w:color w:val="000000"/>
                <w:sz w:val="20"/>
              </w:rPr>
              <w:t>s</w:t>
            </w:r>
          </w:p>
        </w:tc>
        <w:tc>
          <w:tcPr>
            <w:tcW w:w="1710" w:type="dxa"/>
            <w:tcBorders>
              <w:top w:val="nil"/>
              <w:left w:val="nil"/>
              <w:bottom w:val="nil"/>
              <w:right w:val="nil"/>
            </w:tcBorders>
          </w:tcPr>
          <w:p w:rsidR="00A36B49" w:rsidRPr="0066300D" w:rsidP="00A36B49" w14:paraId="61B8EBC1" w14:textId="1AD395FE">
            <w:pPr>
              <w:widowControl/>
              <w:jc w:val="right"/>
              <w:rPr>
                <w:color w:val="000000"/>
                <w:sz w:val="20"/>
              </w:rPr>
            </w:pPr>
            <w:r>
              <w:rPr>
                <w:color w:val="000000"/>
                <w:sz w:val="20"/>
              </w:rPr>
              <w:t>71.8</w:t>
            </w:r>
          </w:p>
        </w:tc>
        <w:tc>
          <w:tcPr>
            <w:tcW w:w="1710" w:type="dxa"/>
            <w:tcBorders>
              <w:top w:val="nil"/>
              <w:left w:val="nil"/>
              <w:bottom w:val="nil"/>
              <w:right w:val="nil"/>
            </w:tcBorders>
          </w:tcPr>
          <w:p w:rsidR="00A36B49" w:rsidRPr="0066300D" w:rsidP="00A36B49" w14:paraId="7A520828" w14:textId="422DEB92">
            <w:pPr>
              <w:widowControl/>
              <w:jc w:val="right"/>
              <w:rPr>
                <w:color w:val="000000"/>
                <w:sz w:val="20"/>
              </w:rPr>
            </w:pPr>
            <w:r>
              <w:rPr>
                <w:color w:val="000000"/>
                <w:sz w:val="20"/>
              </w:rPr>
              <w:t>60.6</w:t>
            </w:r>
          </w:p>
        </w:tc>
        <w:tc>
          <w:tcPr>
            <w:tcW w:w="1940" w:type="dxa"/>
            <w:tcBorders>
              <w:top w:val="nil"/>
              <w:left w:val="nil"/>
              <w:bottom w:val="nil"/>
              <w:right w:val="nil"/>
            </w:tcBorders>
            <w:shd w:val="clear" w:color="auto" w:fill="auto"/>
            <w:noWrap/>
            <w:vAlign w:val="bottom"/>
            <w:hideMark/>
          </w:tcPr>
          <w:p w:rsidR="00A36B49" w:rsidRPr="0066300D" w:rsidP="00A36B49" w14:paraId="731F209E" w14:textId="4E610036">
            <w:pPr>
              <w:widowControl/>
              <w:jc w:val="right"/>
              <w:rPr>
                <w:color w:val="000000"/>
                <w:sz w:val="20"/>
              </w:rPr>
            </w:pPr>
            <w:r w:rsidRPr="0066300D">
              <w:rPr>
                <w:color w:val="000000"/>
                <w:sz w:val="20"/>
              </w:rPr>
              <w:t>79.5</w:t>
            </w:r>
          </w:p>
        </w:tc>
        <w:tc>
          <w:tcPr>
            <w:tcW w:w="1940" w:type="dxa"/>
            <w:tcBorders>
              <w:top w:val="nil"/>
              <w:left w:val="nil"/>
              <w:bottom w:val="nil"/>
              <w:right w:val="nil"/>
            </w:tcBorders>
            <w:shd w:val="clear" w:color="auto" w:fill="auto"/>
            <w:noWrap/>
            <w:vAlign w:val="bottom"/>
            <w:hideMark/>
          </w:tcPr>
          <w:p w:rsidR="00A36B49" w:rsidRPr="0066300D" w:rsidP="00A36B49" w14:paraId="0C3350FA" w14:textId="77777777">
            <w:pPr>
              <w:widowControl/>
              <w:jc w:val="right"/>
              <w:rPr>
                <w:color w:val="000000"/>
                <w:sz w:val="20"/>
              </w:rPr>
            </w:pPr>
            <w:r w:rsidRPr="0066300D">
              <w:rPr>
                <w:color w:val="000000"/>
                <w:sz w:val="20"/>
              </w:rPr>
              <w:t>34.6</w:t>
            </w:r>
          </w:p>
        </w:tc>
      </w:tr>
      <w:tr w14:paraId="378A833C" w14:textId="77777777" w:rsidTr="00095A53">
        <w:tblPrEx>
          <w:tblW w:w="10090" w:type="dxa"/>
          <w:tblLook w:val="04A0"/>
        </w:tblPrEx>
        <w:trPr>
          <w:trHeight w:val="253"/>
        </w:trPr>
        <w:tc>
          <w:tcPr>
            <w:tcW w:w="2790" w:type="dxa"/>
            <w:tcBorders>
              <w:top w:val="nil"/>
              <w:left w:val="nil"/>
              <w:bottom w:val="nil"/>
              <w:right w:val="nil"/>
            </w:tcBorders>
            <w:shd w:val="clear" w:color="auto" w:fill="auto"/>
            <w:noWrap/>
            <w:vAlign w:val="bottom"/>
            <w:hideMark/>
          </w:tcPr>
          <w:p w:rsidR="00A36B49" w:rsidRPr="00FD7EE1" w:rsidP="00A36B49" w14:paraId="14ADC9DF" w14:textId="6313EB39">
            <w:pPr>
              <w:widowControl/>
              <w:ind w:firstLine="800" w:firstLineChars="400"/>
              <w:rPr>
                <w:color w:val="000000"/>
                <w:sz w:val="20"/>
              </w:rPr>
            </w:pPr>
            <w:r w:rsidRPr="00FD7EE1">
              <w:rPr>
                <w:color w:val="000000"/>
                <w:sz w:val="20"/>
              </w:rPr>
              <w:t>Stayer</w:t>
            </w:r>
            <w:r>
              <w:rPr>
                <w:color w:val="000000"/>
                <w:sz w:val="20"/>
              </w:rPr>
              <w:t>s</w:t>
            </w:r>
          </w:p>
        </w:tc>
        <w:tc>
          <w:tcPr>
            <w:tcW w:w="1710" w:type="dxa"/>
            <w:tcBorders>
              <w:top w:val="nil"/>
              <w:left w:val="nil"/>
              <w:bottom w:val="nil"/>
              <w:right w:val="nil"/>
            </w:tcBorders>
          </w:tcPr>
          <w:p w:rsidR="00A36B49" w:rsidRPr="0066300D" w:rsidP="00A36B49" w14:paraId="464A9CC3" w14:textId="76B316A7">
            <w:pPr>
              <w:widowControl/>
              <w:jc w:val="right"/>
              <w:rPr>
                <w:color w:val="000000"/>
                <w:sz w:val="20"/>
              </w:rPr>
            </w:pPr>
            <w:r>
              <w:rPr>
                <w:color w:val="000000"/>
                <w:sz w:val="20"/>
              </w:rPr>
              <w:t>71.8</w:t>
            </w:r>
          </w:p>
        </w:tc>
        <w:tc>
          <w:tcPr>
            <w:tcW w:w="1710" w:type="dxa"/>
            <w:tcBorders>
              <w:top w:val="nil"/>
              <w:left w:val="nil"/>
              <w:bottom w:val="nil"/>
              <w:right w:val="nil"/>
            </w:tcBorders>
          </w:tcPr>
          <w:p w:rsidR="00A36B49" w:rsidRPr="0066300D" w:rsidP="00A36B49" w14:paraId="5410D7AF" w14:textId="4F7903F8">
            <w:pPr>
              <w:widowControl/>
              <w:jc w:val="right"/>
              <w:rPr>
                <w:color w:val="000000"/>
                <w:sz w:val="20"/>
              </w:rPr>
            </w:pPr>
            <w:r>
              <w:rPr>
                <w:color w:val="000000"/>
                <w:sz w:val="20"/>
              </w:rPr>
              <w:t>60.6</w:t>
            </w:r>
          </w:p>
        </w:tc>
        <w:tc>
          <w:tcPr>
            <w:tcW w:w="1940" w:type="dxa"/>
            <w:tcBorders>
              <w:top w:val="nil"/>
              <w:left w:val="nil"/>
              <w:bottom w:val="nil"/>
              <w:right w:val="nil"/>
            </w:tcBorders>
            <w:shd w:val="clear" w:color="auto" w:fill="auto"/>
            <w:noWrap/>
            <w:vAlign w:val="bottom"/>
            <w:hideMark/>
          </w:tcPr>
          <w:p w:rsidR="00A36B49" w:rsidRPr="0066300D" w:rsidP="00A36B49" w14:paraId="54F57B07" w14:textId="380FDFFE">
            <w:pPr>
              <w:widowControl/>
              <w:jc w:val="right"/>
              <w:rPr>
                <w:color w:val="000000"/>
                <w:sz w:val="20"/>
              </w:rPr>
            </w:pPr>
            <w:r w:rsidRPr="0066300D">
              <w:rPr>
                <w:color w:val="000000"/>
                <w:sz w:val="20"/>
              </w:rPr>
              <w:t>81.7</w:t>
            </w:r>
          </w:p>
        </w:tc>
        <w:tc>
          <w:tcPr>
            <w:tcW w:w="1940" w:type="dxa"/>
            <w:tcBorders>
              <w:top w:val="nil"/>
              <w:left w:val="nil"/>
              <w:bottom w:val="nil"/>
              <w:right w:val="nil"/>
            </w:tcBorders>
            <w:shd w:val="clear" w:color="auto" w:fill="auto"/>
            <w:noWrap/>
            <w:vAlign w:val="bottom"/>
            <w:hideMark/>
          </w:tcPr>
          <w:p w:rsidR="00A36B49" w:rsidRPr="0066300D" w:rsidP="00A36B49" w14:paraId="687DA75D" w14:textId="77777777">
            <w:pPr>
              <w:widowControl/>
              <w:jc w:val="right"/>
              <w:rPr>
                <w:color w:val="000000"/>
                <w:sz w:val="20"/>
              </w:rPr>
            </w:pPr>
            <w:r w:rsidRPr="0066300D">
              <w:rPr>
                <w:color w:val="000000"/>
                <w:sz w:val="20"/>
              </w:rPr>
              <w:t>35.5</w:t>
            </w:r>
          </w:p>
        </w:tc>
      </w:tr>
      <w:tr w14:paraId="00D463E4" w14:textId="77777777" w:rsidTr="00095A53">
        <w:tblPrEx>
          <w:tblW w:w="10090" w:type="dxa"/>
          <w:tblLook w:val="04A0"/>
        </w:tblPrEx>
        <w:trPr>
          <w:trHeight w:val="253"/>
        </w:trPr>
        <w:tc>
          <w:tcPr>
            <w:tcW w:w="2790" w:type="dxa"/>
            <w:tcBorders>
              <w:top w:val="nil"/>
              <w:left w:val="nil"/>
              <w:right w:val="nil"/>
            </w:tcBorders>
            <w:shd w:val="clear" w:color="auto" w:fill="auto"/>
            <w:noWrap/>
            <w:vAlign w:val="bottom"/>
            <w:hideMark/>
          </w:tcPr>
          <w:p w:rsidR="00A36B49" w:rsidRPr="00FD7EE1" w:rsidP="00A36B49" w14:paraId="57D97694" w14:textId="7C24335F">
            <w:pPr>
              <w:widowControl/>
              <w:ind w:firstLine="800" w:firstLineChars="400"/>
              <w:rPr>
                <w:color w:val="000000"/>
                <w:sz w:val="20"/>
              </w:rPr>
            </w:pPr>
            <w:r w:rsidRPr="00FD7EE1">
              <w:rPr>
                <w:color w:val="000000"/>
                <w:sz w:val="20"/>
              </w:rPr>
              <w:t>Mover</w:t>
            </w:r>
            <w:r>
              <w:rPr>
                <w:color w:val="000000"/>
                <w:sz w:val="20"/>
              </w:rPr>
              <w:t>s</w:t>
            </w:r>
          </w:p>
        </w:tc>
        <w:tc>
          <w:tcPr>
            <w:tcW w:w="1710" w:type="dxa"/>
            <w:tcBorders>
              <w:top w:val="nil"/>
              <w:left w:val="nil"/>
              <w:right w:val="nil"/>
            </w:tcBorders>
          </w:tcPr>
          <w:p w:rsidR="00A36B49" w:rsidRPr="0066300D" w:rsidP="00A36B49" w14:paraId="62ECFE98" w14:textId="709A324F">
            <w:pPr>
              <w:widowControl/>
              <w:jc w:val="right"/>
              <w:rPr>
                <w:color w:val="000000"/>
                <w:sz w:val="20"/>
              </w:rPr>
            </w:pPr>
            <w:r>
              <w:rPr>
                <w:color w:val="000000"/>
                <w:sz w:val="20"/>
              </w:rPr>
              <w:t>71.8</w:t>
            </w:r>
          </w:p>
        </w:tc>
        <w:tc>
          <w:tcPr>
            <w:tcW w:w="1710" w:type="dxa"/>
            <w:tcBorders>
              <w:top w:val="nil"/>
              <w:left w:val="nil"/>
              <w:right w:val="nil"/>
            </w:tcBorders>
          </w:tcPr>
          <w:p w:rsidR="00A36B49" w:rsidRPr="0066300D" w:rsidP="00A36B49" w14:paraId="1D25D4EB" w14:textId="6688EC25">
            <w:pPr>
              <w:widowControl/>
              <w:jc w:val="right"/>
              <w:rPr>
                <w:color w:val="000000"/>
                <w:sz w:val="20"/>
              </w:rPr>
            </w:pPr>
            <w:r>
              <w:rPr>
                <w:color w:val="000000"/>
                <w:sz w:val="20"/>
              </w:rPr>
              <w:t>60.6</w:t>
            </w:r>
          </w:p>
        </w:tc>
        <w:tc>
          <w:tcPr>
            <w:tcW w:w="1940" w:type="dxa"/>
            <w:tcBorders>
              <w:top w:val="nil"/>
              <w:left w:val="nil"/>
              <w:right w:val="nil"/>
            </w:tcBorders>
            <w:shd w:val="clear" w:color="auto" w:fill="auto"/>
            <w:noWrap/>
            <w:vAlign w:val="bottom"/>
            <w:hideMark/>
          </w:tcPr>
          <w:p w:rsidR="00A36B49" w:rsidRPr="0066300D" w:rsidP="00A36B49" w14:paraId="39FF9A44" w14:textId="252F2832">
            <w:pPr>
              <w:widowControl/>
              <w:jc w:val="right"/>
              <w:rPr>
                <w:color w:val="000000"/>
                <w:sz w:val="20"/>
              </w:rPr>
            </w:pPr>
            <w:r w:rsidRPr="0066300D">
              <w:rPr>
                <w:color w:val="000000"/>
                <w:sz w:val="20"/>
              </w:rPr>
              <w:t>77.1</w:t>
            </w:r>
          </w:p>
        </w:tc>
        <w:tc>
          <w:tcPr>
            <w:tcW w:w="1940" w:type="dxa"/>
            <w:tcBorders>
              <w:top w:val="nil"/>
              <w:left w:val="nil"/>
              <w:right w:val="nil"/>
            </w:tcBorders>
            <w:shd w:val="clear" w:color="auto" w:fill="auto"/>
            <w:noWrap/>
            <w:vAlign w:val="bottom"/>
            <w:hideMark/>
          </w:tcPr>
          <w:p w:rsidR="00A36B49" w:rsidRPr="0066300D" w:rsidP="00A36B49" w14:paraId="1DCDF248" w14:textId="77777777">
            <w:pPr>
              <w:widowControl/>
              <w:jc w:val="right"/>
              <w:rPr>
                <w:color w:val="000000"/>
                <w:sz w:val="20"/>
              </w:rPr>
            </w:pPr>
            <w:r w:rsidRPr="0066300D">
              <w:rPr>
                <w:color w:val="000000"/>
                <w:sz w:val="20"/>
              </w:rPr>
              <w:t>33.5</w:t>
            </w:r>
          </w:p>
        </w:tc>
      </w:tr>
      <w:tr w14:paraId="50DFE9B6" w14:textId="77777777" w:rsidTr="00095A53">
        <w:tblPrEx>
          <w:tblW w:w="10090" w:type="dxa"/>
          <w:tblLook w:val="04A0"/>
        </w:tblPrEx>
        <w:trPr>
          <w:trHeight w:val="253"/>
        </w:trPr>
        <w:tc>
          <w:tcPr>
            <w:tcW w:w="2790" w:type="dxa"/>
            <w:tcBorders>
              <w:top w:val="nil"/>
              <w:left w:val="nil"/>
              <w:bottom w:val="single" w:sz="4" w:space="0" w:color="auto"/>
              <w:right w:val="nil"/>
            </w:tcBorders>
            <w:shd w:val="clear" w:color="auto" w:fill="auto"/>
            <w:noWrap/>
            <w:vAlign w:val="bottom"/>
            <w:hideMark/>
          </w:tcPr>
          <w:p w:rsidR="00A36B49" w:rsidRPr="00FD7EE1" w:rsidP="00A36B49" w14:paraId="6F08C9FD" w14:textId="198A78D2">
            <w:pPr>
              <w:widowControl/>
              <w:ind w:firstLine="400" w:firstLineChars="200"/>
              <w:rPr>
                <w:color w:val="000000"/>
                <w:sz w:val="20"/>
              </w:rPr>
            </w:pPr>
            <w:r w:rsidRPr="00FD7EE1">
              <w:rPr>
                <w:color w:val="000000"/>
                <w:sz w:val="20"/>
              </w:rPr>
              <w:t>Former teacher</w:t>
            </w:r>
            <w:r>
              <w:rPr>
                <w:color w:val="000000"/>
                <w:sz w:val="20"/>
              </w:rPr>
              <w:t>s (Leavers)</w:t>
            </w:r>
          </w:p>
        </w:tc>
        <w:tc>
          <w:tcPr>
            <w:tcW w:w="1710" w:type="dxa"/>
            <w:tcBorders>
              <w:top w:val="nil"/>
              <w:left w:val="nil"/>
              <w:bottom w:val="single" w:sz="4" w:space="0" w:color="auto"/>
              <w:right w:val="nil"/>
            </w:tcBorders>
          </w:tcPr>
          <w:p w:rsidR="00A36B49" w:rsidRPr="0066300D" w:rsidP="00A36B49" w14:paraId="6B00A842" w14:textId="2DD83390">
            <w:pPr>
              <w:widowControl/>
              <w:jc w:val="right"/>
              <w:rPr>
                <w:color w:val="000000"/>
                <w:sz w:val="20"/>
              </w:rPr>
            </w:pPr>
            <w:r>
              <w:rPr>
                <w:color w:val="000000"/>
                <w:sz w:val="20"/>
              </w:rPr>
              <w:t>71.8</w:t>
            </w:r>
          </w:p>
        </w:tc>
        <w:tc>
          <w:tcPr>
            <w:tcW w:w="1710" w:type="dxa"/>
            <w:tcBorders>
              <w:top w:val="nil"/>
              <w:left w:val="nil"/>
              <w:bottom w:val="single" w:sz="4" w:space="0" w:color="auto"/>
              <w:right w:val="nil"/>
            </w:tcBorders>
          </w:tcPr>
          <w:p w:rsidR="00A36B49" w:rsidRPr="0066300D" w:rsidP="00A36B49" w14:paraId="13FBF2D8" w14:textId="5A3EF945">
            <w:pPr>
              <w:widowControl/>
              <w:jc w:val="right"/>
              <w:rPr>
                <w:color w:val="000000"/>
                <w:sz w:val="20"/>
              </w:rPr>
            </w:pPr>
            <w:r>
              <w:rPr>
                <w:color w:val="000000"/>
                <w:sz w:val="20"/>
              </w:rPr>
              <w:t>60.6</w:t>
            </w:r>
          </w:p>
        </w:tc>
        <w:tc>
          <w:tcPr>
            <w:tcW w:w="1940" w:type="dxa"/>
            <w:tcBorders>
              <w:top w:val="nil"/>
              <w:left w:val="nil"/>
              <w:bottom w:val="single" w:sz="4" w:space="0" w:color="auto"/>
              <w:right w:val="nil"/>
            </w:tcBorders>
            <w:shd w:val="clear" w:color="auto" w:fill="auto"/>
            <w:noWrap/>
            <w:vAlign w:val="bottom"/>
            <w:hideMark/>
          </w:tcPr>
          <w:p w:rsidR="00A36B49" w:rsidRPr="0066300D" w:rsidP="00A36B49" w14:paraId="28E8333E" w14:textId="4F65EB2D">
            <w:pPr>
              <w:widowControl/>
              <w:jc w:val="right"/>
              <w:rPr>
                <w:color w:val="000000"/>
                <w:sz w:val="20"/>
              </w:rPr>
            </w:pPr>
            <w:r w:rsidRPr="0066300D">
              <w:rPr>
                <w:color w:val="000000"/>
                <w:sz w:val="20"/>
              </w:rPr>
              <w:t>64.9</w:t>
            </w:r>
          </w:p>
        </w:tc>
        <w:tc>
          <w:tcPr>
            <w:tcW w:w="1940" w:type="dxa"/>
            <w:tcBorders>
              <w:top w:val="nil"/>
              <w:left w:val="nil"/>
              <w:bottom w:val="single" w:sz="4" w:space="0" w:color="auto"/>
              <w:right w:val="nil"/>
            </w:tcBorders>
            <w:shd w:val="clear" w:color="auto" w:fill="auto"/>
            <w:noWrap/>
            <w:vAlign w:val="bottom"/>
            <w:hideMark/>
          </w:tcPr>
          <w:p w:rsidR="00A36B49" w:rsidRPr="0066300D" w:rsidP="00A36B49" w14:paraId="6F029375" w14:textId="77777777">
            <w:pPr>
              <w:widowControl/>
              <w:jc w:val="right"/>
              <w:rPr>
                <w:color w:val="000000"/>
                <w:sz w:val="20"/>
              </w:rPr>
            </w:pPr>
            <w:r w:rsidRPr="0066300D">
              <w:rPr>
                <w:color w:val="000000"/>
                <w:sz w:val="20"/>
              </w:rPr>
              <w:t>28.2</w:t>
            </w:r>
          </w:p>
        </w:tc>
      </w:tr>
    </w:tbl>
    <w:p w:rsidR="00AA58F6" w:rsidP="00AA58F6" w14:paraId="5B75F1A7" w14:textId="77777777">
      <w:pPr>
        <w:spacing w:before="24" w:line="242" w:lineRule="auto"/>
        <w:rPr>
          <w:spacing w:val="-1"/>
          <w:sz w:val="18"/>
          <w:szCs w:val="18"/>
        </w:rPr>
      </w:pPr>
      <w:r w:rsidRPr="00842380">
        <w:rPr>
          <w:spacing w:val="-1"/>
          <w:sz w:val="18"/>
          <w:szCs w:val="18"/>
          <w:vertAlign w:val="superscript"/>
        </w:rPr>
        <w:t>1</w:t>
      </w:r>
      <w:r w:rsidRPr="00842380">
        <w:rPr>
          <w:spacing w:val="-1"/>
          <w:sz w:val="18"/>
          <w:szCs w:val="18"/>
        </w:rPr>
        <w:t>NTPS</w:t>
      </w:r>
      <w:r>
        <w:rPr>
          <w:spacing w:val="-1"/>
          <w:sz w:val="18"/>
          <w:szCs w:val="18"/>
        </w:rPr>
        <w:t xml:space="preserve"> base weighted </w:t>
      </w:r>
      <w:r w:rsidRPr="00842380">
        <w:rPr>
          <w:spacing w:val="-1"/>
          <w:sz w:val="18"/>
          <w:szCs w:val="18"/>
        </w:rPr>
        <w:t>Teacher Listing Form</w:t>
      </w:r>
      <w:r>
        <w:rPr>
          <w:spacing w:val="-1"/>
          <w:sz w:val="18"/>
          <w:szCs w:val="18"/>
        </w:rPr>
        <w:t xml:space="preserve"> response rate times NTPS</w:t>
      </w:r>
      <w:r w:rsidRPr="00842380">
        <w:rPr>
          <w:spacing w:val="-1"/>
          <w:sz w:val="18"/>
          <w:szCs w:val="18"/>
        </w:rPr>
        <w:t xml:space="preserve"> base weighted </w:t>
      </w:r>
      <w:r>
        <w:rPr>
          <w:spacing w:val="-1"/>
          <w:sz w:val="18"/>
          <w:szCs w:val="18"/>
        </w:rPr>
        <w:t xml:space="preserve">teacher </w:t>
      </w:r>
      <w:r w:rsidRPr="00842380">
        <w:rPr>
          <w:spacing w:val="-1"/>
          <w:sz w:val="18"/>
          <w:szCs w:val="18"/>
        </w:rPr>
        <w:t xml:space="preserve">questionnaire response rate times TFS base weighted </w:t>
      </w:r>
      <w:r>
        <w:rPr>
          <w:spacing w:val="-1"/>
          <w:sz w:val="18"/>
          <w:szCs w:val="18"/>
        </w:rPr>
        <w:t xml:space="preserve">teacher </w:t>
      </w:r>
      <w:r w:rsidRPr="00842380">
        <w:rPr>
          <w:spacing w:val="-1"/>
          <w:sz w:val="18"/>
          <w:szCs w:val="18"/>
        </w:rPr>
        <w:t>questionnaire response rate</w:t>
      </w:r>
      <w:r>
        <w:rPr>
          <w:spacing w:val="-1"/>
          <w:sz w:val="18"/>
          <w:szCs w:val="18"/>
        </w:rPr>
        <w:t xml:space="preserve">. </w:t>
      </w:r>
    </w:p>
    <w:p w:rsidR="00AA58F6" w:rsidRPr="00DC7187" w:rsidP="00385160" w14:paraId="22728A9F" w14:textId="77777777">
      <w:pPr>
        <w:rPr>
          <w:sz w:val="20"/>
        </w:rPr>
      </w:pPr>
    </w:p>
    <w:p w:rsidR="00FB177D" w:rsidP="003A6CFA" w14:paraId="7EC1FB19" w14:textId="598BE789">
      <w:pPr>
        <w:pStyle w:val="Heading2"/>
        <w:rPr>
          <w:rFonts w:eastAsiaTheme="minorEastAsia"/>
          <w:sz w:val="22"/>
          <w:szCs w:val="18"/>
        </w:rPr>
      </w:pPr>
      <w:bookmarkStart w:id="31" w:name="_Toc57039281"/>
      <w:bookmarkStart w:id="32" w:name="_Toc187144069"/>
      <w:r w:rsidRPr="00E6627A">
        <w:rPr>
          <w:rFonts w:eastAsiaTheme="minorEastAsia"/>
          <w:sz w:val="22"/>
          <w:szCs w:val="18"/>
        </w:rPr>
        <w:t>B.2.2</w:t>
      </w:r>
      <w:r w:rsidRPr="00E6627A">
        <w:rPr>
          <w:rFonts w:eastAsiaTheme="minorEastAsia"/>
          <w:sz w:val="22"/>
          <w:szCs w:val="18"/>
        </w:rPr>
        <w:tab/>
        <w:t>202</w:t>
      </w:r>
      <w:r w:rsidRPr="00E6627A" w:rsidR="005D6E25">
        <w:rPr>
          <w:rFonts w:eastAsiaTheme="minorEastAsia"/>
          <w:sz w:val="22"/>
          <w:szCs w:val="18"/>
        </w:rPr>
        <w:t>4</w:t>
      </w:r>
      <w:r w:rsidRPr="00E6627A">
        <w:rPr>
          <w:rFonts w:eastAsiaTheme="minorEastAsia"/>
          <w:sz w:val="22"/>
          <w:szCs w:val="18"/>
        </w:rPr>
        <w:t>-2</w:t>
      </w:r>
      <w:r w:rsidRPr="00E6627A" w:rsidR="005D6E25">
        <w:rPr>
          <w:rFonts w:eastAsiaTheme="minorEastAsia"/>
          <w:sz w:val="22"/>
          <w:szCs w:val="18"/>
        </w:rPr>
        <w:t>5</w:t>
      </w:r>
      <w:r w:rsidRPr="00E6627A">
        <w:rPr>
          <w:rFonts w:eastAsiaTheme="minorEastAsia"/>
          <w:sz w:val="22"/>
          <w:szCs w:val="18"/>
        </w:rPr>
        <w:t xml:space="preserve"> PFS Procedures for the Collection of Information</w:t>
      </w:r>
      <w:bookmarkEnd w:id="31"/>
      <w:bookmarkEnd w:id="32"/>
    </w:p>
    <w:p w:rsidR="009960F0" w:rsidRPr="009960F0" w:rsidP="009960F0" w14:paraId="673E596B" w14:textId="77777777">
      <w:pPr>
        <w:rPr>
          <w:rFonts w:eastAsiaTheme="minorEastAsia"/>
        </w:rPr>
      </w:pPr>
    </w:p>
    <w:p w:rsidR="00C11F48" w:rsidRPr="00DC7187" w:rsidP="00C11F48" w14:paraId="573889D6" w14:textId="669EB675">
      <w:pPr>
        <w:rPr>
          <w:sz w:val="22"/>
          <w:szCs w:val="18"/>
        </w:rPr>
      </w:pPr>
      <w:bookmarkStart w:id="33" w:name="_Hlk152058552"/>
      <w:r>
        <w:rPr>
          <w:sz w:val="22"/>
          <w:szCs w:val="18"/>
        </w:rPr>
        <w:t>On</w:t>
      </w:r>
      <w:r w:rsidRPr="00DC7187">
        <w:rPr>
          <w:sz w:val="22"/>
          <w:szCs w:val="18"/>
        </w:rPr>
        <w:t xml:space="preserve"> the 202</w:t>
      </w:r>
      <w:r>
        <w:rPr>
          <w:sz w:val="22"/>
          <w:szCs w:val="18"/>
        </w:rPr>
        <w:t>3</w:t>
      </w:r>
      <w:r w:rsidRPr="00DC7187">
        <w:rPr>
          <w:sz w:val="22"/>
          <w:szCs w:val="18"/>
        </w:rPr>
        <w:t>-2</w:t>
      </w:r>
      <w:r>
        <w:rPr>
          <w:sz w:val="22"/>
          <w:szCs w:val="18"/>
        </w:rPr>
        <w:t>4</w:t>
      </w:r>
      <w:r w:rsidRPr="00DC7187">
        <w:rPr>
          <w:sz w:val="22"/>
          <w:szCs w:val="18"/>
        </w:rPr>
        <w:t xml:space="preserve"> NTPS</w:t>
      </w:r>
      <w:r>
        <w:rPr>
          <w:sz w:val="22"/>
          <w:szCs w:val="18"/>
        </w:rPr>
        <w:t xml:space="preserve"> Principal Questionnaire</w:t>
      </w:r>
      <w:r w:rsidRPr="00DC7187">
        <w:rPr>
          <w:sz w:val="22"/>
          <w:szCs w:val="18"/>
        </w:rPr>
        <w:t xml:space="preserve">, </w:t>
      </w:r>
      <w:r>
        <w:rPr>
          <w:sz w:val="22"/>
          <w:szCs w:val="18"/>
        </w:rPr>
        <w:t>principals</w:t>
      </w:r>
      <w:r w:rsidRPr="00DC7187">
        <w:rPr>
          <w:sz w:val="22"/>
          <w:szCs w:val="18"/>
        </w:rPr>
        <w:t xml:space="preserve"> were asked to provide the following information:</w:t>
      </w:r>
    </w:p>
    <w:p w:rsidR="00C11F48" w:rsidRPr="00DC7187" w:rsidP="00C11F48" w14:paraId="2F0CCCC1" w14:textId="77777777">
      <w:pPr>
        <w:rPr>
          <w:color w:val="000000"/>
          <w:sz w:val="22"/>
          <w:szCs w:val="18"/>
        </w:rPr>
      </w:pPr>
    </w:p>
    <w:p w:rsidR="00C11F48" w:rsidRPr="00DC7187" w:rsidP="00C11F48" w14:paraId="1917E52D" w14:textId="77777777">
      <w:pPr>
        <w:rPr>
          <w:sz w:val="22"/>
          <w:szCs w:val="18"/>
        </w:rPr>
      </w:pPr>
      <w:r w:rsidRPr="00DC7187">
        <w:rPr>
          <w:sz w:val="22"/>
          <w:szCs w:val="18"/>
        </w:rPr>
        <w:t>Name</w:t>
      </w:r>
    </w:p>
    <w:p w:rsidR="00C11F48" w:rsidP="00C11F48" w14:paraId="44BFB9C0" w14:textId="77777777">
      <w:pPr>
        <w:rPr>
          <w:color w:val="000000"/>
          <w:sz w:val="22"/>
          <w:szCs w:val="18"/>
        </w:rPr>
      </w:pPr>
      <w:r>
        <w:rPr>
          <w:color w:val="000000"/>
          <w:sz w:val="22"/>
          <w:szCs w:val="18"/>
        </w:rPr>
        <w:t xml:space="preserve">Home </w:t>
      </w:r>
      <w:r w:rsidRPr="00DC7187">
        <w:rPr>
          <w:color w:val="000000"/>
          <w:sz w:val="22"/>
          <w:szCs w:val="18"/>
        </w:rPr>
        <w:t>address</w:t>
      </w:r>
    </w:p>
    <w:p w:rsidR="00C11F48" w:rsidP="00C11F48" w14:paraId="0A45E2C1" w14:textId="77777777">
      <w:pPr>
        <w:rPr>
          <w:color w:val="000000"/>
          <w:sz w:val="22"/>
          <w:szCs w:val="18"/>
        </w:rPr>
      </w:pPr>
      <w:r>
        <w:rPr>
          <w:color w:val="000000"/>
          <w:sz w:val="22"/>
          <w:szCs w:val="18"/>
        </w:rPr>
        <w:t>Home email address</w:t>
      </w:r>
    </w:p>
    <w:p w:rsidR="00C11F48" w:rsidRPr="00DC7187" w:rsidP="00C11F48" w14:paraId="3618BE16" w14:textId="77777777">
      <w:pPr>
        <w:rPr>
          <w:color w:val="000000"/>
          <w:sz w:val="22"/>
          <w:szCs w:val="18"/>
        </w:rPr>
      </w:pPr>
      <w:r>
        <w:rPr>
          <w:color w:val="000000"/>
          <w:sz w:val="22"/>
          <w:szCs w:val="18"/>
        </w:rPr>
        <w:t>Work email address</w:t>
      </w:r>
    </w:p>
    <w:p w:rsidR="00C11F48" w:rsidP="00C11F48" w14:paraId="4B644BD4" w14:textId="59A2094E">
      <w:pPr>
        <w:rPr>
          <w:color w:val="000000"/>
          <w:sz w:val="22"/>
          <w:szCs w:val="18"/>
        </w:rPr>
      </w:pPr>
      <w:r>
        <w:rPr>
          <w:color w:val="000000"/>
          <w:sz w:val="22"/>
          <w:szCs w:val="18"/>
        </w:rPr>
        <w:t>Work phone number</w:t>
      </w:r>
    </w:p>
    <w:p w:rsidR="00C11F48" w:rsidP="00C11F48" w14:paraId="6E411FC4" w14:textId="5B404357">
      <w:pPr>
        <w:rPr>
          <w:color w:val="000000"/>
          <w:sz w:val="22"/>
          <w:szCs w:val="18"/>
        </w:rPr>
      </w:pPr>
      <w:r w:rsidRPr="00DC7187">
        <w:rPr>
          <w:color w:val="000000"/>
          <w:sz w:val="22"/>
          <w:szCs w:val="18"/>
        </w:rPr>
        <w:t>Cell phone number</w:t>
      </w:r>
    </w:p>
    <w:p w:rsidR="00C11F48" w:rsidRPr="00DC7187" w:rsidP="00C11F48" w14:paraId="536C90DF" w14:textId="77777777">
      <w:pPr>
        <w:rPr>
          <w:color w:val="000000"/>
          <w:sz w:val="22"/>
          <w:szCs w:val="18"/>
        </w:rPr>
      </w:pPr>
      <w:r>
        <w:rPr>
          <w:color w:val="000000"/>
          <w:sz w:val="22"/>
          <w:szCs w:val="18"/>
        </w:rPr>
        <w:t>An option to opt out of receiving text messages</w:t>
      </w:r>
    </w:p>
    <w:p w:rsidR="00C11F48" w:rsidP="00C11F48" w14:paraId="7B438F68" w14:textId="77777777">
      <w:pPr>
        <w:rPr>
          <w:color w:val="000000"/>
          <w:sz w:val="22"/>
          <w:szCs w:val="18"/>
        </w:rPr>
      </w:pPr>
      <w:r w:rsidRPr="00DC7187">
        <w:rPr>
          <w:color w:val="000000"/>
          <w:sz w:val="22"/>
          <w:szCs w:val="18"/>
        </w:rPr>
        <w:t>Home phone number</w:t>
      </w:r>
    </w:p>
    <w:p w:rsidR="00C11F48" w:rsidP="00C11F48" w14:paraId="19D47DEF" w14:textId="77777777">
      <w:pPr>
        <w:rPr>
          <w:color w:val="000000"/>
          <w:sz w:val="22"/>
          <w:szCs w:val="18"/>
        </w:rPr>
      </w:pPr>
    </w:p>
    <w:p w:rsidR="009045D9" w:rsidP="009045D9" w14:paraId="66CFFEDB" w14:textId="2ADDC003">
      <w:pPr>
        <w:rPr>
          <w:sz w:val="22"/>
          <w:szCs w:val="18"/>
        </w:rPr>
      </w:pPr>
      <w:r w:rsidRPr="00DC7187">
        <w:rPr>
          <w:sz w:val="22"/>
          <w:szCs w:val="18"/>
        </w:rPr>
        <w:t xml:space="preserve">PFS data collection </w:t>
      </w:r>
      <w:r>
        <w:rPr>
          <w:sz w:val="22"/>
          <w:szCs w:val="18"/>
        </w:rPr>
        <w:t xml:space="preserve">will </w:t>
      </w:r>
      <w:r w:rsidRPr="00DC7187">
        <w:rPr>
          <w:sz w:val="22"/>
          <w:szCs w:val="18"/>
        </w:rPr>
        <w:t>begin with</w:t>
      </w:r>
      <w:r w:rsidR="00E56098">
        <w:rPr>
          <w:sz w:val="22"/>
          <w:szCs w:val="18"/>
        </w:rPr>
        <w:t xml:space="preserve"> the Principal Data Collection</w:t>
      </w:r>
      <w:r w:rsidR="00483F04">
        <w:rPr>
          <w:sz w:val="22"/>
          <w:szCs w:val="18"/>
        </w:rPr>
        <w:t xml:space="preserve"> operation</w:t>
      </w:r>
      <w:r w:rsidR="00E56098">
        <w:rPr>
          <w:sz w:val="22"/>
          <w:szCs w:val="18"/>
        </w:rPr>
        <w:t>, which will involve</w:t>
      </w:r>
      <w:r w:rsidRPr="00DC7187">
        <w:rPr>
          <w:sz w:val="22"/>
          <w:szCs w:val="18"/>
        </w:rPr>
        <w:t xml:space="preserve"> contact</w:t>
      </w:r>
      <w:r w:rsidR="00E56098">
        <w:rPr>
          <w:sz w:val="22"/>
          <w:szCs w:val="18"/>
        </w:rPr>
        <w:t>ing</w:t>
      </w:r>
      <w:r w:rsidRPr="00DC7187">
        <w:rPr>
          <w:sz w:val="22"/>
          <w:szCs w:val="18"/>
        </w:rPr>
        <w:t xml:space="preserve"> principal</w:t>
      </w:r>
      <w:r>
        <w:rPr>
          <w:sz w:val="22"/>
          <w:szCs w:val="18"/>
        </w:rPr>
        <w:t>s directly using the personal contact information they provided on the NTPS Principal Questionnaire</w:t>
      </w:r>
      <w:r w:rsidR="0087567C">
        <w:rPr>
          <w:sz w:val="22"/>
          <w:szCs w:val="18"/>
        </w:rPr>
        <w:t>; if</w:t>
      </w:r>
      <w:r w:rsidRPr="00DC7187">
        <w:rPr>
          <w:sz w:val="22"/>
          <w:szCs w:val="18"/>
        </w:rPr>
        <w:t xml:space="preserve"> incomplete or no contact information</w:t>
      </w:r>
      <w:r w:rsidR="0087567C">
        <w:rPr>
          <w:sz w:val="22"/>
          <w:szCs w:val="18"/>
        </w:rPr>
        <w:t xml:space="preserve"> was provided</w:t>
      </w:r>
      <w:r>
        <w:rPr>
          <w:sz w:val="22"/>
          <w:szCs w:val="18"/>
        </w:rPr>
        <w:t>,</w:t>
      </w:r>
      <w:r w:rsidRPr="00DC7187">
        <w:rPr>
          <w:sz w:val="22"/>
          <w:szCs w:val="18"/>
        </w:rPr>
        <w:t xml:space="preserve"> Census </w:t>
      </w:r>
      <w:r>
        <w:rPr>
          <w:sz w:val="22"/>
          <w:szCs w:val="18"/>
        </w:rPr>
        <w:t xml:space="preserve">Bureau </w:t>
      </w:r>
      <w:r w:rsidRPr="00DC7187">
        <w:rPr>
          <w:sz w:val="22"/>
          <w:szCs w:val="18"/>
        </w:rPr>
        <w:t xml:space="preserve">staff will conduct research to attempt to </w:t>
      </w:r>
      <w:r>
        <w:rPr>
          <w:sz w:val="22"/>
          <w:szCs w:val="18"/>
        </w:rPr>
        <w:t xml:space="preserve">locate personal contact information. </w:t>
      </w:r>
      <w:r w:rsidR="0087567C">
        <w:rPr>
          <w:sz w:val="22"/>
          <w:szCs w:val="18"/>
        </w:rPr>
        <w:t>For principals</w:t>
      </w:r>
      <w:r w:rsidR="00AA58F6">
        <w:rPr>
          <w:sz w:val="22"/>
          <w:szCs w:val="18"/>
        </w:rPr>
        <w:t xml:space="preserve"> </w:t>
      </w:r>
      <w:r w:rsidR="00E56098">
        <w:rPr>
          <w:sz w:val="22"/>
          <w:szCs w:val="18"/>
        </w:rPr>
        <w:t>who do not respond during the Principal Data Collection</w:t>
      </w:r>
      <w:r w:rsidR="00483F04">
        <w:rPr>
          <w:sz w:val="22"/>
          <w:szCs w:val="18"/>
        </w:rPr>
        <w:t xml:space="preserve"> operation</w:t>
      </w:r>
      <w:r w:rsidR="00E56098">
        <w:rPr>
          <w:sz w:val="22"/>
          <w:szCs w:val="18"/>
        </w:rPr>
        <w:t xml:space="preserve"> </w:t>
      </w:r>
      <w:r w:rsidR="00AA58F6">
        <w:rPr>
          <w:sz w:val="22"/>
          <w:szCs w:val="18"/>
        </w:rPr>
        <w:t>and principals for whom no personal contact information could be found</w:t>
      </w:r>
      <w:r w:rsidR="00893979">
        <w:rPr>
          <w:sz w:val="22"/>
          <w:szCs w:val="18"/>
        </w:rPr>
        <w:t>,</w:t>
      </w:r>
      <w:r w:rsidR="0087567C">
        <w:rPr>
          <w:sz w:val="22"/>
          <w:szCs w:val="18"/>
        </w:rPr>
        <w:t xml:space="preserve"> </w:t>
      </w:r>
      <w:r>
        <w:rPr>
          <w:sz w:val="22"/>
          <w:szCs w:val="18"/>
        </w:rPr>
        <w:t xml:space="preserve">data collection will shift to contact the </w:t>
      </w:r>
      <w:r w:rsidRPr="00DC7187">
        <w:rPr>
          <w:sz w:val="22"/>
          <w:szCs w:val="18"/>
        </w:rPr>
        <w:t>NTPS school</w:t>
      </w:r>
      <w:r w:rsidR="00824B8B">
        <w:rPr>
          <w:sz w:val="22"/>
          <w:szCs w:val="18"/>
        </w:rPr>
        <w:t xml:space="preserve"> as part of the School Data Collection</w:t>
      </w:r>
      <w:r w:rsidR="00483F04">
        <w:rPr>
          <w:sz w:val="22"/>
          <w:szCs w:val="18"/>
        </w:rPr>
        <w:t xml:space="preserve"> operation</w:t>
      </w:r>
      <w:r w:rsidRPr="00DC7187">
        <w:rPr>
          <w:sz w:val="22"/>
          <w:szCs w:val="18"/>
        </w:rPr>
        <w:t>.</w:t>
      </w:r>
      <w:r w:rsidRPr="009045D9">
        <w:rPr>
          <w:sz w:val="22"/>
          <w:szCs w:val="18"/>
        </w:rPr>
        <w:t xml:space="preserve"> </w:t>
      </w:r>
      <w:r w:rsidRPr="00DC7187">
        <w:rPr>
          <w:sz w:val="22"/>
          <w:szCs w:val="18"/>
        </w:rPr>
        <w:t xml:space="preserve">Each letter and email </w:t>
      </w:r>
      <w:r>
        <w:rPr>
          <w:sz w:val="22"/>
          <w:szCs w:val="18"/>
        </w:rPr>
        <w:t xml:space="preserve">sent throughout PFS data collection </w:t>
      </w:r>
      <w:r w:rsidRPr="00DC7187">
        <w:rPr>
          <w:sz w:val="22"/>
          <w:szCs w:val="18"/>
        </w:rPr>
        <w:t xml:space="preserve">will </w:t>
      </w:r>
      <w:r>
        <w:rPr>
          <w:sz w:val="22"/>
          <w:szCs w:val="18"/>
        </w:rPr>
        <w:t xml:space="preserve">be customized and will </w:t>
      </w:r>
      <w:r w:rsidRPr="00DC7187">
        <w:rPr>
          <w:sz w:val="22"/>
          <w:szCs w:val="18"/>
        </w:rPr>
        <w:t xml:space="preserve">provide login </w:t>
      </w:r>
      <w:r w:rsidR="0087567C">
        <w:rPr>
          <w:sz w:val="22"/>
          <w:szCs w:val="18"/>
        </w:rPr>
        <w:t xml:space="preserve">information </w:t>
      </w:r>
      <w:r w:rsidRPr="00DC7187">
        <w:rPr>
          <w:sz w:val="22"/>
          <w:szCs w:val="18"/>
        </w:rPr>
        <w:t xml:space="preserve">to access the web-based instrument. </w:t>
      </w:r>
      <w:r>
        <w:rPr>
          <w:sz w:val="22"/>
          <w:szCs w:val="18"/>
        </w:rPr>
        <w:t xml:space="preserve"> </w:t>
      </w:r>
    </w:p>
    <w:p w:rsidR="00B91F6F" w:rsidP="00B91F6F" w14:paraId="6ECDF917" w14:textId="77777777">
      <w:pPr>
        <w:rPr>
          <w:sz w:val="22"/>
          <w:szCs w:val="18"/>
        </w:rPr>
      </w:pPr>
    </w:p>
    <w:p w:rsidR="00D305D8" w:rsidRPr="0030625C" w:rsidP="00B91F6F" w14:paraId="0F81A053" w14:textId="747E9453">
      <w:pPr>
        <w:rPr>
          <w:sz w:val="22"/>
          <w:szCs w:val="18"/>
        </w:rPr>
      </w:pPr>
      <w:r w:rsidRPr="0030625C">
        <w:rPr>
          <w:sz w:val="22"/>
          <w:szCs w:val="18"/>
        </w:rPr>
        <w:t>The</w:t>
      </w:r>
      <w:r w:rsidRPr="0030625C" w:rsidR="00B91F6F">
        <w:rPr>
          <w:sz w:val="22"/>
          <w:szCs w:val="18"/>
        </w:rPr>
        <w:t xml:space="preserve"> Principal Data Collection</w:t>
      </w:r>
      <w:r w:rsidRPr="0030625C" w:rsidR="00483F04">
        <w:rPr>
          <w:sz w:val="22"/>
          <w:szCs w:val="18"/>
        </w:rPr>
        <w:t xml:space="preserve"> operation</w:t>
      </w:r>
      <w:r w:rsidRPr="0030625C" w:rsidR="00B91F6F">
        <w:rPr>
          <w:sz w:val="22"/>
          <w:szCs w:val="18"/>
        </w:rPr>
        <w:t xml:space="preserve"> will begin in January 2025</w:t>
      </w:r>
      <w:r w:rsidRPr="0030625C">
        <w:rPr>
          <w:sz w:val="22"/>
          <w:szCs w:val="18"/>
        </w:rPr>
        <w:t xml:space="preserve"> with either an email or a text message. Principals who provided a cellphone number on their completed NTPS Principal Questionnaire and who did not mark the checkbox</w:t>
      </w:r>
      <w:r>
        <w:rPr>
          <w:rStyle w:val="FootnoteReference"/>
          <w:sz w:val="22"/>
          <w:szCs w:val="18"/>
        </w:rPr>
        <w:footnoteReference w:id="5"/>
      </w:r>
      <w:r w:rsidRPr="0030625C">
        <w:rPr>
          <w:sz w:val="22"/>
          <w:szCs w:val="18"/>
        </w:rPr>
        <w:t xml:space="preserve"> to opt out of contact by text message will be included in the "text message" group; remaining principals with any personal contact information will be included in the "no text message group".</w:t>
      </w:r>
    </w:p>
    <w:p w:rsidR="00D305D8" w:rsidP="00B91F6F" w14:paraId="337F17F9" w14:textId="77777777">
      <w:pPr>
        <w:rPr>
          <w:sz w:val="22"/>
          <w:szCs w:val="18"/>
          <w:highlight w:val="yellow"/>
        </w:rPr>
      </w:pPr>
    </w:p>
    <w:p w:rsidR="0030625C" w:rsidRPr="0030625C" w:rsidP="0030625C" w14:paraId="2F69C9A1" w14:textId="0810E18D">
      <w:pPr>
        <w:rPr>
          <w:sz w:val="22"/>
          <w:szCs w:val="18"/>
        </w:rPr>
      </w:pPr>
      <w:r>
        <w:rPr>
          <w:sz w:val="22"/>
          <w:szCs w:val="18"/>
        </w:rPr>
        <w:t xml:space="preserve">Within the </w:t>
      </w:r>
      <w:r>
        <w:rPr>
          <w:sz w:val="22"/>
          <w:szCs w:val="18"/>
        </w:rPr>
        <w:t>"</w:t>
      </w:r>
      <w:r>
        <w:rPr>
          <w:sz w:val="22"/>
          <w:szCs w:val="18"/>
        </w:rPr>
        <w:t>text message</w:t>
      </w:r>
      <w:r>
        <w:rPr>
          <w:sz w:val="22"/>
          <w:szCs w:val="18"/>
        </w:rPr>
        <w:t>"</w:t>
      </w:r>
      <w:r>
        <w:rPr>
          <w:sz w:val="22"/>
          <w:szCs w:val="18"/>
        </w:rPr>
        <w:t xml:space="preserve"> group, there will be a further split into two experimental treatments to compare two different methods of completing the PFS when texting principals.</w:t>
      </w:r>
      <w:r w:rsidRPr="00DC7187">
        <w:rPr>
          <w:sz w:val="22"/>
          <w:szCs w:val="18"/>
        </w:rPr>
        <w:t xml:space="preserve"> </w:t>
      </w:r>
      <w:r>
        <w:rPr>
          <w:sz w:val="22"/>
          <w:szCs w:val="18"/>
        </w:rPr>
        <w:t>T</w:t>
      </w:r>
      <w:r w:rsidRPr="00DC7187">
        <w:rPr>
          <w:sz w:val="22"/>
          <w:szCs w:val="18"/>
        </w:rPr>
        <w:t xml:space="preserve">ext message contacts for </w:t>
      </w:r>
      <w:r>
        <w:rPr>
          <w:sz w:val="22"/>
          <w:szCs w:val="18"/>
        </w:rPr>
        <w:t>PFS</w:t>
      </w:r>
      <w:r w:rsidRPr="00DC7187">
        <w:rPr>
          <w:sz w:val="22"/>
          <w:szCs w:val="18"/>
        </w:rPr>
        <w:t xml:space="preserve"> will be </w:t>
      </w:r>
      <w:r>
        <w:rPr>
          <w:sz w:val="22"/>
          <w:szCs w:val="18"/>
        </w:rPr>
        <w:t xml:space="preserve">either </w:t>
      </w:r>
      <w:r w:rsidRPr="00DC7187">
        <w:rPr>
          <w:sz w:val="22"/>
          <w:szCs w:val="18"/>
        </w:rPr>
        <w:t>an interactive exchange with the principal</w:t>
      </w:r>
      <w:r>
        <w:rPr>
          <w:sz w:val="22"/>
          <w:szCs w:val="18"/>
        </w:rPr>
        <w:t xml:space="preserve"> or a texted web link. </w:t>
      </w:r>
      <w:r w:rsidRPr="0030625C">
        <w:rPr>
          <w:sz w:val="22"/>
          <w:szCs w:val="18"/>
        </w:rPr>
        <w:t>This experiment will help determine whether either of the text methods increase PFS response and whether one method performs better than the other. For additional details about testing the use of text messaging in the 2024-25 PFS, refer to section B.4.1 of this document.</w:t>
      </w:r>
    </w:p>
    <w:p w:rsidR="0030625C" w:rsidRPr="0030625C" w:rsidP="00D305D8" w14:paraId="7D821542" w14:textId="77777777">
      <w:pPr>
        <w:rPr>
          <w:sz w:val="22"/>
          <w:szCs w:val="18"/>
        </w:rPr>
      </w:pPr>
    </w:p>
    <w:p w:rsidR="00D305D8" w:rsidRPr="0030625C" w:rsidP="00D305D8" w14:paraId="28D0F856" w14:textId="159490A9">
      <w:pPr>
        <w:rPr>
          <w:sz w:val="22"/>
          <w:szCs w:val="18"/>
        </w:rPr>
      </w:pPr>
      <w:r w:rsidRPr="0030625C">
        <w:rPr>
          <w:sz w:val="22"/>
          <w:szCs w:val="18"/>
        </w:rPr>
        <w:t xml:space="preserve">There will be two </w:t>
      </w:r>
      <w:r w:rsidRPr="0030625C" w:rsidR="0030625C">
        <w:rPr>
          <w:sz w:val="22"/>
          <w:szCs w:val="18"/>
        </w:rPr>
        <w:t xml:space="preserve">text message </w:t>
      </w:r>
      <w:r w:rsidRPr="0030625C">
        <w:rPr>
          <w:sz w:val="22"/>
          <w:szCs w:val="18"/>
        </w:rPr>
        <w:t xml:space="preserve">treatment groups: </w:t>
      </w:r>
    </w:p>
    <w:p w:rsidR="00D305D8" w:rsidRPr="0030625C" w:rsidP="00D305D8" w14:paraId="73D3CB0A" w14:textId="77777777">
      <w:pPr>
        <w:rPr>
          <w:sz w:val="22"/>
          <w:szCs w:val="18"/>
        </w:rPr>
      </w:pPr>
    </w:p>
    <w:p w:rsidR="00D305D8" w:rsidRPr="0030625C" w:rsidP="00D305D8" w14:paraId="1F2129A2" w14:textId="5CA36DFC">
      <w:pPr>
        <w:pStyle w:val="ListParagraph"/>
        <w:numPr>
          <w:ilvl w:val="0"/>
          <w:numId w:val="40"/>
        </w:numPr>
        <w:rPr>
          <w:rFonts w:ascii="Times New Roman" w:hAnsi="Times New Roman"/>
        </w:rPr>
      </w:pPr>
      <w:r w:rsidRPr="0030625C">
        <w:rPr>
          <w:rFonts w:ascii="Times New Roman" w:hAnsi="Times New Roman"/>
        </w:rPr>
        <w:t>A “text survey group” where interactive questions are sent via text message prior to contact by email</w:t>
      </w:r>
      <w:r w:rsidRPr="0030625C" w:rsidR="0030625C">
        <w:rPr>
          <w:rFonts w:ascii="Times New Roman" w:hAnsi="Times New Roman"/>
        </w:rPr>
        <w:t xml:space="preserve"> or mail. </w:t>
      </w:r>
    </w:p>
    <w:p w:rsidR="00D305D8" w:rsidRPr="0030625C" w:rsidP="00D305D8" w14:paraId="5646EE03" w14:textId="69334DED">
      <w:pPr>
        <w:pStyle w:val="ListParagraph"/>
        <w:numPr>
          <w:ilvl w:val="0"/>
          <w:numId w:val="40"/>
        </w:numPr>
        <w:rPr>
          <w:rFonts w:ascii="Times New Roman" w:hAnsi="Times New Roman"/>
        </w:rPr>
      </w:pPr>
      <w:r w:rsidRPr="0030625C">
        <w:rPr>
          <w:rFonts w:ascii="Times New Roman" w:hAnsi="Times New Roman"/>
        </w:rPr>
        <w:t xml:space="preserve">A “text-to-web group” where text messages containing a direct link to complete the PFS online via a Qualtrics instrument are sent </w:t>
      </w:r>
      <w:r w:rsidRPr="0030625C" w:rsidR="0030625C">
        <w:rPr>
          <w:rFonts w:ascii="Times New Roman" w:hAnsi="Times New Roman"/>
        </w:rPr>
        <w:t>prior to contact by email or mail.</w:t>
      </w:r>
    </w:p>
    <w:p w:rsidR="00D305D8" w:rsidRPr="009C79C2" w:rsidP="00D305D8" w14:paraId="7A25D1D6" w14:textId="77777777">
      <w:pPr>
        <w:pStyle w:val="ListParagraph"/>
        <w:rPr>
          <w:szCs w:val="18"/>
        </w:rPr>
      </w:pPr>
    </w:p>
    <w:p w:rsidR="00D305D8" w:rsidP="00D305D8" w14:paraId="17EFFC66" w14:textId="40A0BA68">
      <w:pPr>
        <w:rPr>
          <w:sz w:val="22"/>
          <w:szCs w:val="18"/>
        </w:rPr>
      </w:pPr>
      <w:r>
        <w:rPr>
          <w:sz w:val="22"/>
          <w:szCs w:val="18"/>
        </w:rPr>
        <w:t xml:space="preserve">Both text groups will receive up to two text messages – an initial text and a reminder text (if they did not complete their PFS following the initial text). </w:t>
      </w:r>
      <w:r>
        <w:rPr>
          <w:sz w:val="22"/>
          <w:szCs w:val="18"/>
        </w:rPr>
        <w:t xml:space="preserve">After the text messaging groups receive their first and second text messages in early and mid-January, respectively, nonresponding principals will then receive an initial email invitation with a link to the PFS and login credentials in late January. An initial contact letter with login credentials will be sent to nonresponding principals at their home address in early February, followed by another reminder email in mid-February. A second contact letter with login credentials and a paper copy of the PFS questionnaire </w:t>
      </w:r>
      <w:r w:rsidRPr="00DC7187">
        <w:rPr>
          <w:sz w:val="22"/>
          <w:szCs w:val="18"/>
        </w:rPr>
        <w:t>(PFS-1(C/D</w:t>
      </w:r>
      <w:r>
        <w:rPr>
          <w:sz w:val="22"/>
          <w:szCs w:val="18"/>
        </w:rPr>
        <w:t>)</w:t>
      </w:r>
      <w:r w:rsidRPr="00DC7187">
        <w:rPr>
          <w:sz w:val="22"/>
          <w:szCs w:val="18"/>
        </w:rPr>
        <w:t xml:space="preserve">) </w:t>
      </w:r>
      <w:r>
        <w:rPr>
          <w:sz w:val="22"/>
          <w:szCs w:val="18"/>
        </w:rPr>
        <w:t xml:space="preserve">will be mailed to nonresponding principals at their home address in late February. </w:t>
      </w:r>
    </w:p>
    <w:p w:rsidR="0030625C" w:rsidP="00D305D8" w14:paraId="3D02A08A" w14:textId="77777777">
      <w:pPr>
        <w:rPr>
          <w:sz w:val="22"/>
          <w:szCs w:val="18"/>
        </w:rPr>
      </w:pPr>
    </w:p>
    <w:p w:rsidR="00B91F6F" w:rsidRPr="0030625C" w:rsidP="00B91F6F" w14:paraId="6ED9C9A9" w14:textId="1E595897">
      <w:pPr>
        <w:rPr>
          <w:sz w:val="22"/>
          <w:szCs w:val="18"/>
        </w:rPr>
      </w:pPr>
      <w:r>
        <w:rPr>
          <w:sz w:val="22"/>
          <w:szCs w:val="18"/>
        </w:rPr>
        <w:t xml:space="preserve">The principals in the "no text message" group will be contacted on </w:t>
      </w:r>
      <w:r w:rsidR="007C7E1F">
        <w:rPr>
          <w:sz w:val="22"/>
          <w:szCs w:val="18"/>
        </w:rPr>
        <w:t>a similar</w:t>
      </w:r>
      <w:r>
        <w:rPr>
          <w:sz w:val="22"/>
          <w:szCs w:val="18"/>
        </w:rPr>
        <w:t xml:space="preserve"> schedule as those principals in the "text message" group, but with different types of contacts. </w:t>
      </w:r>
      <w:r w:rsidRPr="0030625C">
        <w:rPr>
          <w:sz w:val="22"/>
          <w:szCs w:val="18"/>
        </w:rPr>
        <w:t xml:space="preserve">If a </w:t>
      </w:r>
      <w:r w:rsidRPr="0030625C" w:rsidR="009E0859">
        <w:rPr>
          <w:sz w:val="22"/>
          <w:szCs w:val="18"/>
        </w:rPr>
        <w:t xml:space="preserve">home </w:t>
      </w:r>
      <w:r w:rsidRPr="0030625C">
        <w:rPr>
          <w:sz w:val="22"/>
          <w:szCs w:val="18"/>
        </w:rPr>
        <w:t xml:space="preserve">email address was provided on the NTPS questionnaire or was obtained from research, an initial email invitation with a link to the PFS </w:t>
      </w:r>
      <w:r w:rsidRPr="0030625C" w:rsidR="00A12339">
        <w:rPr>
          <w:sz w:val="22"/>
          <w:szCs w:val="18"/>
        </w:rPr>
        <w:t xml:space="preserve">and login credentials </w:t>
      </w:r>
      <w:r w:rsidRPr="0030625C">
        <w:rPr>
          <w:sz w:val="22"/>
          <w:szCs w:val="18"/>
        </w:rPr>
        <w:t xml:space="preserve">will be sent to that email address to collect </w:t>
      </w:r>
      <w:r w:rsidRPr="0030625C">
        <w:rPr>
          <w:sz w:val="22"/>
          <w:szCs w:val="18"/>
        </w:rPr>
        <w:t xml:space="preserve">their </w:t>
      </w:r>
      <w:r w:rsidRPr="0030625C">
        <w:rPr>
          <w:sz w:val="22"/>
          <w:szCs w:val="18"/>
        </w:rPr>
        <w:t>current occupational status</w:t>
      </w:r>
      <w:r w:rsidRPr="0030625C">
        <w:rPr>
          <w:sz w:val="22"/>
          <w:szCs w:val="18"/>
        </w:rPr>
        <w:t>.</w:t>
      </w:r>
      <w:r w:rsidRPr="0030625C">
        <w:rPr>
          <w:sz w:val="22"/>
          <w:szCs w:val="18"/>
        </w:rPr>
        <w:t xml:space="preserve"> If a </w:t>
      </w:r>
      <w:r w:rsidRPr="0030625C" w:rsidR="009E0859">
        <w:rPr>
          <w:sz w:val="22"/>
          <w:szCs w:val="18"/>
        </w:rPr>
        <w:t xml:space="preserve">home </w:t>
      </w:r>
      <w:r w:rsidRPr="0030625C">
        <w:rPr>
          <w:sz w:val="22"/>
          <w:szCs w:val="18"/>
        </w:rPr>
        <w:t>email address is not available, the initial email invitation will be sent to the</w:t>
      </w:r>
      <w:r w:rsidR="007C7E1F">
        <w:rPr>
          <w:sz w:val="22"/>
          <w:szCs w:val="18"/>
        </w:rPr>
        <w:t xml:space="preserve"> principal at their </w:t>
      </w:r>
      <w:r w:rsidRPr="0030625C">
        <w:rPr>
          <w:sz w:val="22"/>
          <w:szCs w:val="18"/>
        </w:rPr>
        <w:t>2023-24 NTPS school email</w:t>
      </w:r>
      <w:r w:rsidRPr="0030625C" w:rsidR="00A12339">
        <w:rPr>
          <w:sz w:val="22"/>
          <w:szCs w:val="18"/>
        </w:rPr>
        <w:t xml:space="preserve"> address</w:t>
      </w:r>
      <w:r w:rsidRPr="0030625C">
        <w:rPr>
          <w:sz w:val="22"/>
          <w:szCs w:val="18"/>
        </w:rPr>
        <w:t xml:space="preserve">. </w:t>
      </w:r>
      <w:r>
        <w:rPr>
          <w:sz w:val="22"/>
          <w:szCs w:val="18"/>
        </w:rPr>
        <w:t xml:space="preserve">This email will be sent in early January, concurrent with the </w:t>
      </w:r>
      <w:r w:rsidR="007C7E1F">
        <w:rPr>
          <w:sz w:val="22"/>
          <w:szCs w:val="18"/>
        </w:rPr>
        <w:t>initial text message (for the "text message" group</w:t>
      </w:r>
      <w:r w:rsidR="00BC008A">
        <w:rPr>
          <w:sz w:val="22"/>
          <w:szCs w:val="18"/>
        </w:rPr>
        <w:t>s</w:t>
      </w:r>
      <w:r w:rsidR="007C7E1F">
        <w:rPr>
          <w:sz w:val="22"/>
          <w:szCs w:val="18"/>
        </w:rPr>
        <w:t>)</w:t>
      </w:r>
      <w:r w:rsidR="007168EB">
        <w:rPr>
          <w:sz w:val="22"/>
          <w:szCs w:val="18"/>
        </w:rPr>
        <w:t>.</w:t>
      </w:r>
    </w:p>
    <w:p w:rsidR="00B91F6F" w:rsidRPr="0098633C" w:rsidP="00B91F6F" w14:paraId="341A3E39" w14:textId="77777777">
      <w:pPr>
        <w:rPr>
          <w:sz w:val="22"/>
          <w:szCs w:val="18"/>
          <w:highlight w:val="yellow"/>
        </w:rPr>
      </w:pPr>
    </w:p>
    <w:p w:rsidR="00B91F6F" w:rsidRPr="007C7E1F" w:rsidP="00B91F6F" w14:paraId="6DD1E4D9" w14:textId="2B140C28">
      <w:pPr>
        <w:rPr>
          <w:sz w:val="22"/>
          <w:szCs w:val="18"/>
        </w:rPr>
      </w:pPr>
      <w:r w:rsidRPr="007C7E1F">
        <w:rPr>
          <w:sz w:val="22"/>
          <w:szCs w:val="18"/>
        </w:rPr>
        <w:t xml:space="preserve">In mid-January, Census will send nonresponding principals with a </w:t>
      </w:r>
      <w:r w:rsidRPr="007C7E1F" w:rsidR="009E0859">
        <w:rPr>
          <w:sz w:val="22"/>
          <w:szCs w:val="18"/>
        </w:rPr>
        <w:t xml:space="preserve">home </w:t>
      </w:r>
      <w:r w:rsidRPr="007C7E1F">
        <w:rPr>
          <w:sz w:val="22"/>
          <w:szCs w:val="18"/>
        </w:rPr>
        <w:t xml:space="preserve">email address a reminder by email to complete the PFS. If a </w:t>
      </w:r>
      <w:r w:rsidRPr="007C7E1F" w:rsidR="009E0859">
        <w:rPr>
          <w:sz w:val="22"/>
          <w:szCs w:val="18"/>
        </w:rPr>
        <w:t xml:space="preserve">home </w:t>
      </w:r>
      <w:r w:rsidRPr="007C7E1F">
        <w:rPr>
          <w:sz w:val="22"/>
          <w:szCs w:val="18"/>
        </w:rPr>
        <w:t xml:space="preserve">email address is not available, an initial contact letter </w:t>
      </w:r>
      <w:r w:rsidRPr="007C7E1F" w:rsidR="000A0C93">
        <w:rPr>
          <w:sz w:val="22"/>
          <w:szCs w:val="18"/>
        </w:rPr>
        <w:t xml:space="preserve">with login credentials and a request to complete the PFS </w:t>
      </w:r>
      <w:r w:rsidRPr="007C7E1F">
        <w:rPr>
          <w:sz w:val="22"/>
          <w:szCs w:val="18"/>
        </w:rPr>
        <w:t xml:space="preserve">will be sent to the 2023-24 principal at their home address. In late January, nonresponding principals with a </w:t>
      </w:r>
      <w:r w:rsidRPr="007C7E1F" w:rsidR="009E0859">
        <w:rPr>
          <w:sz w:val="22"/>
          <w:szCs w:val="18"/>
        </w:rPr>
        <w:t xml:space="preserve">home </w:t>
      </w:r>
      <w:r w:rsidRPr="007C7E1F">
        <w:rPr>
          <w:sz w:val="22"/>
          <w:szCs w:val="18"/>
        </w:rPr>
        <w:t xml:space="preserve">email address will be sent a second reminder by email, while those without a </w:t>
      </w:r>
      <w:r w:rsidRPr="007C7E1F" w:rsidR="009E0859">
        <w:rPr>
          <w:sz w:val="22"/>
          <w:szCs w:val="18"/>
        </w:rPr>
        <w:t xml:space="preserve">home </w:t>
      </w:r>
      <w:r w:rsidRPr="007C7E1F">
        <w:rPr>
          <w:sz w:val="22"/>
          <w:szCs w:val="18"/>
        </w:rPr>
        <w:t xml:space="preserve">email address will be sent a first reminder by email to their NTPS school email address.  </w:t>
      </w:r>
      <w:r w:rsidR="002E23F6">
        <w:rPr>
          <w:sz w:val="22"/>
          <w:szCs w:val="18"/>
        </w:rPr>
        <w:t xml:space="preserve">These contacts are concurrent with the second text message and initial email invitation for principals in the "text message" group. </w:t>
      </w:r>
    </w:p>
    <w:p w:rsidR="00B91F6F" w:rsidRPr="007C7E1F" w:rsidP="00B91F6F" w14:paraId="2845585D" w14:textId="77777777">
      <w:pPr>
        <w:rPr>
          <w:sz w:val="22"/>
          <w:szCs w:val="18"/>
        </w:rPr>
      </w:pPr>
    </w:p>
    <w:p w:rsidR="00B91F6F" w:rsidP="00B91F6F" w14:paraId="075BA142" w14:textId="26E4102A">
      <w:pPr>
        <w:rPr>
          <w:sz w:val="22"/>
          <w:szCs w:val="18"/>
        </w:rPr>
      </w:pPr>
      <w:r w:rsidRPr="007168EB">
        <w:rPr>
          <w:sz w:val="22"/>
          <w:szCs w:val="18"/>
        </w:rPr>
        <w:t>In early February, a</w:t>
      </w:r>
      <w:r w:rsidRPr="007168EB">
        <w:rPr>
          <w:sz w:val="22"/>
          <w:szCs w:val="18"/>
        </w:rPr>
        <w:t xml:space="preserve"> first (if a </w:t>
      </w:r>
      <w:r w:rsidRPr="007168EB" w:rsidR="009E0859">
        <w:rPr>
          <w:sz w:val="22"/>
          <w:szCs w:val="18"/>
        </w:rPr>
        <w:t xml:space="preserve">home </w:t>
      </w:r>
      <w:r w:rsidRPr="007168EB">
        <w:rPr>
          <w:sz w:val="22"/>
          <w:szCs w:val="18"/>
        </w:rPr>
        <w:t xml:space="preserve">email address is available) or second (if a </w:t>
      </w:r>
      <w:r w:rsidRPr="007168EB" w:rsidR="009E0859">
        <w:rPr>
          <w:sz w:val="22"/>
          <w:szCs w:val="18"/>
        </w:rPr>
        <w:t xml:space="preserve">home </w:t>
      </w:r>
      <w:r w:rsidRPr="007168EB">
        <w:rPr>
          <w:sz w:val="22"/>
          <w:szCs w:val="18"/>
        </w:rPr>
        <w:t>email address is not available) mailout</w:t>
      </w:r>
      <w:r w:rsidRPr="007168EB">
        <w:rPr>
          <w:sz w:val="22"/>
          <w:szCs w:val="18"/>
        </w:rPr>
        <w:t xml:space="preserve"> </w:t>
      </w:r>
      <w:r w:rsidRPr="007168EB" w:rsidR="002E23F6">
        <w:rPr>
          <w:sz w:val="22"/>
          <w:szCs w:val="18"/>
        </w:rPr>
        <w:t>will be sent to nonresponding principals in the "no text message" group; the package will contain a</w:t>
      </w:r>
      <w:r w:rsidRPr="007168EB">
        <w:rPr>
          <w:sz w:val="22"/>
          <w:szCs w:val="18"/>
        </w:rPr>
        <w:t xml:space="preserve"> letter</w:t>
      </w:r>
      <w:r w:rsidRPr="007168EB" w:rsidR="002E23F6">
        <w:rPr>
          <w:sz w:val="22"/>
          <w:szCs w:val="18"/>
        </w:rPr>
        <w:t xml:space="preserve"> with login credentials and </w:t>
      </w:r>
      <w:r w:rsidRPr="007168EB">
        <w:rPr>
          <w:sz w:val="22"/>
          <w:szCs w:val="18"/>
        </w:rPr>
        <w:t>a paper copy of the PFS questionnaire (PFS-1(C/D)</w:t>
      </w:r>
      <w:r>
        <w:rPr>
          <w:rStyle w:val="FootnoteReference"/>
          <w:sz w:val="20"/>
        </w:rPr>
        <w:footnoteReference w:id="6"/>
      </w:r>
      <w:r w:rsidRPr="007168EB">
        <w:rPr>
          <w:sz w:val="22"/>
          <w:szCs w:val="18"/>
        </w:rPr>
        <w:t>)</w:t>
      </w:r>
      <w:r w:rsidRPr="007168EB" w:rsidR="002E23F6">
        <w:rPr>
          <w:sz w:val="22"/>
          <w:szCs w:val="18"/>
        </w:rPr>
        <w:t xml:space="preserve"> and will be sent to their </w:t>
      </w:r>
      <w:r w:rsidRPr="007168EB">
        <w:rPr>
          <w:sz w:val="22"/>
          <w:szCs w:val="18"/>
        </w:rPr>
        <w:t>home address</w:t>
      </w:r>
      <w:r w:rsidRPr="007168EB" w:rsidR="002E23F6">
        <w:rPr>
          <w:sz w:val="22"/>
          <w:szCs w:val="18"/>
        </w:rPr>
        <w:t xml:space="preserve">. This mailout is concurrent with the initial mail contact for principals in the "text message" group. </w:t>
      </w:r>
      <w:r>
        <w:rPr>
          <w:sz w:val="22"/>
          <w:szCs w:val="18"/>
        </w:rPr>
        <w:t xml:space="preserve">  </w:t>
      </w:r>
    </w:p>
    <w:p w:rsidR="00B91F6F" w:rsidP="00B91F6F" w14:paraId="614620AA" w14:textId="77777777">
      <w:pPr>
        <w:rPr>
          <w:sz w:val="22"/>
          <w:szCs w:val="18"/>
        </w:rPr>
      </w:pPr>
    </w:p>
    <w:p w:rsidR="009C79C2" w:rsidP="009C79C2" w14:paraId="473998D8" w14:textId="379D2141">
      <w:pPr>
        <w:rPr>
          <w:sz w:val="22"/>
          <w:szCs w:val="18"/>
        </w:rPr>
      </w:pPr>
      <w:r w:rsidRPr="00241F29">
        <w:rPr>
          <w:sz w:val="22"/>
          <w:szCs w:val="18"/>
        </w:rPr>
        <w:t>Princ</w:t>
      </w:r>
      <w:r>
        <w:rPr>
          <w:sz w:val="22"/>
          <w:szCs w:val="18"/>
        </w:rPr>
        <w:t>ipals who were nonresponsive during the Principal Data Collection operation</w:t>
      </w:r>
      <w:r w:rsidR="002E23F6">
        <w:rPr>
          <w:sz w:val="22"/>
          <w:szCs w:val="18"/>
        </w:rPr>
        <w:t>s described above</w:t>
      </w:r>
      <w:r>
        <w:rPr>
          <w:sz w:val="22"/>
          <w:szCs w:val="18"/>
        </w:rPr>
        <w:t xml:space="preserve"> will </w:t>
      </w:r>
      <w:r w:rsidR="00001737">
        <w:rPr>
          <w:sz w:val="22"/>
          <w:szCs w:val="18"/>
        </w:rPr>
        <w:t>shift</w:t>
      </w:r>
      <w:r>
        <w:rPr>
          <w:sz w:val="22"/>
          <w:szCs w:val="18"/>
        </w:rPr>
        <w:t xml:space="preserve"> to the School Data Collection operation</w:t>
      </w:r>
      <w:r w:rsidR="00DB2DCF">
        <w:rPr>
          <w:sz w:val="22"/>
          <w:szCs w:val="18"/>
        </w:rPr>
        <w:t xml:space="preserve"> in mid-March</w:t>
      </w:r>
      <w:r w:rsidR="001F5458">
        <w:rPr>
          <w:sz w:val="22"/>
          <w:szCs w:val="18"/>
        </w:rPr>
        <w:t xml:space="preserve">. </w:t>
      </w:r>
      <w:r w:rsidR="00DB2DCF">
        <w:rPr>
          <w:sz w:val="22"/>
          <w:szCs w:val="18"/>
        </w:rPr>
        <w:t xml:space="preserve">During this operation, the NTPS school will be contacted and asked to provide the current occupational status of the 2023-24 principal. </w:t>
      </w:r>
      <w:r>
        <w:rPr>
          <w:sz w:val="22"/>
          <w:szCs w:val="18"/>
        </w:rPr>
        <w:t xml:space="preserve">The School Data Collection operation will </w:t>
      </w:r>
      <w:r w:rsidR="001A3582">
        <w:rPr>
          <w:sz w:val="22"/>
          <w:szCs w:val="18"/>
        </w:rPr>
        <w:t xml:space="preserve">have “early” and “late” </w:t>
      </w:r>
      <w:r w:rsidR="00A9595B">
        <w:rPr>
          <w:sz w:val="22"/>
          <w:szCs w:val="18"/>
        </w:rPr>
        <w:t xml:space="preserve">collection </w:t>
      </w:r>
      <w:r w:rsidR="001A3582">
        <w:rPr>
          <w:sz w:val="22"/>
          <w:szCs w:val="18"/>
        </w:rPr>
        <w:t>dates for</w:t>
      </w:r>
      <w:r w:rsidR="00A9595B">
        <w:rPr>
          <w:sz w:val="22"/>
          <w:szCs w:val="18"/>
        </w:rPr>
        <w:t xml:space="preserve"> all contact materials. </w:t>
      </w:r>
      <w:r w:rsidR="00DB2DCF">
        <w:rPr>
          <w:sz w:val="22"/>
          <w:szCs w:val="18"/>
        </w:rPr>
        <w:t xml:space="preserve">Principals for whom no personal contact information was initially available will be contacted at the NTPS school on the early dates, while nonrespondents from the Principal Data Collection operation will be contacted </w:t>
      </w:r>
      <w:r w:rsidR="00471A7E">
        <w:rPr>
          <w:sz w:val="22"/>
          <w:szCs w:val="18"/>
        </w:rPr>
        <w:t xml:space="preserve">at the NTPS school </w:t>
      </w:r>
      <w:r w:rsidR="00DB2DCF">
        <w:rPr>
          <w:sz w:val="22"/>
          <w:szCs w:val="18"/>
        </w:rPr>
        <w:t>on the late dates.</w:t>
      </w:r>
      <w:r w:rsidR="001F5458">
        <w:rPr>
          <w:sz w:val="22"/>
          <w:szCs w:val="18"/>
        </w:rPr>
        <w:t xml:space="preserve"> </w:t>
      </w:r>
    </w:p>
    <w:p w:rsidR="00001737" w:rsidP="000A0C93" w14:paraId="0890A84C" w14:textId="77777777">
      <w:pPr>
        <w:rPr>
          <w:sz w:val="22"/>
          <w:szCs w:val="18"/>
        </w:rPr>
      </w:pPr>
    </w:p>
    <w:p w:rsidR="00B91F6F" w:rsidP="00B91F6F" w14:paraId="2A6A62CF" w14:textId="2ED24151">
      <w:pPr>
        <w:rPr>
          <w:sz w:val="22"/>
          <w:szCs w:val="18"/>
        </w:rPr>
      </w:pPr>
      <w:r>
        <w:rPr>
          <w:sz w:val="22"/>
          <w:szCs w:val="18"/>
        </w:rPr>
        <w:t>During School Data Collection, C</w:t>
      </w:r>
      <w:r w:rsidRPr="00DC7187">
        <w:rPr>
          <w:sz w:val="22"/>
          <w:szCs w:val="18"/>
        </w:rPr>
        <w:t xml:space="preserve">ensus Bureau staff will mail </w:t>
      </w:r>
      <w:r>
        <w:rPr>
          <w:sz w:val="22"/>
          <w:szCs w:val="18"/>
        </w:rPr>
        <w:t>an initial contact letter with a request to complete the PFS and login credentials</w:t>
      </w:r>
      <w:r w:rsidRPr="00DC7187">
        <w:rPr>
          <w:sz w:val="22"/>
          <w:szCs w:val="18"/>
        </w:rPr>
        <w:t xml:space="preserve"> </w:t>
      </w:r>
      <w:r>
        <w:rPr>
          <w:sz w:val="22"/>
          <w:szCs w:val="18"/>
        </w:rPr>
        <w:t xml:space="preserve">to the 2023-24 NTPS school in early January. This web-based instrument will be slightly different than the instrument used for the Principal Data Collection operation as it will be tailored toward the school staff rather than the previous years’ principal. </w:t>
      </w:r>
      <w:r w:rsidR="001F5458">
        <w:rPr>
          <w:sz w:val="22"/>
          <w:szCs w:val="18"/>
        </w:rPr>
        <w:t>An</w:t>
      </w:r>
      <w:r>
        <w:rPr>
          <w:sz w:val="22"/>
          <w:szCs w:val="18"/>
        </w:rPr>
        <w:t xml:space="preserve"> initial email invitation </w:t>
      </w:r>
      <w:r w:rsidR="00602601">
        <w:rPr>
          <w:sz w:val="22"/>
          <w:szCs w:val="18"/>
        </w:rPr>
        <w:t xml:space="preserve">with a link to the survey and login credentials </w:t>
      </w:r>
      <w:r>
        <w:rPr>
          <w:sz w:val="22"/>
          <w:szCs w:val="18"/>
        </w:rPr>
        <w:t xml:space="preserve">will also be sent to the school in mid-January </w:t>
      </w:r>
      <w:r w:rsidRPr="00DC7187">
        <w:rPr>
          <w:sz w:val="22"/>
          <w:szCs w:val="18"/>
        </w:rPr>
        <w:t>to collect the current occupational status of the 202</w:t>
      </w:r>
      <w:r>
        <w:rPr>
          <w:sz w:val="22"/>
          <w:szCs w:val="18"/>
        </w:rPr>
        <w:t>3</w:t>
      </w:r>
      <w:r w:rsidRPr="00DC7187">
        <w:rPr>
          <w:sz w:val="22"/>
          <w:szCs w:val="18"/>
        </w:rPr>
        <w:t>-2</w:t>
      </w:r>
      <w:r>
        <w:rPr>
          <w:sz w:val="22"/>
          <w:szCs w:val="18"/>
        </w:rPr>
        <w:t>4</w:t>
      </w:r>
      <w:r w:rsidRPr="00DC7187">
        <w:rPr>
          <w:sz w:val="22"/>
          <w:szCs w:val="18"/>
        </w:rPr>
        <w:t xml:space="preserve"> principal</w:t>
      </w:r>
      <w:r>
        <w:rPr>
          <w:sz w:val="22"/>
          <w:szCs w:val="18"/>
        </w:rPr>
        <w:t xml:space="preserve">. </w:t>
      </w:r>
    </w:p>
    <w:p w:rsidR="00B91F6F" w:rsidP="00B91F6F" w14:paraId="4E5D766A" w14:textId="77777777">
      <w:pPr>
        <w:rPr>
          <w:sz w:val="22"/>
          <w:szCs w:val="18"/>
        </w:rPr>
      </w:pPr>
    </w:p>
    <w:p w:rsidR="00B91F6F" w:rsidP="00B91F6F" w14:paraId="7294AAD4" w14:textId="53209E16">
      <w:pPr>
        <w:rPr>
          <w:sz w:val="22"/>
          <w:szCs w:val="18"/>
        </w:rPr>
      </w:pPr>
      <w:r w:rsidRPr="00DC7187">
        <w:rPr>
          <w:sz w:val="22"/>
          <w:szCs w:val="18"/>
        </w:rPr>
        <w:t>Nonresponding schools will be sent a reminder letter</w:t>
      </w:r>
      <w:r w:rsidR="00CC1A64">
        <w:rPr>
          <w:sz w:val="22"/>
          <w:szCs w:val="18"/>
        </w:rPr>
        <w:t xml:space="preserve"> with web login credential</w:t>
      </w:r>
      <w:r w:rsidR="00980134">
        <w:rPr>
          <w:sz w:val="22"/>
          <w:szCs w:val="18"/>
        </w:rPr>
        <w:t>s</w:t>
      </w:r>
      <w:r w:rsidRPr="00DC7187">
        <w:rPr>
          <w:sz w:val="22"/>
          <w:szCs w:val="18"/>
        </w:rPr>
        <w:t xml:space="preserve"> along with a </w:t>
      </w:r>
      <w:r>
        <w:rPr>
          <w:sz w:val="22"/>
          <w:szCs w:val="18"/>
        </w:rPr>
        <w:t xml:space="preserve">paper </w:t>
      </w:r>
      <w:r w:rsidRPr="00DC7187">
        <w:rPr>
          <w:sz w:val="22"/>
          <w:szCs w:val="18"/>
        </w:rPr>
        <w:t xml:space="preserve">copy of the PFS-1 </w:t>
      </w:r>
      <w:r>
        <w:rPr>
          <w:sz w:val="22"/>
          <w:szCs w:val="18"/>
        </w:rPr>
        <w:t xml:space="preserve">questionnaire </w:t>
      </w:r>
      <w:r w:rsidRPr="00DC7187">
        <w:rPr>
          <w:sz w:val="22"/>
          <w:szCs w:val="18"/>
        </w:rPr>
        <w:t>(A/B)</w:t>
      </w:r>
      <w:r>
        <w:rPr>
          <w:sz w:val="22"/>
          <w:szCs w:val="18"/>
          <w:vertAlign w:val="superscript"/>
        </w:rPr>
        <w:footnoteReference w:id="7"/>
      </w:r>
      <w:r w:rsidRPr="00DC7187">
        <w:rPr>
          <w:sz w:val="22"/>
          <w:szCs w:val="18"/>
        </w:rPr>
        <w:t xml:space="preserve"> approximately three weeks after the initial mailing. </w:t>
      </w:r>
      <w:r>
        <w:rPr>
          <w:sz w:val="22"/>
          <w:szCs w:val="18"/>
        </w:rPr>
        <w:t xml:space="preserve">A reminder email with a link to the PFS </w:t>
      </w:r>
      <w:r w:rsidR="00602601">
        <w:rPr>
          <w:sz w:val="22"/>
          <w:szCs w:val="18"/>
        </w:rPr>
        <w:t xml:space="preserve">and login credentials </w:t>
      </w:r>
      <w:r>
        <w:rPr>
          <w:sz w:val="22"/>
          <w:szCs w:val="18"/>
        </w:rPr>
        <w:t xml:space="preserve">will also be sent to nonresponding schools </w:t>
      </w:r>
      <w:r w:rsidR="00BD47E8">
        <w:rPr>
          <w:sz w:val="22"/>
          <w:szCs w:val="18"/>
        </w:rPr>
        <w:t xml:space="preserve">around the same time. </w:t>
      </w:r>
      <w:r>
        <w:rPr>
          <w:sz w:val="22"/>
          <w:szCs w:val="18"/>
        </w:rPr>
        <w:t xml:space="preserve"> </w:t>
      </w:r>
    </w:p>
    <w:p w:rsidR="00602601" w:rsidP="00B91F6F" w14:paraId="0968CC50" w14:textId="77777777">
      <w:pPr>
        <w:rPr>
          <w:sz w:val="22"/>
          <w:szCs w:val="18"/>
        </w:rPr>
      </w:pPr>
    </w:p>
    <w:p w:rsidR="00B91F6F" w:rsidRPr="00DC7187" w:rsidP="00B91F6F" w14:paraId="54260951" w14:textId="255D8DC8">
      <w:pPr>
        <w:rPr>
          <w:sz w:val="22"/>
          <w:szCs w:val="18"/>
        </w:rPr>
      </w:pPr>
      <w:r>
        <w:rPr>
          <w:sz w:val="22"/>
          <w:szCs w:val="18"/>
        </w:rPr>
        <w:t xml:space="preserve">About a month after the second mailout and email, </w:t>
      </w:r>
      <w:r w:rsidR="00602601">
        <w:rPr>
          <w:sz w:val="22"/>
          <w:szCs w:val="18"/>
        </w:rPr>
        <w:t>nonresponding schools</w:t>
      </w:r>
      <w:r>
        <w:rPr>
          <w:sz w:val="22"/>
          <w:szCs w:val="18"/>
        </w:rPr>
        <w:t xml:space="preserve"> </w:t>
      </w:r>
      <w:r w:rsidRPr="00DC7187">
        <w:rPr>
          <w:sz w:val="22"/>
          <w:szCs w:val="18"/>
        </w:rPr>
        <w:t>will receive a telephone call</w:t>
      </w:r>
      <w:r w:rsidR="00602601">
        <w:rPr>
          <w:sz w:val="22"/>
          <w:szCs w:val="18"/>
        </w:rPr>
        <w:t xml:space="preserve"> </w:t>
      </w:r>
      <w:r w:rsidRPr="00DC7187">
        <w:rPr>
          <w:sz w:val="22"/>
          <w:szCs w:val="18"/>
        </w:rPr>
        <w:t>during which telephone center staff will follow</w:t>
      </w:r>
      <w:r w:rsidR="000777A3">
        <w:rPr>
          <w:sz w:val="22"/>
          <w:szCs w:val="18"/>
        </w:rPr>
        <w:t xml:space="preserve"> </w:t>
      </w:r>
      <w:r w:rsidRPr="00DC7187">
        <w:rPr>
          <w:sz w:val="22"/>
          <w:szCs w:val="18"/>
        </w:rPr>
        <w:t>up to collect the occupational status of the 202</w:t>
      </w:r>
      <w:r>
        <w:rPr>
          <w:sz w:val="22"/>
          <w:szCs w:val="18"/>
        </w:rPr>
        <w:t>3</w:t>
      </w:r>
      <w:r w:rsidRPr="00DC7187">
        <w:rPr>
          <w:sz w:val="22"/>
          <w:szCs w:val="18"/>
        </w:rPr>
        <w:t>-2</w:t>
      </w:r>
      <w:r>
        <w:rPr>
          <w:sz w:val="22"/>
          <w:szCs w:val="18"/>
        </w:rPr>
        <w:t>4</w:t>
      </w:r>
      <w:r w:rsidRPr="00DC7187">
        <w:rPr>
          <w:sz w:val="22"/>
          <w:szCs w:val="18"/>
        </w:rPr>
        <w:t xml:space="preserve"> principal. The telephone center staff will first ask school office staff for the occupational status of the 202</w:t>
      </w:r>
      <w:r>
        <w:rPr>
          <w:sz w:val="22"/>
          <w:szCs w:val="18"/>
        </w:rPr>
        <w:t>3</w:t>
      </w:r>
      <w:r w:rsidRPr="00DC7187">
        <w:rPr>
          <w:sz w:val="22"/>
          <w:szCs w:val="18"/>
        </w:rPr>
        <w:t>-2</w:t>
      </w:r>
      <w:r>
        <w:rPr>
          <w:sz w:val="22"/>
          <w:szCs w:val="18"/>
        </w:rPr>
        <w:t>4</w:t>
      </w:r>
      <w:r w:rsidRPr="00DC7187">
        <w:rPr>
          <w:sz w:val="22"/>
          <w:szCs w:val="18"/>
        </w:rPr>
        <w:t xml:space="preserve"> principal. If the office staff is unable to provide the information, telephone center staff will ask to speak with the current school principal.  </w:t>
      </w:r>
    </w:p>
    <w:p w:rsidR="00B91F6F" w:rsidP="00B91F6F" w14:paraId="52405539" w14:textId="77777777">
      <w:pPr>
        <w:rPr>
          <w:sz w:val="22"/>
          <w:szCs w:val="18"/>
        </w:rPr>
      </w:pPr>
    </w:p>
    <w:p w:rsidR="00B91F6F" w:rsidP="00B91F6F" w14:paraId="09123BA9" w14:textId="620C3F3B">
      <w:pPr>
        <w:rPr>
          <w:sz w:val="22"/>
          <w:szCs w:val="18"/>
        </w:rPr>
      </w:pPr>
      <w:r>
        <w:rPr>
          <w:sz w:val="22"/>
          <w:szCs w:val="18"/>
        </w:rPr>
        <w:t>After</w:t>
      </w:r>
      <w:r>
        <w:rPr>
          <w:sz w:val="22"/>
          <w:szCs w:val="18"/>
        </w:rPr>
        <w:t xml:space="preserve"> the telephone follow-up operation, </w:t>
      </w:r>
      <w:r w:rsidR="00602601">
        <w:rPr>
          <w:sz w:val="22"/>
          <w:szCs w:val="18"/>
        </w:rPr>
        <w:t>nonrespondents</w:t>
      </w:r>
      <w:r>
        <w:rPr>
          <w:sz w:val="22"/>
          <w:szCs w:val="18"/>
        </w:rPr>
        <w:t xml:space="preserve"> will be sent to the principal status research operation</w:t>
      </w:r>
      <w:r>
        <w:rPr>
          <w:sz w:val="22"/>
          <w:szCs w:val="18"/>
        </w:rPr>
        <w:t xml:space="preserve">. During this operation, </w:t>
      </w:r>
      <w:r w:rsidR="00602601">
        <w:rPr>
          <w:sz w:val="22"/>
          <w:szCs w:val="18"/>
        </w:rPr>
        <w:t>Census Bureau staff will</w:t>
      </w:r>
      <w:r w:rsidRPr="00DC7187">
        <w:rPr>
          <w:sz w:val="22"/>
          <w:szCs w:val="18"/>
        </w:rPr>
        <w:t xml:space="preserve"> conduct research </w:t>
      </w:r>
      <w:r w:rsidR="00602601">
        <w:rPr>
          <w:sz w:val="22"/>
          <w:szCs w:val="18"/>
        </w:rPr>
        <w:t xml:space="preserve">via </w:t>
      </w:r>
      <w:r w:rsidR="008C4398">
        <w:rPr>
          <w:sz w:val="22"/>
          <w:szCs w:val="18"/>
        </w:rPr>
        <w:t>i</w:t>
      </w:r>
      <w:r w:rsidR="00602601">
        <w:rPr>
          <w:sz w:val="22"/>
          <w:szCs w:val="18"/>
        </w:rPr>
        <w:t xml:space="preserve">nternet searches </w:t>
      </w:r>
      <w:r w:rsidRPr="00DC7187">
        <w:rPr>
          <w:sz w:val="22"/>
          <w:szCs w:val="18"/>
        </w:rPr>
        <w:t xml:space="preserve">to </w:t>
      </w:r>
      <w:r>
        <w:rPr>
          <w:sz w:val="22"/>
          <w:szCs w:val="18"/>
        </w:rPr>
        <w:t xml:space="preserve">attempt to </w:t>
      </w:r>
      <w:r w:rsidRPr="00DC7187">
        <w:rPr>
          <w:sz w:val="22"/>
          <w:szCs w:val="18"/>
        </w:rPr>
        <w:t xml:space="preserve">obtain </w:t>
      </w:r>
      <w:r>
        <w:rPr>
          <w:sz w:val="22"/>
          <w:szCs w:val="18"/>
        </w:rPr>
        <w:t xml:space="preserve">the current occupational status of the 2023-24 NTPS principal. </w:t>
      </w:r>
    </w:p>
    <w:bookmarkEnd w:id="33"/>
    <w:p w:rsidR="007306CB" w:rsidRPr="00DC7187" w:rsidP="008B5B06" w14:paraId="011B1F0E" w14:textId="77777777">
      <w:pPr>
        <w:rPr>
          <w:sz w:val="22"/>
          <w:szCs w:val="18"/>
        </w:rPr>
      </w:pPr>
    </w:p>
    <w:p w:rsidR="00385160" w:rsidRPr="00DC7187" w:rsidP="008B5B06" w14:paraId="0883157C" w14:textId="05E96E3F">
      <w:pPr>
        <w:rPr>
          <w:sz w:val="22"/>
          <w:szCs w:val="18"/>
        </w:rPr>
      </w:pPr>
      <w:r w:rsidRPr="00BD47E8">
        <w:rPr>
          <w:sz w:val="22"/>
          <w:szCs w:val="18"/>
        </w:rPr>
        <w:t xml:space="preserve">A response rate </w:t>
      </w:r>
      <w:r w:rsidR="00BD47E8">
        <w:rPr>
          <w:sz w:val="22"/>
          <w:szCs w:val="18"/>
        </w:rPr>
        <w:t>of approximately 90</w:t>
      </w:r>
      <w:r w:rsidRPr="00BD47E8">
        <w:rPr>
          <w:sz w:val="22"/>
          <w:szCs w:val="18"/>
        </w:rPr>
        <w:t xml:space="preserve"> percent is expected based on the prior administration of </w:t>
      </w:r>
      <w:r w:rsidRPr="00BD47E8" w:rsidR="007306CB">
        <w:rPr>
          <w:sz w:val="22"/>
          <w:szCs w:val="18"/>
        </w:rPr>
        <w:t>PFS.</w:t>
      </w:r>
    </w:p>
    <w:p w:rsidR="008B5B06" w:rsidRPr="00DC7187" w:rsidP="008B5B06" w14:paraId="34E5233B" w14:textId="77777777">
      <w:pPr>
        <w:rPr>
          <w:sz w:val="22"/>
          <w:szCs w:val="18"/>
        </w:rPr>
      </w:pPr>
    </w:p>
    <w:p w:rsidR="00303DB4" w:rsidRPr="00DC7187" w:rsidP="00303DB4" w14:paraId="3B63CDCD" w14:textId="3517A09B">
      <w:pPr>
        <w:pStyle w:val="Heading1"/>
        <w:keepNext w:val="0"/>
        <w:spacing w:after="120"/>
        <w:rPr>
          <w:sz w:val="22"/>
          <w:szCs w:val="22"/>
        </w:rPr>
      </w:pPr>
      <w:bookmarkStart w:id="34" w:name="_Toc57039282"/>
      <w:bookmarkStart w:id="35" w:name="_Toc187144070"/>
      <w:r w:rsidRPr="00DC7187">
        <w:rPr>
          <w:sz w:val="22"/>
          <w:szCs w:val="22"/>
        </w:rPr>
        <w:t>B.3</w:t>
      </w:r>
      <w:r w:rsidRPr="00DC7187">
        <w:rPr>
          <w:sz w:val="22"/>
          <w:szCs w:val="22"/>
        </w:rPr>
        <w:tab/>
        <w:t>Methods for Maximizing Response</w:t>
      </w:r>
      <w:bookmarkEnd w:id="34"/>
      <w:bookmarkEnd w:id="35"/>
    </w:p>
    <w:p w:rsidR="00AE3647" w:rsidRPr="00DC7187" w:rsidP="00C55CAF" w14:paraId="3FDF2C34" w14:textId="4DBD87D9">
      <w:pPr>
        <w:pStyle w:val="L1-FlLSp12"/>
        <w:spacing w:after="120" w:line="240" w:lineRule="auto"/>
        <w:rPr>
          <w:sz w:val="22"/>
          <w:szCs w:val="18"/>
        </w:rPr>
      </w:pPr>
      <w:r w:rsidRPr="00DC7187">
        <w:rPr>
          <w:rFonts w:ascii="Times New Roman" w:hAnsi="Times New Roman"/>
          <w:sz w:val="22"/>
          <w:szCs w:val="22"/>
        </w:rPr>
        <w:t xml:space="preserve">This section describes the methods that NCES will use to secure cooperation, maximize response rates, and deal with nonresponse for </w:t>
      </w:r>
      <w:r w:rsidRPr="00DC7187" w:rsidR="00C55CAF">
        <w:rPr>
          <w:rFonts w:ascii="Times New Roman" w:hAnsi="Times New Roman"/>
          <w:sz w:val="22"/>
          <w:szCs w:val="22"/>
        </w:rPr>
        <w:t>the 202</w:t>
      </w:r>
      <w:r w:rsidR="00577719">
        <w:rPr>
          <w:rFonts w:ascii="Times New Roman" w:hAnsi="Times New Roman"/>
          <w:sz w:val="22"/>
          <w:szCs w:val="22"/>
        </w:rPr>
        <w:t>4</w:t>
      </w:r>
      <w:r w:rsidRPr="00DC7187" w:rsidR="00C55CAF">
        <w:rPr>
          <w:rFonts w:ascii="Times New Roman" w:hAnsi="Times New Roman"/>
          <w:sz w:val="22"/>
          <w:szCs w:val="22"/>
        </w:rPr>
        <w:t>-2</w:t>
      </w:r>
      <w:r w:rsidR="00577719">
        <w:rPr>
          <w:rFonts w:ascii="Times New Roman" w:hAnsi="Times New Roman"/>
          <w:sz w:val="22"/>
          <w:szCs w:val="22"/>
        </w:rPr>
        <w:t>5</w:t>
      </w:r>
      <w:r w:rsidRPr="00DC7187" w:rsidR="00C55CAF">
        <w:rPr>
          <w:rFonts w:ascii="Times New Roman" w:hAnsi="Times New Roman"/>
          <w:sz w:val="22"/>
          <w:szCs w:val="22"/>
        </w:rPr>
        <w:t xml:space="preserve"> NTPS follow-up surveys. </w:t>
      </w:r>
      <w:r w:rsidRPr="00DC7187">
        <w:rPr>
          <w:rFonts w:ascii="Times New Roman" w:hAnsi="Times New Roman"/>
          <w:sz w:val="22"/>
          <w:szCs w:val="22"/>
        </w:rPr>
        <w:t xml:space="preserve">The entire survey process, starting with securing research cooperation from key groups and individual sample members and continuing throughout the distribution </w:t>
      </w:r>
      <w:r w:rsidRPr="00DC7187">
        <w:rPr>
          <w:rFonts w:ascii="Times New Roman" w:hAnsi="Times New Roman"/>
          <w:sz w:val="22"/>
          <w:szCs w:val="22"/>
        </w:rPr>
        <w:t xml:space="preserve">and collection of individual questionnaires, is designed to increase survey response rates. In addition, NCES believes that the following endorsements, stressing the survey’s importance in communication materials, and extensive follow-up </w:t>
      </w:r>
      <w:r w:rsidRPr="00DC7187" w:rsidR="005542CD">
        <w:rPr>
          <w:rFonts w:ascii="Times New Roman" w:hAnsi="Times New Roman"/>
          <w:sz w:val="22"/>
          <w:szCs w:val="22"/>
        </w:rPr>
        <w:t>with</w:t>
      </w:r>
      <w:r w:rsidRPr="00DC7187">
        <w:rPr>
          <w:rFonts w:ascii="Times New Roman" w:hAnsi="Times New Roman"/>
          <w:sz w:val="22"/>
          <w:szCs w:val="22"/>
        </w:rPr>
        <w:t xml:space="preserve"> nonrespondents will further facilitate the overall success of the survey and enhance response rates.</w:t>
      </w:r>
    </w:p>
    <w:p w:rsidR="00303DB4" w:rsidRPr="00DC7187" w:rsidP="00B508C8" w14:paraId="7EDB0593" w14:textId="73999CFD">
      <w:pPr>
        <w:pStyle w:val="Heading2"/>
        <w:rPr>
          <w:sz w:val="22"/>
          <w:szCs w:val="18"/>
        </w:rPr>
      </w:pPr>
      <w:bookmarkStart w:id="36" w:name="_Toc57039283"/>
      <w:bookmarkStart w:id="37" w:name="_Toc187144071"/>
      <w:r w:rsidRPr="00DC7187">
        <w:rPr>
          <w:sz w:val="22"/>
          <w:szCs w:val="18"/>
        </w:rPr>
        <w:t>B.3.1</w:t>
      </w:r>
      <w:r w:rsidRPr="00DC7187">
        <w:rPr>
          <w:sz w:val="22"/>
          <w:szCs w:val="18"/>
        </w:rPr>
        <w:tab/>
        <w:t>Endorsements from Key Public and Private School Groups</w:t>
      </w:r>
      <w:bookmarkEnd w:id="36"/>
      <w:bookmarkEnd w:id="37"/>
    </w:p>
    <w:p w:rsidR="00411557" w:rsidP="00EB5120" w14:paraId="2A6E911D" w14:textId="51843594">
      <w:pPr>
        <w:pStyle w:val="L1-FlLSp12"/>
        <w:spacing w:line="240" w:lineRule="auto"/>
        <w:rPr>
          <w:rFonts w:ascii="Times New Roman" w:hAnsi="Times New Roman"/>
          <w:sz w:val="22"/>
          <w:szCs w:val="22"/>
        </w:rPr>
      </w:pPr>
      <w:r w:rsidRPr="00DC7187">
        <w:rPr>
          <w:rFonts w:ascii="Times New Roman" w:hAnsi="Times New Roman"/>
          <w:sz w:val="22"/>
          <w:szCs w:val="22"/>
        </w:rPr>
        <w:t>The level of interest and cooperation demonstrated by key groups can often greatly influence the degree of participation of survey respondents. Endorsements are viewed as a</w:t>
      </w:r>
      <w:r w:rsidR="0098633C">
        <w:rPr>
          <w:rFonts w:ascii="Times New Roman" w:hAnsi="Times New Roman"/>
          <w:sz w:val="22"/>
          <w:szCs w:val="22"/>
        </w:rPr>
        <w:t>n important</w:t>
      </w:r>
      <w:r w:rsidRPr="00DC7187">
        <w:rPr>
          <w:rFonts w:ascii="Times New Roman" w:hAnsi="Times New Roman"/>
          <w:sz w:val="22"/>
          <w:szCs w:val="22"/>
        </w:rPr>
        <w:t xml:space="preserve"> factor in soliciting cooperation from </w:t>
      </w:r>
      <w:r w:rsidR="0098633C">
        <w:rPr>
          <w:rFonts w:ascii="Times New Roman" w:hAnsi="Times New Roman"/>
          <w:sz w:val="22"/>
          <w:szCs w:val="22"/>
        </w:rPr>
        <w:t>educators and education leadership.</w:t>
      </w:r>
    </w:p>
    <w:p w:rsidR="00EB5120" w:rsidRPr="00DC7187" w:rsidP="009960F0" w14:paraId="5973D59D" w14:textId="77777777">
      <w:pPr>
        <w:pStyle w:val="L1-FlLSp12"/>
        <w:spacing w:line="240" w:lineRule="auto"/>
        <w:rPr>
          <w:rFonts w:ascii="Times New Roman" w:hAnsi="Times New Roman"/>
          <w:sz w:val="22"/>
          <w:szCs w:val="22"/>
        </w:rPr>
      </w:pPr>
    </w:p>
    <w:p w:rsidR="00C55CAF" w:rsidRPr="00DC7187" w:rsidP="00EB5120" w14:paraId="4D1DCD98" w14:textId="58E07700">
      <w:pPr>
        <w:pStyle w:val="L1-FlLSp12"/>
        <w:spacing w:after="120" w:line="240" w:lineRule="auto"/>
        <w:rPr>
          <w:rFonts w:ascii="Times New Roman" w:hAnsi="Times New Roman"/>
          <w:sz w:val="22"/>
          <w:szCs w:val="22"/>
        </w:rPr>
      </w:pPr>
      <w:r w:rsidRPr="00DC7187">
        <w:rPr>
          <w:rFonts w:ascii="Times New Roman" w:hAnsi="Times New Roman"/>
          <w:sz w:val="22"/>
          <w:szCs w:val="22"/>
        </w:rPr>
        <w:t xml:space="preserve">NCES </w:t>
      </w:r>
      <w:r w:rsidR="0063229B">
        <w:rPr>
          <w:rFonts w:ascii="Times New Roman" w:hAnsi="Times New Roman"/>
          <w:sz w:val="22"/>
          <w:szCs w:val="22"/>
        </w:rPr>
        <w:t>has secured</w:t>
      </w:r>
      <w:r w:rsidRPr="00DC7187">
        <w:rPr>
          <w:rFonts w:ascii="Times New Roman" w:hAnsi="Times New Roman"/>
          <w:sz w:val="22"/>
          <w:szCs w:val="22"/>
        </w:rPr>
        <w:t xml:space="preserve"> endorsement for</w:t>
      </w:r>
      <w:r w:rsidRPr="00DC7187" w:rsidR="00411557">
        <w:rPr>
          <w:rFonts w:ascii="Times New Roman" w:hAnsi="Times New Roman"/>
          <w:sz w:val="22"/>
          <w:szCs w:val="22"/>
        </w:rPr>
        <w:t xml:space="preserve"> the </w:t>
      </w:r>
      <w:r w:rsidR="00BC008A">
        <w:rPr>
          <w:rFonts w:ascii="Times New Roman" w:hAnsi="Times New Roman"/>
          <w:sz w:val="22"/>
          <w:szCs w:val="22"/>
        </w:rPr>
        <w:t>2023-24 NTPS</w:t>
      </w:r>
      <w:r w:rsidR="00DE3EA5">
        <w:rPr>
          <w:rFonts w:ascii="Times New Roman" w:hAnsi="Times New Roman"/>
          <w:sz w:val="22"/>
          <w:szCs w:val="22"/>
        </w:rPr>
        <w:t xml:space="preserve"> and </w:t>
      </w:r>
      <w:r w:rsidRPr="00DC7187" w:rsidR="00411557">
        <w:rPr>
          <w:rFonts w:ascii="Times New Roman" w:hAnsi="Times New Roman"/>
          <w:sz w:val="22"/>
          <w:szCs w:val="22"/>
        </w:rPr>
        <w:t>202</w:t>
      </w:r>
      <w:r w:rsidR="001A29C8">
        <w:rPr>
          <w:rFonts w:ascii="Times New Roman" w:hAnsi="Times New Roman"/>
          <w:sz w:val="22"/>
          <w:szCs w:val="22"/>
        </w:rPr>
        <w:t>4</w:t>
      </w:r>
      <w:r w:rsidRPr="00DC7187" w:rsidR="00411557">
        <w:rPr>
          <w:rFonts w:ascii="Times New Roman" w:hAnsi="Times New Roman"/>
          <w:sz w:val="22"/>
          <w:szCs w:val="22"/>
        </w:rPr>
        <w:t>-2</w:t>
      </w:r>
      <w:r w:rsidR="001A29C8">
        <w:rPr>
          <w:rFonts w:ascii="Times New Roman" w:hAnsi="Times New Roman"/>
          <w:sz w:val="22"/>
          <w:szCs w:val="22"/>
        </w:rPr>
        <w:t>5</w:t>
      </w:r>
      <w:r w:rsidRPr="00DC7187" w:rsidR="00411557">
        <w:rPr>
          <w:rFonts w:ascii="Times New Roman" w:hAnsi="Times New Roman"/>
          <w:sz w:val="22"/>
          <w:szCs w:val="22"/>
        </w:rPr>
        <w:t xml:space="preserve"> TFS</w:t>
      </w:r>
      <w:r w:rsidR="0098633C">
        <w:rPr>
          <w:rFonts w:ascii="Times New Roman" w:hAnsi="Times New Roman"/>
          <w:sz w:val="22"/>
          <w:szCs w:val="22"/>
        </w:rPr>
        <w:t xml:space="preserve"> and PFS</w:t>
      </w:r>
      <w:r w:rsidRPr="00DC7187">
        <w:rPr>
          <w:rFonts w:ascii="Times New Roman" w:hAnsi="Times New Roman"/>
          <w:sz w:val="22"/>
          <w:szCs w:val="22"/>
        </w:rPr>
        <w:t xml:space="preserve"> from the following organizations or agenc</w:t>
      </w:r>
      <w:r w:rsidRPr="00DC7187" w:rsidR="00411557">
        <w:rPr>
          <w:rFonts w:ascii="Times New Roman" w:hAnsi="Times New Roman"/>
          <w:sz w:val="22"/>
          <w:szCs w:val="22"/>
        </w:rPr>
        <w:t>ies:</w:t>
      </w:r>
    </w:p>
    <w:p w:rsidR="00EB5120" w:rsidRPr="00EB5120" w:rsidP="00675CC0" w14:paraId="45F0F6F6" w14:textId="77777777">
      <w:pPr>
        <w:pStyle w:val="L1-FlLSp12"/>
        <w:spacing w:line="240" w:lineRule="auto"/>
        <w:ind w:left="360"/>
        <w:rPr>
          <w:rFonts w:ascii="Times New Roman" w:eastAsia="Times New Roman" w:hAnsi="Times New Roman"/>
          <w:snapToGrid w:val="0"/>
          <w:sz w:val="22"/>
          <w:szCs w:val="22"/>
        </w:rPr>
      </w:pPr>
      <w:r w:rsidRPr="00EB5120">
        <w:rPr>
          <w:rFonts w:ascii="Times New Roman" w:eastAsia="Times New Roman" w:hAnsi="Times New Roman"/>
          <w:snapToGrid w:val="0"/>
          <w:sz w:val="22"/>
          <w:szCs w:val="22"/>
        </w:rPr>
        <w:t>AASA, The School Superintendents Association</w:t>
      </w:r>
    </w:p>
    <w:p w:rsidR="00EB5120" w:rsidRPr="00EB5120" w:rsidP="00675CC0" w14:paraId="483F1AAD" w14:textId="77777777">
      <w:pPr>
        <w:pStyle w:val="L1-FlLSp12"/>
        <w:spacing w:line="240" w:lineRule="auto"/>
        <w:ind w:left="360"/>
        <w:rPr>
          <w:rFonts w:ascii="Times New Roman" w:eastAsia="Times New Roman" w:hAnsi="Times New Roman"/>
          <w:snapToGrid w:val="0"/>
          <w:sz w:val="22"/>
          <w:szCs w:val="22"/>
        </w:rPr>
      </w:pPr>
      <w:r w:rsidRPr="00EB5120">
        <w:rPr>
          <w:rFonts w:ascii="Times New Roman" w:eastAsia="Times New Roman" w:hAnsi="Times New Roman"/>
          <w:snapToGrid w:val="0"/>
          <w:sz w:val="22"/>
          <w:szCs w:val="22"/>
        </w:rPr>
        <w:t>American Association of School Librarians</w:t>
      </w:r>
    </w:p>
    <w:p w:rsidR="00EB5120" w:rsidRPr="00EB5120" w:rsidP="00675CC0" w14:paraId="37EF3A7C" w14:textId="77777777">
      <w:pPr>
        <w:pStyle w:val="L1-FlLSp12"/>
        <w:spacing w:line="240" w:lineRule="auto"/>
        <w:ind w:left="360"/>
        <w:rPr>
          <w:rFonts w:ascii="Times New Roman" w:eastAsia="Times New Roman" w:hAnsi="Times New Roman"/>
          <w:snapToGrid w:val="0"/>
          <w:sz w:val="22"/>
          <w:szCs w:val="22"/>
        </w:rPr>
      </w:pPr>
      <w:r w:rsidRPr="00EB5120">
        <w:rPr>
          <w:rFonts w:ascii="Times New Roman" w:eastAsia="Times New Roman" w:hAnsi="Times New Roman"/>
          <w:snapToGrid w:val="0"/>
          <w:sz w:val="22"/>
          <w:szCs w:val="22"/>
        </w:rPr>
        <w:t>American Federation of Teachers</w:t>
      </w:r>
    </w:p>
    <w:p w:rsidR="00EB5120" w:rsidRPr="00EB5120" w:rsidP="00675CC0" w14:paraId="6FA38681" w14:textId="77777777">
      <w:pPr>
        <w:pStyle w:val="L1-FlLSp12"/>
        <w:spacing w:line="240" w:lineRule="auto"/>
        <w:ind w:left="360"/>
        <w:rPr>
          <w:rFonts w:ascii="Times New Roman" w:eastAsia="Times New Roman" w:hAnsi="Times New Roman"/>
          <w:snapToGrid w:val="0"/>
          <w:sz w:val="22"/>
          <w:szCs w:val="22"/>
        </w:rPr>
      </w:pPr>
      <w:r w:rsidRPr="00EB5120">
        <w:rPr>
          <w:rFonts w:ascii="Times New Roman" w:eastAsia="Times New Roman" w:hAnsi="Times New Roman"/>
          <w:snapToGrid w:val="0"/>
          <w:sz w:val="22"/>
          <w:szCs w:val="22"/>
        </w:rPr>
        <w:t>American Montessori Society</w:t>
      </w:r>
    </w:p>
    <w:p w:rsidR="00EB5120" w:rsidRPr="00EB5120" w:rsidP="00675CC0" w14:paraId="6F6BEC6F" w14:textId="77777777">
      <w:pPr>
        <w:pStyle w:val="L1-FlLSp12"/>
        <w:spacing w:line="240" w:lineRule="auto"/>
        <w:ind w:left="360"/>
        <w:rPr>
          <w:rFonts w:ascii="Times New Roman" w:eastAsia="Times New Roman" w:hAnsi="Times New Roman"/>
          <w:snapToGrid w:val="0"/>
          <w:sz w:val="22"/>
          <w:szCs w:val="22"/>
        </w:rPr>
      </w:pPr>
      <w:r w:rsidRPr="00EB5120">
        <w:rPr>
          <w:rFonts w:ascii="Times New Roman" w:eastAsia="Times New Roman" w:hAnsi="Times New Roman"/>
          <w:snapToGrid w:val="0"/>
          <w:sz w:val="22"/>
          <w:szCs w:val="22"/>
        </w:rPr>
        <w:t>American School Counselor Association</w:t>
      </w:r>
    </w:p>
    <w:p w:rsidR="00EB5120" w:rsidRPr="00EB5120" w:rsidP="00675CC0" w14:paraId="1A5A5BFB" w14:textId="77777777">
      <w:pPr>
        <w:pStyle w:val="L1-FlLSp12"/>
        <w:spacing w:line="240" w:lineRule="auto"/>
        <w:ind w:left="360"/>
        <w:rPr>
          <w:rFonts w:ascii="Times New Roman" w:eastAsia="Times New Roman" w:hAnsi="Times New Roman"/>
          <w:snapToGrid w:val="0"/>
          <w:sz w:val="22"/>
          <w:szCs w:val="22"/>
        </w:rPr>
      </w:pPr>
      <w:r w:rsidRPr="00EB5120">
        <w:rPr>
          <w:rFonts w:ascii="Times New Roman" w:eastAsia="Times New Roman" w:hAnsi="Times New Roman"/>
          <w:snapToGrid w:val="0"/>
          <w:sz w:val="22"/>
          <w:szCs w:val="22"/>
        </w:rPr>
        <w:t>Association for Middle Level Education</w:t>
      </w:r>
    </w:p>
    <w:p w:rsidR="00EB5120" w:rsidRPr="00EB5120" w:rsidP="00675CC0" w14:paraId="17877731" w14:textId="77777777">
      <w:pPr>
        <w:pStyle w:val="L1-FlLSp12"/>
        <w:spacing w:line="240" w:lineRule="auto"/>
        <w:ind w:left="360"/>
        <w:rPr>
          <w:rFonts w:ascii="Times New Roman" w:eastAsia="Times New Roman" w:hAnsi="Times New Roman"/>
          <w:snapToGrid w:val="0"/>
          <w:sz w:val="22"/>
          <w:szCs w:val="22"/>
        </w:rPr>
      </w:pPr>
      <w:r w:rsidRPr="00EB5120">
        <w:rPr>
          <w:rFonts w:ascii="Times New Roman" w:eastAsia="Times New Roman" w:hAnsi="Times New Roman"/>
          <w:snapToGrid w:val="0"/>
          <w:sz w:val="22"/>
          <w:szCs w:val="22"/>
        </w:rPr>
        <w:t>Association for Supervision and Curriculum Development</w:t>
      </w:r>
    </w:p>
    <w:p w:rsidR="00EB5120" w:rsidRPr="00EB5120" w:rsidP="00675CC0" w14:paraId="42F43F75" w14:textId="77777777">
      <w:pPr>
        <w:pStyle w:val="L1-FlLSp12"/>
        <w:spacing w:line="240" w:lineRule="auto"/>
        <w:ind w:left="360"/>
        <w:rPr>
          <w:rFonts w:ascii="Times New Roman" w:eastAsia="Times New Roman" w:hAnsi="Times New Roman"/>
          <w:snapToGrid w:val="0"/>
          <w:sz w:val="22"/>
          <w:szCs w:val="22"/>
        </w:rPr>
      </w:pPr>
      <w:r w:rsidRPr="00EB5120">
        <w:rPr>
          <w:rFonts w:ascii="Times New Roman" w:eastAsia="Times New Roman" w:hAnsi="Times New Roman"/>
          <w:snapToGrid w:val="0"/>
          <w:sz w:val="22"/>
          <w:szCs w:val="22"/>
        </w:rPr>
        <w:t>Association of American Educators</w:t>
      </w:r>
    </w:p>
    <w:p w:rsidR="00EB5120" w:rsidRPr="00EB5120" w:rsidP="00675CC0" w14:paraId="2F334F3C" w14:textId="77777777">
      <w:pPr>
        <w:pStyle w:val="L1-FlLSp12"/>
        <w:spacing w:line="240" w:lineRule="auto"/>
        <w:ind w:left="360"/>
        <w:rPr>
          <w:rFonts w:ascii="Times New Roman" w:eastAsia="Times New Roman" w:hAnsi="Times New Roman"/>
          <w:snapToGrid w:val="0"/>
          <w:sz w:val="22"/>
          <w:szCs w:val="22"/>
        </w:rPr>
      </w:pPr>
      <w:r w:rsidRPr="00EB5120">
        <w:rPr>
          <w:rFonts w:ascii="Times New Roman" w:eastAsia="Times New Roman" w:hAnsi="Times New Roman"/>
          <w:snapToGrid w:val="0"/>
          <w:sz w:val="22"/>
          <w:szCs w:val="22"/>
        </w:rPr>
        <w:t>Council of Chief State School Officers</w:t>
      </w:r>
    </w:p>
    <w:p w:rsidR="00EB5120" w:rsidRPr="00EB5120" w:rsidP="00675CC0" w14:paraId="5E738191" w14:textId="77777777">
      <w:pPr>
        <w:pStyle w:val="L1-FlLSp12"/>
        <w:spacing w:line="240" w:lineRule="auto"/>
        <w:ind w:left="360"/>
        <w:rPr>
          <w:rFonts w:ascii="Times New Roman" w:eastAsia="Times New Roman" w:hAnsi="Times New Roman"/>
          <w:snapToGrid w:val="0"/>
          <w:sz w:val="22"/>
          <w:szCs w:val="22"/>
        </w:rPr>
      </w:pPr>
      <w:r w:rsidRPr="00EB5120">
        <w:rPr>
          <w:rFonts w:ascii="Times New Roman" w:eastAsia="Times New Roman" w:hAnsi="Times New Roman"/>
          <w:snapToGrid w:val="0"/>
          <w:sz w:val="22"/>
          <w:szCs w:val="22"/>
        </w:rPr>
        <w:t>Council of the Great City Schools</w:t>
      </w:r>
    </w:p>
    <w:p w:rsidR="00EB5120" w:rsidRPr="00EB5120" w:rsidP="00675CC0" w14:paraId="103E908A" w14:textId="77777777">
      <w:pPr>
        <w:pStyle w:val="L1-FlLSp12"/>
        <w:spacing w:line="240" w:lineRule="auto"/>
        <w:ind w:left="360"/>
        <w:rPr>
          <w:rFonts w:ascii="Times New Roman" w:eastAsia="Times New Roman" w:hAnsi="Times New Roman"/>
          <w:snapToGrid w:val="0"/>
          <w:sz w:val="22"/>
          <w:szCs w:val="22"/>
        </w:rPr>
      </w:pPr>
      <w:r w:rsidRPr="00EB5120">
        <w:rPr>
          <w:rFonts w:ascii="Times New Roman" w:eastAsia="Times New Roman" w:hAnsi="Times New Roman"/>
          <w:snapToGrid w:val="0"/>
          <w:sz w:val="22"/>
          <w:szCs w:val="22"/>
        </w:rPr>
        <w:t>National Association of Elementary School Principals</w:t>
      </w:r>
    </w:p>
    <w:p w:rsidR="00EB5120" w:rsidRPr="00EB5120" w:rsidP="00675CC0" w14:paraId="4B3BB115" w14:textId="77777777">
      <w:pPr>
        <w:pStyle w:val="L1-FlLSp12"/>
        <w:spacing w:line="240" w:lineRule="auto"/>
        <w:ind w:left="360"/>
        <w:rPr>
          <w:rFonts w:ascii="Times New Roman" w:eastAsia="Times New Roman" w:hAnsi="Times New Roman"/>
          <w:snapToGrid w:val="0"/>
          <w:sz w:val="22"/>
          <w:szCs w:val="22"/>
        </w:rPr>
      </w:pPr>
      <w:r w:rsidRPr="00EB5120">
        <w:rPr>
          <w:rFonts w:ascii="Times New Roman" w:eastAsia="Times New Roman" w:hAnsi="Times New Roman"/>
          <w:snapToGrid w:val="0"/>
          <w:sz w:val="22"/>
          <w:szCs w:val="22"/>
        </w:rPr>
        <w:t>National Association of Secondary School Principals</w:t>
      </w:r>
    </w:p>
    <w:p w:rsidR="00EB5120" w:rsidRPr="00EB5120" w:rsidP="00675CC0" w14:paraId="4C056040" w14:textId="77777777">
      <w:pPr>
        <w:pStyle w:val="L1-FlLSp12"/>
        <w:spacing w:line="240" w:lineRule="auto"/>
        <w:ind w:left="360"/>
        <w:rPr>
          <w:rFonts w:ascii="Times New Roman" w:eastAsia="Times New Roman" w:hAnsi="Times New Roman"/>
          <w:snapToGrid w:val="0"/>
          <w:sz w:val="22"/>
          <w:szCs w:val="22"/>
        </w:rPr>
      </w:pPr>
      <w:r w:rsidRPr="00EB5120">
        <w:rPr>
          <w:rFonts w:ascii="Times New Roman" w:eastAsia="Times New Roman" w:hAnsi="Times New Roman"/>
          <w:snapToGrid w:val="0"/>
          <w:sz w:val="22"/>
          <w:szCs w:val="22"/>
        </w:rPr>
        <w:t>National Education Association</w:t>
      </w:r>
    </w:p>
    <w:p w:rsidR="00EB5120" w:rsidRPr="00EB5120" w:rsidP="00675CC0" w14:paraId="054A4721" w14:textId="77777777">
      <w:pPr>
        <w:pStyle w:val="L1-FlLSp12"/>
        <w:spacing w:line="240" w:lineRule="auto"/>
        <w:ind w:left="360"/>
        <w:rPr>
          <w:rFonts w:ascii="Times New Roman" w:eastAsia="Times New Roman" w:hAnsi="Times New Roman"/>
          <w:snapToGrid w:val="0"/>
          <w:sz w:val="22"/>
          <w:szCs w:val="22"/>
        </w:rPr>
      </w:pPr>
      <w:r w:rsidRPr="00EB5120">
        <w:rPr>
          <w:rFonts w:ascii="Times New Roman" w:eastAsia="Times New Roman" w:hAnsi="Times New Roman"/>
          <w:snapToGrid w:val="0"/>
          <w:sz w:val="22"/>
          <w:szCs w:val="22"/>
        </w:rPr>
        <w:t>National Parent Teacher Association</w:t>
      </w:r>
    </w:p>
    <w:p w:rsidR="00EB5120" w:rsidRPr="00EB5120" w:rsidP="00675CC0" w14:paraId="0D97623B" w14:textId="77777777">
      <w:pPr>
        <w:pStyle w:val="L1-FlLSp12"/>
        <w:spacing w:line="240" w:lineRule="auto"/>
        <w:ind w:left="360"/>
        <w:rPr>
          <w:rFonts w:ascii="Times New Roman" w:eastAsia="Times New Roman" w:hAnsi="Times New Roman"/>
          <w:snapToGrid w:val="0"/>
          <w:sz w:val="22"/>
          <w:szCs w:val="22"/>
        </w:rPr>
      </w:pPr>
      <w:r w:rsidRPr="00EB5120">
        <w:rPr>
          <w:rFonts w:ascii="Times New Roman" w:eastAsia="Times New Roman" w:hAnsi="Times New Roman"/>
          <w:snapToGrid w:val="0"/>
          <w:sz w:val="22"/>
          <w:szCs w:val="22"/>
        </w:rPr>
        <w:t>American Association of Christian Schools</w:t>
      </w:r>
    </w:p>
    <w:p w:rsidR="00EB5120" w:rsidRPr="00EB5120" w:rsidP="00675CC0" w14:paraId="736A1684" w14:textId="77777777">
      <w:pPr>
        <w:pStyle w:val="L1-FlLSp12"/>
        <w:spacing w:line="240" w:lineRule="auto"/>
        <w:ind w:left="360"/>
        <w:rPr>
          <w:rFonts w:ascii="Times New Roman" w:eastAsia="Times New Roman" w:hAnsi="Times New Roman"/>
          <w:snapToGrid w:val="0"/>
          <w:sz w:val="22"/>
          <w:szCs w:val="22"/>
        </w:rPr>
      </w:pPr>
      <w:r w:rsidRPr="00EB5120">
        <w:rPr>
          <w:rFonts w:ascii="Times New Roman" w:eastAsia="Times New Roman" w:hAnsi="Times New Roman"/>
          <w:snapToGrid w:val="0"/>
          <w:sz w:val="22"/>
          <w:szCs w:val="22"/>
        </w:rPr>
        <w:t>Association Montessori Internationale</w:t>
      </w:r>
    </w:p>
    <w:p w:rsidR="00EB5120" w:rsidRPr="00EB5120" w:rsidP="00675CC0" w14:paraId="2E9959D4" w14:textId="77777777">
      <w:pPr>
        <w:pStyle w:val="L1-FlLSp12"/>
        <w:spacing w:line="240" w:lineRule="auto"/>
        <w:ind w:left="360"/>
        <w:rPr>
          <w:rFonts w:ascii="Times New Roman" w:eastAsia="Times New Roman" w:hAnsi="Times New Roman"/>
          <w:snapToGrid w:val="0"/>
          <w:sz w:val="22"/>
          <w:szCs w:val="22"/>
        </w:rPr>
      </w:pPr>
      <w:r w:rsidRPr="00EB5120">
        <w:rPr>
          <w:rFonts w:ascii="Times New Roman" w:eastAsia="Times New Roman" w:hAnsi="Times New Roman"/>
          <w:snapToGrid w:val="0"/>
          <w:sz w:val="22"/>
          <w:szCs w:val="22"/>
        </w:rPr>
        <w:t>Association of Christian Schools International</w:t>
      </w:r>
    </w:p>
    <w:p w:rsidR="00EB5120" w:rsidRPr="00EB5120" w:rsidP="00675CC0" w14:paraId="4C17E432" w14:textId="77777777">
      <w:pPr>
        <w:pStyle w:val="L1-FlLSp12"/>
        <w:spacing w:line="240" w:lineRule="auto"/>
        <w:ind w:left="360"/>
        <w:rPr>
          <w:rFonts w:ascii="Times New Roman" w:eastAsia="Times New Roman" w:hAnsi="Times New Roman"/>
          <w:snapToGrid w:val="0"/>
          <w:sz w:val="22"/>
          <w:szCs w:val="22"/>
        </w:rPr>
      </w:pPr>
      <w:r w:rsidRPr="00EB5120">
        <w:rPr>
          <w:rFonts w:ascii="Times New Roman" w:eastAsia="Times New Roman" w:hAnsi="Times New Roman"/>
          <w:snapToGrid w:val="0"/>
          <w:sz w:val="22"/>
          <w:szCs w:val="22"/>
        </w:rPr>
        <w:t>Association of Christian Teachers and Schools</w:t>
      </w:r>
    </w:p>
    <w:p w:rsidR="00EB5120" w:rsidRPr="00EB5120" w:rsidP="00675CC0" w14:paraId="4B9A2542" w14:textId="77777777">
      <w:pPr>
        <w:pStyle w:val="L1-FlLSp12"/>
        <w:spacing w:line="240" w:lineRule="auto"/>
        <w:ind w:left="360"/>
        <w:rPr>
          <w:rFonts w:ascii="Times New Roman" w:eastAsia="Times New Roman" w:hAnsi="Times New Roman"/>
          <w:snapToGrid w:val="0"/>
          <w:sz w:val="22"/>
          <w:szCs w:val="22"/>
        </w:rPr>
      </w:pPr>
      <w:r w:rsidRPr="00EB5120">
        <w:rPr>
          <w:rFonts w:ascii="Times New Roman" w:eastAsia="Times New Roman" w:hAnsi="Times New Roman"/>
          <w:snapToGrid w:val="0"/>
          <w:sz w:val="22"/>
          <w:szCs w:val="22"/>
        </w:rPr>
        <w:t>Association of Military Colleges and Schools of the United States</w:t>
      </w:r>
    </w:p>
    <w:p w:rsidR="00EB5120" w:rsidRPr="00EB5120" w:rsidP="00675CC0" w14:paraId="73943FAC" w14:textId="77777777">
      <w:pPr>
        <w:pStyle w:val="L1-FlLSp12"/>
        <w:spacing w:line="240" w:lineRule="auto"/>
        <w:ind w:left="360"/>
        <w:rPr>
          <w:rFonts w:ascii="Times New Roman" w:eastAsia="Times New Roman" w:hAnsi="Times New Roman"/>
          <w:snapToGrid w:val="0"/>
          <w:sz w:val="22"/>
          <w:szCs w:val="22"/>
        </w:rPr>
      </w:pPr>
      <w:r w:rsidRPr="00EB5120">
        <w:rPr>
          <w:rFonts w:ascii="Times New Roman" w:eastAsia="Times New Roman" w:hAnsi="Times New Roman"/>
          <w:snapToGrid w:val="0"/>
          <w:sz w:val="22"/>
          <w:szCs w:val="22"/>
        </w:rPr>
        <w:t>Christian Schools International</w:t>
      </w:r>
    </w:p>
    <w:p w:rsidR="00EB5120" w:rsidRPr="00EB5120" w:rsidP="00675CC0" w14:paraId="195B9C81" w14:textId="77777777">
      <w:pPr>
        <w:pStyle w:val="L1-FlLSp12"/>
        <w:spacing w:line="240" w:lineRule="auto"/>
        <w:ind w:left="360"/>
        <w:rPr>
          <w:rFonts w:ascii="Times New Roman" w:eastAsia="Times New Roman" w:hAnsi="Times New Roman"/>
          <w:snapToGrid w:val="0"/>
          <w:sz w:val="22"/>
          <w:szCs w:val="22"/>
        </w:rPr>
      </w:pPr>
      <w:r w:rsidRPr="00EB5120">
        <w:rPr>
          <w:rFonts w:ascii="Times New Roman" w:eastAsia="Times New Roman" w:hAnsi="Times New Roman"/>
          <w:snapToGrid w:val="0"/>
          <w:sz w:val="22"/>
          <w:szCs w:val="22"/>
        </w:rPr>
        <w:t>Council for American Private Education</w:t>
      </w:r>
    </w:p>
    <w:p w:rsidR="00EB5120" w:rsidRPr="00EB5120" w:rsidP="00675CC0" w14:paraId="6A8FAD71" w14:textId="77777777">
      <w:pPr>
        <w:pStyle w:val="L1-FlLSp12"/>
        <w:spacing w:line="240" w:lineRule="auto"/>
        <w:ind w:left="360"/>
        <w:rPr>
          <w:rFonts w:ascii="Times New Roman" w:eastAsia="Times New Roman" w:hAnsi="Times New Roman"/>
          <w:snapToGrid w:val="0"/>
          <w:sz w:val="22"/>
          <w:szCs w:val="22"/>
        </w:rPr>
      </w:pPr>
      <w:r w:rsidRPr="00EB5120">
        <w:rPr>
          <w:rFonts w:ascii="Times New Roman" w:eastAsia="Times New Roman" w:hAnsi="Times New Roman"/>
          <w:snapToGrid w:val="0"/>
          <w:sz w:val="22"/>
          <w:szCs w:val="22"/>
        </w:rPr>
        <w:t>Council of Islamic Schools in North America</w:t>
      </w:r>
    </w:p>
    <w:p w:rsidR="00EB5120" w:rsidRPr="00EB5120" w:rsidP="00675CC0" w14:paraId="24FDCB2D" w14:textId="77777777">
      <w:pPr>
        <w:pStyle w:val="L1-FlLSp12"/>
        <w:spacing w:line="240" w:lineRule="auto"/>
        <w:ind w:left="360"/>
        <w:rPr>
          <w:rFonts w:ascii="Times New Roman" w:eastAsia="Times New Roman" w:hAnsi="Times New Roman"/>
          <w:snapToGrid w:val="0"/>
          <w:sz w:val="22"/>
          <w:szCs w:val="22"/>
        </w:rPr>
      </w:pPr>
      <w:r w:rsidRPr="00EB5120">
        <w:rPr>
          <w:rFonts w:ascii="Times New Roman" w:eastAsia="Times New Roman" w:hAnsi="Times New Roman"/>
          <w:snapToGrid w:val="0"/>
          <w:sz w:val="22"/>
          <w:szCs w:val="22"/>
        </w:rPr>
        <w:t>Education Department, General Conference of Seventh-Day Adventist Church</w:t>
      </w:r>
    </w:p>
    <w:p w:rsidR="00EB5120" w:rsidRPr="00EB5120" w:rsidP="00675CC0" w14:paraId="3768523E" w14:textId="77777777">
      <w:pPr>
        <w:pStyle w:val="L1-FlLSp12"/>
        <w:spacing w:line="240" w:lineRule="auto"/>
        <w:ind w:left="360"/>
        <w:rPr>
          <w:rFonts w:ascii="Times New Roman" w:eastAsia="Times New Roman" w:hAnsi="Times New Roman"/>
          <w:snapToGrid w:val="0"/>
          <w:sz w:val="22"/>
          <w:szCs w:val="22"/>
        </w:rPr>
      </w:pPr>
      <w:r w:rsidRPr="00EB5120">
        <w:rPr>
          <w:rFonts w:ascii="Times New Roman" w:eastAsia="Times New Roman" w:hAnsi="Times New Roman"/>
          <w:snapToGrid w:val="0"/>
          <w:sz w:val="22"/>
          <w:szCs w:val="22"/>
        </w:rPr>
        <w:t>Evangelical Lutheran Church in America</w:t>
      </w:r>
    </w:p>
    <w:p w:rsidR="00EB5120" w:rsidRPr="00EB5120" w:rsidP="00675CC0" w14:paraId="3827E6A5" w14:textId="77777777">
      <w:pPr>
        <w:pStyle w:val="L1-FlLSp12"/>
        <w:spacing w:line="240" w:lineRule="auto"/>
        <w:ind w:left="360"/>
        <w:rPr>
          <w:rFonts w:ascii="Times New Roman" w:eastAsia="Times New Roman" w:hAnsi="Times New Roman"/>
          <w:snapToGrid w:val="0"/>
          <w:sz w:val="22"/>
          <w:szCs w:val="22"/>
        </w:rPr>
      </w:pPr>
      <w:r w:rsidRPr="00EB5120">
        <w:rPr>
          <w:rFonts w:ascii="Times New Roman" w:eastAsia="Times New Roman" w:hAnsi="Times New Roman"/>
          <w:snapToGrid w:val="0"/>
          <w:sz w:val="22"/>
          <w:szCs w:val="22"/>
        </w:rPr>
        <w:t>Evangelical Lutheran Education Association</w:t>
      </w:r>
    </w:p>
    <w:p w:rsidR="00EB5120" w:rsidRPr="00EB5120" w:rsidP="00675CC0" w14:paraId="6DC824C6" w14:textId="77777777">
      <w:pPr>
        <w:pStyle w:val="L1-FlLSp12"/>
        <w:spacing w:line="240" w:lineRule="auto"/>
        <w:ind w:left="360"/>
        <w:rPr>
          <w:rFonts w:ascii="Times New Roman" w:eastAsia="Times New Roman" w:hAnsi="Times New Roman"/>
          <w:snapToGrid w:val="0"/>
          <w:sz w:val="22"/>
          <w:szCs w:val="22"/>
        </w:rPr>
      </w:pPr>
      <w:r w:rsidRPr="00EB5120">
        <w:rPr>
          <w:rFonts w:ascii="Times New Roman" w:eastAsia="Times New Roman" w:hAnsi="Times New Roman"/>
          <w:snapToGrid w:val="0"/>
          <w:sz w:val="22"/>
          <w:szCs w:val="22"/>
        </w:rPr>
        <w:t>Islamic Schools League of America</w:t>
      </w:r>
    </w:p>
    <w:p w:rsidR="00EB5120" w:rsidRPr="00EB5120" w:rsidP="00675CC0" w14:paraId="3237C228" w14:textId="77777777">
      <w:pPr>
        <w:pStyle w:val="L1-FlLSp12"/>
        <w:spacing w:line="240" w:lineRule="auto"/>
        <w:ind w:left="360"/>
        <w:rPr>
          <w:rFonts w:ascii="Times New Roman" w:eastAsia="Times New Roman" w:hAnsi="Times New Roman"/>
          <w:snapToGrid w:val="0"/>
          <w:sz w:val="22"/>
          <w:szCs w:val="22"/>
        </w:rPr>
      </w:pPr>
      <w:r w:rsidRPr="00EB5120">
        <w:rPr>
          <w:rFonts w:ascii="Times New Roman" w:eastAsia="Times New Roman" w:hAnsi="Times New Roman"/>
          <w:snapToGrid w:val="0"/>
          <w:sz w:val="22"/>
          <w:szCs w:val="22"/>
        </w:rPr>
        <w:t>National Alliance of Christian Schools</w:t>
      </w:r>
    </w:p>
    <w:p w:rsidR="00EB5120" w:rsidRPr="00EB5120" w:rsidP="00675CC0" w14:paraId="202046AF" w14:textId="77777777">
      <w:pPr>
        <w:pStyle w:val="L1-FlLSp12"/>
        <w:spacing w:line="240" w:lineRule="auto"/>
        <w:ind w:left="360"/>
        <w:rPr>
          <w:rFonts w:ascii="Times New Roman" w:eastAsia="Times New Roman" w:hAnsi="Times New Roman"/>
          <w:snapToGrid w:val="0"/>
          <w:sz w:val="22"/>
          <w:szCs w:val="22"/>
        </w:rPr>
      </w:pPr>
      <w:r w:rsidRPr="00EB5120">
        <w:rPr>
          <w:rFonts w:ascii="Times New Roman" w:eastAsia="Times New Roman" w:hAnsi="Times New Roman"/>
          <w:snapToGrid w:val="0"/>
          <w:sz w:val="22"/>
          <w:szCs w:val="22"/>
        </w:rPr>
        <w:t>National Association for the Education of Young Children</w:t>
      </w:r>
    </w:p>
    <w:p w:rsidR="00EB5120" w:rsidRPr="00EB5120" w:rsidP="00675CC0" w14:paraId="08FDD586" w14:textId="77777777">
      <w:pPr>
        <w:pStyle w:val="L1-FlLSp12"/>
        <w:spacing w:line="240" w:lineRule="auto"/>
        <w:ind w:left="360"/>
        <w:rPr>
          <w:rFonts w:ascii="Times New Roman" w:eastAsia="Times New Roman" w:hAnsi="Times New Roman"/>
          <w:snapToGrid w:val="0"/>
          <w:sz w:val="22"/>
          <w:szCs w:val="22"/>
        </w:rPr>
      </w:pPr>
      <w:r w:rsidRPr="00EB5120">
        <w:rPr>
          <w:rFonts w:ascii="Times New Roman" w:eastAsia="Times New Roman" w:hAnsi="Times New Roman"/>
          <w:snapToGrid w:val="0"/>
          <w:sz w:val="22"/>
          <w:szCs w:val="22"/>
        </w:rPr>
        <w:t>National Association of Episcopal Schools</w:t>
      </w:r>
    </w:p>
    <w:p w:rsidR="00EB5120" w:rsidRPr="00EB5120" w:rsidP="00675CC0" w14:paraId="0CF52FD4" w14:textId="77777777">
      <w:pPr>
        <w:pStyle w:val="L1-FlLSp12"/>
        <w:spacing w:line="240" w:lineRule="auto"/>
        <w:ind w:left="360"/>
        <w:rPr>
          <w:rFonts w:ascii="Times New Roman" w:eastAsia="Times New Roman" w:hAnsi="Times New Roman"/>
          <w:snapToGrid w:val="0"/>
          <w:sz w:val="22"/>
          <w:szCs w:val="22"/>
        </w:rPr>
      </w:pPr>
      <w:r w:rsidRPr="00EB5120">
        <w:rPr>
          <w:rFonts w:ascii="Times New Roman" w:eastAsia="Times New Roman" w:hAnsi="Times New Roman"/>
          <w:snapToGrid w:val="0"/>
          <w:sz w:val="22"/>
          <w:szCs w:val="22"/>
        </w:rPr>
        <w:t>National Association of Independent Schools</w:t>
      </w:r>
    </w:p>
    <w:p w:rsidR="00EB5120" w:rsidRPr="00EB5120" w:rsidP="00675CC0" w14:paraId="353889B2" w14:textId="77777777">
      <w:pPr>
        <w:pStyle w:val="L1-FlLSp12"/>
        <w:spacing w:line="240" w:lineRule="auto"/>
        <w:ind w:left="360"/>
        <w:rPr>
          <w:rFonts w:ascii="Times New Roman" w:eastAsia="Times New Roman" w:hAnsi="Times New Roman"/>
          <w:snapToGrid w:val="0"/>
          <w:sz w:val="22"/>
          <w:szCs w:val="22"/>
        </w:rPr>
      </w:pPr>
      <w:r w:rsidRPr="00EB5120">
        <w:rPr>
          <w:rFonts w:ascii="Times New Roman" w:eastAsia="Times New Roman" w:hAnsi="Times New Roman"/>
          <w:snapToGrid w:val="0"/>
          <w:sz w:val="22"/>
          <w:szCs w:val="22"/>
        </w:rPr>
        <w:t>National Association of Private Special Education Centers</w:t>
      </w:r>
    </w:p>
    <w:p w:rsidR="00EB5120" w:rsidRPr="00EB5120" w:rsidP="00675CC0" w14:paraId="109E2B6E" w14:textId="77777777">
      <w:pPr>
        <w:pStyle w:val="L1-FlLSp12"/>
        <w:spacing w:line="240" w:lineRule="auto"/>
        <w:ind w:left="360"/>
        <w:rPr>
          <w:rFonts w:ascii="Times New Roman" w:eastAsia="Times New Roman" w:hAnsi="Times New Roman"/>
          <w:snapToGrid w:val="0"/>
          <w:sz w:val="22"/>
          <w:szCs w:val="22"/>
        </w:rPr>
      </w:pPr>
      <w:r w:rsidRPr="00EB5120">
        <w:rPr>
          <w:rFonts w:ascii="Times New Roman" w:eastAsia="Times New Roman" w:hAnsi="Times New Roman"/>
          <w:snapToGrid w:val="0"/>
          <w:sz w:val="22"/>
          <w:szCs w:val="22"/>
        </w:rPr>
        <w:t>National Catholic Educational Association</w:t>
      </w:r>
    </w:p>
    <w:p w:rsidR="00EB5120" w:rsidRPr="00EB5120" w:rsidP="00675CC0" w14:paraId="1EF4E032" w14:textId="77777777">
      <w:pPr>
        <w:pStyle w:val="L1-FlLSp12"/>
        <w:spacing w:line="240" w:lineRule="auto"/>
        <w:ind w:left="360"/>
        <w:rPr>
          <w:rFonts w:ascii="Times New Roman" w:eastAsia="Times New Roman" w:hAnsi="Times New Roman"/>
          <w:snapToGrid w:val="0"/>
          <w:sz w:val="22"/>
          <w:szCs w:val="22"/>
        </w:rPr>
      </w:pPr>
      <w:r w:rsidRPr="00EB5120">
        <w:rPr>
          <w:rFonts w:ascii="Times New Roman" w:eastAsia="Times New Roman" w:hAnsi="Times New Roman"/>
          <w:snapToGrid w:val="0"/>
          <w:sz w:val="22"/>
          <w:szCs w:val="22"/>
        </w:rPr>
        <w:t>National Christian School Association</w:t>
      </w:r>
    </w:p>
    <w:p w:rsidR="00EB5120" w:rsidRPr="00EB5120" w:rsidP="00675CC0" w14:paraId="3349B1B6" w14:textId="77777777">
      <w:pPr>
        <w:pStyle w:val="L1-FlLSp12"/>
        <w:spacing w:line="240" w:lineRule="auto"/>
        <w:ind w:left="360"/>
        <w:rPr>
          <w:rFonts w:ascii="Times New Roman" w:eastAsia="Times New Roman" w:hAnsi="Times New Roman"/>
          <w:snapToGrid w:val="0"/>
          <w:sz w:val="22"/>
          <w:szCs w:val="22"/>
        </w:rPr>
      </w:pPr>
      <w:r w:rsidRPr="00EB5120">
        <w:rPr>
          <w:rFonts w:ascii="Times New Roman" w:eastAsia="Times New Roman" w:hAnsi="Times New Roman"/>
          <w:snapToGrid w:val="0"/>
          <w:sz w:val="22"/>
          <w:szCs w:val="22"/>
        </w:rPr>
        <w:t>National Council for Private School Accreditation</w:t>
      </w:r>
    </w:p>
    <w:p w:rsidR="00EB5120" w:rsidRPr="00EB5120" w:rsidP="00675CC0" w14:paraId="2D335AE6" w14:textId="77777777">
      <w:pPr>
        <w:pStyle w:val="L1-FlLSp12"/>
        <w:spacing w:line="240" w:lineRule="auto"/>
        <w:ind w:left="360"/>
        <w:rPr>
          <w:rFonts w:ascii="Times New Roman" w:eastAsia="Times New Roman" w:hAnsi="Times New Roman"/>
          <w:snapToGrid w:val="0"/>
          <w:sz w:val="22"/>
          <w:szCs w:val="22"/>
        </w:rPr>
      </w:pPr>
      <w:r w:rsidRPr="00EB5120">
        <w:rPr>
          <w:rFonts w:ascii="Times New Roman" w:eastAsia="Times New Roman" w:hAnsi="Times New Roman"/>
          <w:snapToGrid w:val="0"/>
          <w:sz w:val="22"/>
          <w:szCs w:val="22"/>
        </w:rPr>
        <w:t>National Independent Private Schools Association</w:t>
      </w:r>
    </w:p>
    <w:p w:rsidR="00EB5120" w:rsidRPr="00EB5120" w:rsidP="00675CC0" w14:paraId="0E274A97" w14:textId="77777777">
      <w:pPr>
        <w:pStyle w:val="L1-FlLSp12"/>
        <w:spacing w:line="240" w:lineRule="auto"/>
        <w:ind w:left="360"/>
        <w:rPr>
          <w:rFonts w:ascii="Times New Roman" w:eastAsia="Times New Roman" w:hAnsi="Times New Roman"/>
          <w:snapToGrid w:val="0"/>
          <w:sz w:val="22"/>
          <w:szCs w:val="22"/>
        </w:rPr>
      </w:pPr>
      <w:r w:rsidRPr="00EB5120">
        <w:rPr>
          <w:rFonts w:ascii="Times New Roman" w:eastAsia="Times New Roman" w:hAnsi="Times New Roman"/>
          <w:snapToGrid w:val="0"/>
          <w:sz w:val="22"/>
          <w:szCs w:val="22"/>
        </w:rPr>
        <w:t>Oral Roberts University Educational Fellowship</w:t>
      </w:r>
    </w:p>
    <w:p w:rsidR="00EB5120" w:rsidRPr="00EB5120" w:rsidP="00675CC0" w14:paraId="14654386" w14:textId="77777777">
      <w:pPr>
        <w:pStyle w:val="L1-FlLSp12"/>
        <w:spacing w:line="240" w:lineRule="auto"/>
        <w:ind w:left="360"/>
        <w:rPr>
          <w:rFonts w:ascii="Times New Roman" w:eastAsia="Times New Roman" w:hAnsi="Times New Roman"/>
          <w:snapToGrid w:val="0"/>
          <w:sz w:val="22"/>
          <w:szCs w:val="22"/>
        </w:rPr>
      </w:pPr>
      <w:r w:rsidRPr="00EB5120">
        <w:rPr>
          <w:rFonts w:ascii="Times New Roman" w:eastAsia="Times New Roman" w:hAnsi="Times New Roman"/>
          <w:snapToGrid w:val="0"/>
          <w:sz w:val="22"/>
          <w:szCs w:val="22"/>
        </w:rPr>
        <w:t>The Lutheran Church-Missouri Synod</w:t>
      </w:r>
    </w:p>
    <w:p w:rsidR="00EB5120" w:rsidRPr="00EB5120" w:rsidP="00675CC0" w14:paraId="0BDC15CB" w14:textId="77777777">
      <w:pPr>
        <w:pStyle w:val="L1-FlLSp12"/>
        <w:spacing w:line="240" w:lineRule="auto"/>
        <w:ind w:left="360"/>
        <w:rPr>
          <w:rFonts w:ascii="Times New Roman" w:eastAsia="Times New Roman" w:hAnsi="Times New Roman"/>
          <w:snapToGrid w:val="0"/>
          <w:sz w:val="22"/>
          <w:szCs w:val="22"/>
        </w:rPr>
      </w:pPr>
      <w:r w:rsidRPr="00EB5120">
        <w:rPr>
          <w:rFonts w:ascii="Times New Roman" w:eastAsia="Times New Roman" w:hAnsi="Times New Roman"/>
          <w:snapToGrid w:val="0"/>
          <w:sz w:val="22"/>
          <w:szCs w:val="22"/>
        </w:rPr>
        <w:t>United States Conference of Catholic Bishops</w:t>
      </w:r>
    </w:p>
    <w:p w:rsidR="00EB5120" w:rsidRPr="00DC7187" w:rsidP="00675CC0" w14:paraId="7C86ABBF" w14:textId="3FBBE531">
      <w:pPr>
        <w:ind w:left="360" w:right="144"/>
        <w:rPr>
          <w:sz w:val="22"/>
          <w:szCs w:val="22"/>
        </w:rPr>
      </w:pPr>
      <w:r w:rsidRPr="00EB5120">
        <w:rPr>
          <w:sz w:val="22"/>
          <w:szCs w:val="22"/>
        </w:rPr>
        <w:t>Wisconsin Evangelical Lutheran Synod</w:t>
      </w:r>
    </w:p>
    <w:p w:rsidR="0085410C" w:rsidRPr="00DC7187" w:rsidP="00C55CAF" w14:paraId="16274F08" w14:textId="77777777">
      <w:pPr>
        <w:ind w:left="2160" w:right="144"/>
        <w:rPr>
          <w:sz w:val="22"/>
          <w:szCs w:val="22"/>
        </w:rPr>
      </w:pPr>
    </w:p>
    <w:p w:rsidR="00411557" w:rsidRPr="00DC7187" w:rsidP="00C55CAF" w14:paraId="6538FF6F" w14:textId="77777777">
      <w:pPr>
        <w:rPr>
          <w:sz w:val="22"/>
          <w:szCs w:val="18"/>
        </w:rPr>
      </w:pPr>
    </w:p>
    <w:p w:rsidR="00794F85" w:rsidRPr="00DC7187" w:rsidP="00B508C8" w14:paraId="3371E7AB" w14:textId="03478130">
      <w:pPr>
        <w:pStyle w:val="Heading2"/>
        <w:rPr>
          <w:sz w:val="22"/>
          <w:szCs w:val="18"/>
        </w:rPr>
      </w:pPr>
      <w:bookmarkStart w:id="38" w:name="_Toc57039284"/>
      <w:bookmarkStart w:id="39" w:name="_Toc187144072"/>
      <w:r w:rsidRPr="00DC7187">
        <w:rPr>
          <w:sz w:val="22"/>
          <w:szCs w:val="18"/>
        </w:rPr>
        <w:t>B.3.2</w:t>
      </w:r>
      <w:r w:rsidRPr="00DC7187">
        <w:rPr>
          <w:sz w:val="22"/>
          <w:szCs w:val="18"/>
        </w:rPr>
        <w:tab/>
        <w:t>Stressing the Importance of the Survey and the Respondents’ Participation in it</w:t>
      </w:r>
      <w:bookmarkEnd w:id="38"/>
      <w:bookmarkEnd w:id="39"/>
    </w:p>
    <w:p w:rsidR="001F673D" w:rsidRPr="00DC7187" w:rsidP="008B5B06" w14:paraId="14B5E3D6" w14:textId="33BD79F0">
      <w:pPr>
        <w:rPr>
          <w:sz w:val="22"/>
          <w:szCs w:val="18"/>
        </w:rPr>
      </w:pPr>
      <w:r w:rsidRPr="00DC7187">
        <w:rPr>
          <w:sz w:val="22"/>
          <w:szCs w:val="18"/>
        </w:rPr>
        <w:t xml:space="preserve">Official letters will be used to motivate respondents to return </w:t>
      </w:r>
      <w:r w:rsidR="00785A3B">
        <w:rPr>
          <w:sz w:val="22"/>
          <w:szCs w:val="18"/>
        </w:rPr>
        <w:t xml:space="preserve">the </w:t>
      </w:r>
      <w:r w:rsidRPr="00DC7187">
        <w:rPr>
          <w:sz w:val="22"/>
          <w:szCs w:val="18"/>
        </w:rPr>
        <w:t>surveys. Respondent letters for both the 202</w:t>
      </w:r>
      <w:r w:rsidR="00EB5120">
        <w:rPr>
          <w:sz w:val="22"/>
          <w:szCs w:val="18"/>
        </w:rPr>
        <w:t>4</w:t>
      </w:r>
      <w:r w:rsidRPr="00DC7187">
        <w:rPr>
          <w:sz w:val="22"/>
          <w:szCs w:val="18"/>
        </w:rPr>
        <w:t>-2</w:t>
      </w:r>
      <w:r w:rsidR="00EB5120">
        <w:rPr>
          <w:sz w:val="22"/>
          <w:szCs w:val="18"/>
        </w:rPr>
        <w:t>5</w:t>
      </w:r>
      <w:r w:rsidRPr="00DC7187">
        <w:rPr>
          <w:sz w:val="22"/>
          <w:szCs w:val="18"/>
        </w:rPr>
        <w:t xml:space="preserve"> TFS and PFS will be sent by the U.S. Census Bureau and signed by NCES</w:t>
      </w:r>
      <w:r w:rsidR="001B78A9">
        <w:rPr>
          <w:sz w:val="22"/>
          <w:szCs w:val="18"/>
        </w:rPr>
        <w:t xml:space="preserve"> senior leadership. </w:t>
      </w:r>
      <w:r w:rsidRPr="00DC7187">
        <w:rPr>
          <w:sz w:val="22"/>
          <w:szCs w:val="18"/>
        </w:rPr>
        <w:t xml:space="preserve">Communications in the form of both letters and emails will be personalized </w:t>
      </w:r>
      <w:r w:rsidRPr="00DC7187" w:rsidR="00084255">
        <w:rPr>
          <w:sz w:val="22"/>
          <w:szCs w:val="18"/>
        </w:rPr>
        <w:t>with the teacher</w:t>
      </w:r>
      <w:r w:rsidR="00280B1B">
        <w:rPr>
          <w:sz w:val="22"/>
          <w:szCs w:val="18"/>
        </w:rPr>
        <w:t>s’</w:t>
      </w:r>
      <w:r w:rsidRPr="00DC7187" w:rsidR="00084255">
        <w:rPr>
          <w:sz w:val="22"/>
          <w:szCs w:val="18"/>
        </w:rPr>
        <w:t xml:space="preserve"> and principals’ names, which </w:t>
      </w:r>
      <w:r w:rsidRPr="00DC7187">
        <w:rPr>
          <w:sz w:val="22"/>
          <w:szCs w:val="18"/>
        </w:rPr>
        <w:t>is expected to have positive effects on the survey response rates.</w:t>
      </w:r>
    </w:p>
    <w:p w:rsidR="001F673D" w:rsidRPr="00DC7187" w:rsidP="001F673D" w14:paraId="1DF3F6D9" w14:textId="5EC7AC3C">
      <w:pPr>
        <w:rPr>
          <w:sz w:val="22"/>
          <w:szCs w:val="18"/>
        </w:rPr>
      </w:pPr>
    </w:p>
    <w:p w:rsidR="003F30DE" w:rsidRPr="00DC7187" w:rsidP="00B508C8" w14:paraId="58532ACD" w14:textId="2E448B58">
      <w:pPr>
        <w:pStyle w:val="Heading2"/>
        <w:rPr>
          <w:sz w:val="22"/>
          <w:szCs w:val="18"/>
        </w:rPr>
      </w:pPr>
      <w:bookmarkStart w:id="40" w:name="_Toc57039285"/>
      <w:bookmarkStart w:id="41" w:name="_Toc187144073"/>
      <w:r w:rsidRPr="00DC5247">
        <w:rPr>
          <w:sz w:val="22"/>
          <w:szCs w:val="18"/>
        </w:rPr>
        <w:t>B.3.3</w:t>
      </w:r>
      <w:r w:rsidRPr="00DC5247">
        <w:rPr>
          <w:sz w:val="22"/>
          <w:szCs w:val="18"/>
        </w:rPr>
        <w:tab/>
        <w:t xml:space="preserve">Offering a </w:t>
      </w:r>
      <w:r w:rsidR="00AE2954">
        <w:rPr>
          <w:sz w:val="22"/>
          <w:szCs w:val="18"/>
        </w:rPr>
        <w:t>monetary</w:t>
      </w:r>
      <w:r w:rsidRPr="00DC5247" w:rsidR="00AE2954">
        <w:rPr>
          <w:sz w:val="22"/>
          <w:szCs w:val="18"/>
        </w:rPr>
        <w:t xml:space="preserve"> </w:t>
      </w:r>
      <w:r w:rsidRPr="00DC5247">
        <w:rPr>
          <w:sz w:val="22"/>
          <w:szCs w:val="18"/>
        </w:rPr>
        <w:t>incentive to current and former teachers</w:t>
      </w:r>
      <w:bookmarkEnd w:id="40"/>
      <w:bookmarkEnd w:id="41"/>
    </w:p>
    <w:p w:rsidR="0015537F" w:rsidP="008B5B06" w14:paraId="78A6738F" w14:textId="1B7EEF47">
      <w:pPr>
        <w:rPr>
          <w:snapToGrid/>
          <w:sz w:val="20"/>
          <w:szCs w:val="24"/>
        </w:rPr>
      </w:pPr>
      <w:r w:rsidRPr="007168EB">
        <w:rPr>
          <w:sz w:val="22"/>
          <w:szCs w:val="22"/>
        </w:rPr>
        <w:t>Results of previous administrations of the NTPS indicated that offering a prepaid teacher incentive significantly increased the final response rates for both public and private school teacher questionnaires</w:t>
      </w:r>
      <w:r w:rsidRPr="007168EB" w:rsidR="002E23F6">
        <w:rPr>
          <w:sz w:val="22"/>
          <w:szCs w:val="22"/>
        </w:rPr>
        <w:t xml:space="preserve"> (see OMB# 1850-0598 v.43, Appendix D).</w:t>
      </w:r>
      <w:r w:rsidRPr="007168EB">
        <w:rPr>
          <w:sz w:val="22"/>
          <w:szCs w:val="22"/>
        </w:rPr>
        <w:t xml:space="preserve"> Due to</w:t>
      </w:r>
      <w:r w:rsidRPr="007A2126">
        <w:rPr>
          <w:sz w:val="22"/>
          <w:szCs w:val="22"/>
        </w:rPr>
        <w:t xml:space="preserve"> these favorable results, NTPS 2023-24 </w:t>
      </w:r>
      <w:r>
        <w:rPr>
          <w:sz w:val="22"/>
          <w:szCs w:val="22"/>
        </w:rPr>
        <w:t xml:space="preserve">offered </w:t>
      </w:r>
      <w:r w:rsidRPr="007A2126">
        <w:rPr>
          <w:sz w:val="22"/>
          <w:szCs w:val="22"/>
        </w:rPr>
        <w:t xml:space="preserve">all teachers </w:t>
      </w:r>
      <w:r w:rsidR="002F3291">
        <w:rPr>
          <w:sz w:val="22"/>
          <w:szCs w:val="22"/>
        </w:rPr>
        <w:t xml:space="preserve">a </w:t>
      </w:r>
      <w:r w:rsidRPr="007A2126">
        <w:rPr>
          <w:sz w:val="22"/>
          <w:szCs w:val="22"/>
        </w:rPr>
        <w:t>prepaid incentive at the first contact by mail</w:t>
      </w:r>
      <w:r>
        <w:rPr>
          <w:sz w:val="22"/>
          <w:szCs w:val="22"/>
        </w:rPr>
        <w:t>.</w:t>
      </w:r>
      <w:r w:rsidRPr="007A2126">
        <w:rPr>
          <w:sz w:val="22"/>
          <w:szCs w:val="22"/>
        </w:rPr>
        <w:t xml:space="preserve"> </w:t>
      </w:r>
      <w:r>
        <w:rPr>
          <w:sz w:val="22"/>
          <w:szCs w:val="22"/>
        </w:rPr>
        <w:t>Additionally, some teachers in late sampled waves were also offered an additional incentive upon completion of their teacher questionnaire to include a teacher incentive</w:t>
      </w:r>
      <w:r w:rsidR="002F3291">
        <w:rPr>
          <w:sz w:val="22"/>
          <w:szCs w:val="22"/>
        </w:rPr>
        <w:t xml:space="preserve"> for responding to the survey</w:t>
      </w:r>
      <w:r>
        <w:rPr>
          <w:sz w:val="22"/>
          <w:szCs w:val="22"/>
        </w:rPr>
        <w:t xml:space="preserve"> or a school-level incentive for achieving an overall sufficient</w:t>
      </w:r>
      <w:r w:rsidR="002F3291">
        <w:rPr>
          <w:sz w:val="22"/>
          <w:szCs w:val="22"/>
        </w:rPr>
        <w:t xml:space="preserve"> rate of</w:t>
      </w:r>
      <w:r>
        <w:rPr>
          <w:sz w:val="22"/>
          <w:szCs w:val="22"/>
        </w:rPr>
        <w:t xml:space="preserve"> teacher response. </w:t>
      </w:r>
      <w:r w:rsidRPr="002E23F6">
        <w:rPr>
          <w:sz w:val="22"/>
          <w:szCs w:val="22"/>
        </w:rPr>
        <w:t>As such, the 2024-25 TFS will include a</w:t>
      </w:r>
      <w:r w:rsidRPr="002E23F6" w:rsidR="002E23F6">
        <w:rPr>
          <w:sz w:val="22"/>
          <w:szCs w:val="22"/>
        </w:rPr>
        <w:t xml:space="preserve"> monetary</w:t>
      </w:r>
      <w:r w:rsidRPr="002E23F6">
        <w:rPr>
          <w:sz w:val="22"/>
          <w:szCs w:val="22"/>
        </w:rPr>
        <w:t xml:space="preserve"> incentive</w:t>
      </w:r>
      <w:r w:rsidRPr="002E23F6">
        <w:rPr>
          <w:sz w:val="22"/>
          <w:szCs w:val="22"/>
        </w:rPr>
        <w:t xml:space="preserve"> for all current and former teachers, and these incentives will be offered </w:t>
      </w:r>
      <w:r w:rsidRPr="002E23F6">
        <w:rPr>
          <w:sz w:val="22"/>
          <w:szCs w:val="22"/>
        </w:rPr>
        <w:t>nonexperimentally</w:t>
      </w:r>
      <w:r w:rsidRPr="002E23F6">
        <w:rPr>
          <w:sz w:val="22"/>
          <w:szCs w:val="22"/>
        </w:rPr>
        <w:t xml:space="preserve">. </w:t>
      </w:r>
      <w:r w:rsidR="00C45BEA">
        <w:rPr>
          <w:sz w:val="22"/>
          <w:szCs w:val="22"/>
        </w:rPr>
        <w:t>T</w:t>
      </w:r>
      <w:r w:rsidRPr="002E23F6">
        <w:rPr>
          <w:sz w:val="22"/>
          <w:szCs w:val="18"/>
        </w:rPr>
        <w:t>eachers identified as movers and leavers will be offered a promised $20 incentive for completing their survey online within 3 weeks of first being contacted by email</w:t>
      </w:r>
      <w:r w:rsidR="00C45BEA">
        <w:rPr>
          <w:sz w:val="22"/>
          <w:szCs w:val="18"/>
        </w:rPr>
        <w:t xml:space="preserve">; these teachers will receive their $20 incentive after they complete their TFS online. </w:t>
      </w:r>
      <w:r w:rsidRPr="002E23F6">
        <w:rPr>
          <w:sz w:val="22"/>
          <w:szCs w:val="18"/>
        </w:rPr>
        <w:t xml:space="preserve">If these teachers do not complete the survey online within 3 weeks, both they and teachers identified as stayers will receive a $10 cash incentive in their first contact by mail. </w:t>
      </w:r>
      <w:r w:rsidRPr="002E23F6">
        <w:rPr>
          <w:sz w:val="20"/>
        </w:rPr>
        <w:t xml:space="preserve"> </w:t>
      </w:r>
    </w:p>
    <w:p w:rsidR="00C45BEA" w:rsidRPr="00DC7187" w:rsidP="008B5B06" w14:paraId="2E92DED7" w14:textId="77777777">
      <w:pPr>
        <w:rPr>
          <w:sz w:val="22"/>
          <w:szCs w:val="22"/>
        </w:rPr>
      </w:pPr>
    </w:p>
    <w:p w:rsidR="00BE184C" w:rsidRPr="004001BE" w:rsidP="008B5B06" w14:paraId="21BAF124" w14:textId="6CD4DE06">
      <w:pPr>
        <w:rPr>
          <w:sz w:val="22"/>
          <w:szCs w:val="22"/>
        </w:rPr>
      </w:pPr>
      <w:r w:rsidRPr="00DC7187">
        <w:rPr>
          <w:sz w:val="22"/>
          <w:szCs w:val="22"/>
        </w:rPr>
        <w:t xml:space="preserve">Data on teacher retention and attrition are in high demand from researchers and policymakers. During the 2012-13 TFS, </w:t>
      </w:r>
      <w:r w:rsidR="00113C85">
        <w:rPr>
          <w:sz w:val="22"/>
          <w:szCs w:val="22"/>
        </w:rPr>
        <w:t xml:space="preserve">the </w:t>
      </w:r>
      <w:r w:rsidRPr="00DC7187">
        <w:rPr>
          <w:sz w:val="22"/>
          <w:szCs w:val="22"/>
        </w:rPr>
        <w:t xml:space="preserve">response rate </w:t>
      </w:r>
      <w:r w:rsidR="00113C85">
        <w:rPr>
          <w:sz w:val="22"/>
          <w:szCs w:val="22"/>
        </w:rPr>
        <w:t>for</w:t>
      </w:r>
      <w:r w:rsidRPr="00DC7187" w:rsidR="00113C85">
        <w:rPr>
          <w:sz w:val="22"/>
          <w:szCs w:val="22"/>
        </w:rPr>
        <w:t xml:space="preserve"> </w:t>
      </w:r>
      <w:r w:rsidRPr="00DC7187">
        <w:rPr>
          <w:sz w:val="22"/>
          <w:szCs w:val="22"/>
        </w:rPr>
        <w:t xml:space="preserve">private school teachers was problematically low, and NCES was unable to publish a TFS private school teacher data file. In 2016-17, after the 2015-16 NTPS, the overall unit response rate of the TFS 2016-17 was likely to be under 50 percent and therefore the entire collection was cancelled. </w:t>
      </w:r>
      <w:r w:rsidRPr="004001BE">
        <w:rPr>
          <w:sz w:val="22"/>
          <w:szCs w:val="22"/>
        </w:rPr>
        <w:t xml:space="preserve">In an effort to increase response rates for the 2021-22 cycle, a contingency incentive </w:t>
      </w:r>
      <w:r w:rsidRPr="004001BE" w:rsidR="00017F37">
        <w:rPr>
          <w:sz w:val="22"/>
          <w:szCs w:val="22"/>
        </w:rPr>
        <w:t>was</w:t>
      </w:r>
      <w:r w:rsidRPr="004001BE">
        <w:rPr>
          <w:sz w:val="22"/>
          <w:szCs w:val="22"/>
        </w:rPr>
        <w:t xml:space="preserve"> used in later TFS mailings to combat low response, as identified in weekly status reports. </w:t>
      </w:r>
      <w:r w:rsidRPr="004001BE" w:rsidR="00627881">
        <w:rPr>
          <w:sz w:val="22"/>
          <w:szCs w:val="22"/>
        </w:rPr>
        <w:t xml:space="preserve">Consistent with the prior cycle, </w:t>
      </w:r>
      <w:r w:rsidRPr="004001BE" w:rsidR="00F52920">
        <w:rPr>
          <w:sz w:val="22"/>
          <w:szCs w:val="22"/>
        </w:rPr>
        <w:t xml:space="preserve">the 2024-25 TFS may also </w:t>
      </w:r>
      <w:r w:rsidRPr="004001BE" w:rsidR="00C45BEA">
        <w:rPr>
          <w:sz w:val="22"/>
          <w:szCs w:val="22"/>
        </w:rPr>
        <w:t>offer an additional</w:t>
      </w:r>
      <w:r w:rsidRPr="004001BE" w:rsidR="00F52920">
        <w:rPr>
          <w:sz w:val="22"/>
          <w:szCs w:val="22"/>
        </w:rPr>
        <w:t xml:space="preserve"> incentive</w:t>
      </w:r>
      <w:r w:rsidRPr="004001BE" w:rsidR="00C45BEA">
        <w:rPr>
          <w:sz w:val="22"/>
          <w:szCs w:val="22"/>
        </w:rPr>
        <w:t xml:space="preserve">, </w:t>
      </w:r>
      <w:r w:rsidRPr="004001BE" w:rsidR="00892DD2">
        <w:rPr>
          <w:sz w:val="22"/>
          <w:szCs w:val="22"/>
        </w:rPr>
        <w:t xml:space="preserve">as </w:t>
      </w:r>
      <w:r w:rsidRPr="004001BE" w:rsidR="00C45BEA">
        <w:rPr>
          <w:sz w:val="22"/>
          <w:szCs w:val="22"/>
        </w:rPr>
        <w:t xml:space="preserve">a contingency, </w:t>
      </w:r>
      <w:r w:rsidRPr="004001BE" w:rsidR="00F52920">
        <w:rPr>
          <w:sz w:val="22"/>
          <w:szCs w:val="22"/>
        </w:rPr>
        <w:t>in later mailings to combat low response</w:t>
      </w:r>
      <w:r w:rsidRPr="004001BE" w:rsidR="007C4C07">
        <w:rPr>
          <w:sz w:val="22"/>
          <w:szCs w:val="22"/>
        </w:rPr>
        <w:t xml:space="preserve"> for </w:t>
      </w:r>
      <w:r w:rsidRPr="004001BE" w:rsidR="007C4C07">
        <w:rPr>
          <w:sz w:val="22"/>
          <w:szCs w:val="18"/>
        </w:rPr>
        <w:t>teachers in specific subdomains, as identified jointly by Census and NCES</w:t>
      </w:r>
      <w:r w:rsidRPr="004001BE" w:rsidR="00BE5E4B">
        <w:rPr>
          <w:sz w:val="22"/>
          <w:szCs w:val="22"/>
        </w:rPr>
        <w:t>.</w:t>
      </w:r>
    </w:p>
    <w:p w:rsidR="00BE184C" w:rsidRPr="004001BE" w:rsidP="008B5B06" w14:paraId="6EDF2B6B" w14:textId="77777777">
      <w:pPr>
        <w:rPr>
          <w:sz w:val="22"/>
          <w:szCs w:val="22"/>
        </w:rPr>
      </w:pPr>
    </w:p>
    <w:p w:rsidR="00507723" w:rsidP="0015537F" w14:paraId="756D185B" w14:textId="1FD63AE4">
      <w:pPr>
        <w:rPr>
          <w:sz w:val="22"/>
          <w:szCs w:val="18"/>
        </w:rPr>
      </w:pPr>
      <w:r w:rsidRPr="004001BE">
        <w:rPr>
          <w:color w:val="000000"/>
          <w:sz w:val="22"/>
          <w:szCs w:val="22"/>
        </w:rPr>
        <w:t>During</w:t>
      </w:r>
      <w:r w:rsidRPr="004001BE" w:rsidR="00BE184C">
        <w:rPr>
          <w:color w:val="000000"/>
          <w:sz w:val="22"/>
          <w:szCs w:val="22"/>
        </w:rPr>
        <w:t xml:space="preserve"> week </w:t>
      </w:r>
      <w:r w:rsidRPr="004001BE" w:rsidR="00EA167B">
        <w:rPr>
          <w:color w:val="000000"/>
          <w:sz w:val="22"/>
          <w:szCs w:val="22"/>
        </w:rPr>
        <w:t>11</w:t>
      </w:r>
      <w:r w:rsidRPr="004001BE" w:rsidR="00BE184C">
        <w:rPr>
          <w:color w:val="000000"/>
          <w:sz w:val="22"/>
          <w:szCs w:val="22"/>
        </w:rPr>
        <w:t xml:space="preserve"> of </w:t>
      </w:r>
      <w:r w:rsidRPr="004001BE" w:rsidR="00356C30">
        <w:rPr>
          <w:color w:val="000000"/>
          <w:sz w:val="22"/>
          <w:szCs w:val="22"/>
        </w:rPr>
        <w:t xml:space="preserve">TFS Main </w:t>
      </w:r>
      <w:r w:rsidRPr="004001BE" w:rsidR="009A4471">
        <w:rPr>
          <w:color w:val="000000"/>
          <w:sz w:val="22"/>
          <w:szCs w:val="22"/>
        </w:rPr>
        <w:t>Contact Operations</w:t>
      </w:r>
      <w:r w:rsidRPr="004001BE" w:rsidR="00BE184C">
        <w:rPr>
          <w:color w:val="000000"/>
          <w:sz w:val="22"/>
          <w:szCs w:val="22"/>
        </w:rPr>
        <w:t xml:space="preserve"> (</w:t>
      </w:r>
      <w:r w:rsidRPr="004001BE" w:rsidR="00EA167B">
        <w:rPr>
          <w:color w:val="000000"/>
          <w:sz w:val="22"/>
          <w:szCs w:val="22"/>
        </w:rPr>
        <w:t>3</w:t>
      </w:r>
      <w:r w:rsidRPr="004001BE" w:rsidR="00BE184C">
        <w:rPr>
          <w:color w:val="000000"/>
          <w:sz w:val="22"/>
          <w:szCs w:val="22"/>
        </w:rPr>
        <w:t>/</w:t>
      </w:r>
      <w:r w:rsidRPr="004001BE" w:rsidR="00017F37">
        <w:rPr>
          <w:color w:val="000000"/>
          <w:sz w:val="22"/>
          <w:szCs w:val="22"/>
        </w:rPr>
        <w:t>19</w:t>
      </w:r>
      <w:r w:rsidRPr="004001BE" w:rsidR="00BE184C">
        <w:rPr>
          <w:color w:val="000000"/>
          <w:sz w:val="22"/>
          <w:szCs w:val="22"/>
        </w:rPr>
        <w:t>/202</w:t>
      </w:r>
      <w:r w:rsidRPr="004001BE" w:rsidR="00017F37">
        <w:rPr>
          <w:color w:val="000000"/>
          <w:sz w:val="22"/>
          <w:szCs w:val="22"/>
        </w:rPr>
        <w:t>5</w:t>
      </w:r>
      <w:r w:rsidRPr="004001BE" w:rsidR="00BE184C">
        <w:rPr>
          <w:color w:val="000000"/>
          <w:sz w:val="22"/>
          <w:szCs w:val="22"/>
        </w:rPr>
        <w:t xml:space="preserve">), </w:t>
      </w:r>
      <w:r w:rsidRPr="004001BE" w:rsidR="00356C30">
        <w:rPr>
          <w:color w:val="000000"/>
          <w:sz w:val="22"/>
          <w:szCs w:val="22"/>
        </w:rPr>
        <w:t>Census and NCES</w:t>
      </w:r>
      <w:r w:rsidRPr="004001BE" w:rsidR="00BE184C">
        <w:rPr>
          <w:color w:val="000000"/>
          <w:sz w:val="22"/>
          <w:szCs w:val="22"/>
        </w:rPr>
        <w:t xml:space="preserve"> will</w:t>
      </w:r>
      <w:r w:rsidRPr="004001BE" w:rsidR="00356C30">
        <w:rPr>
          <w:color w:val="000000"/>
          <w:sz w:val="22"/>
          <w:szCs w:val="22"/>
        </w:rPr>
        <w:t xml:space="preserve"> jointly</w:t>
      </w:r>
      <w:r w:rsidRPr="004001BE" w:rsidR="00BE184C">
        <w:rPr>
          <w:color w:val="000000"/>
          <w:sz w:val="22"/>
          <w:szCs w:val="22"/>
        </w:rPr>
        <w:t xml:space="preserve"> evaluate the response rates for the TFS-2 (former teachers) and TFS-3 (current teachers) and determine whether a</w:t>
      </w:r>
      <w:r>
        <w:rPr>
          <w:color w:val="000000"/>
          <w:sz w:val="22"/>
          <w:szCs w:val="22"/>
        </w:rPr>
        <w:t>n</w:t>
      </w:r>
      <w:r w:rsidRPr="004001BE" w:rsidR="00BE184C">
        <w:rPr>
          <w:color w:val="000000"/>
          <w:sz w:val="22"/>
          <w:szCs w:val="22"/>
        </w:rPr>
        <w:t xml:space="preserve"> </w:t>
      </w:r>
      <w:r>
        <w:rPr>
          <w:color w:val="000000"/>
          <w:sz w:val="22"/>
          <w:szCs w:val="22"/>
        </w:rPr>
        <w:t xml:space="preserve">additional monetary </w:t>
      </w:r>
      <w:r w:rsidRPr="004001BE" w:rsidR="00BE184C">
        <w:rPr>
          <w:color w:val="000000"/>
          <w:sz w:val="22"/>
          <w:szCs w:val="22"/>
        </w:rPr>
        <w:t xml:space="preserve">incentive </w:t>
      </w:r>
      <w:r>
        <w:rPr>
          <w:color w:val="000000"/>
          <w:sz w:val="22"/>
          <w:szCs w:val="22"/>
        </w:rPr>
        <w:t>should be offered to nonresponding teachers</w:t>
      </w:r>
      <w:r w:rsidRPr="004001BE" w:rsidR="00BE184C">
        <w:rPr>
          <w:color w:val="000000"/>
          <w:sz w:val="22"/>
          <w:szCs w:val="22"/>
        </w:rPr>
        <w:t xml:space="preserve">. Specifically, if the TFS-2 response rate is less than </w:t>
      </w:r>
      <w:r w:rsidRPr="004001BE" w:rsidR="005034AD">
        <w:rPr>
          <w:color w:val="000000"/>
          <w:sz w:val="22"/>
          <w:szCs w:val="22"/>
        </w:rPr>
        <w:t>58</w:t>
      </w:r>
      <w:r w:rsidRPr="004001BE" w:rsidR="00BE184C">
        <w:rPr>
          <w:color w:val="000000"/>
          <w:sz w:val="22"/>
          <w:szCs w:val="22"/>
        </w:rPr>
        <w:t xml:space="preserve">%, </w:t>
      </w:r>
      <w:r>
        <w:rPr>
          <w:color w:val="000000"/>
          <w:sz w:val="22"/>
          <w:szCs w:val="22"/>
        </w:rPr>
        <w:t xml:space="preserve">nonresponding former </w:t>
      </w:r>
      <w:r w:rsidRPr="004001BE" w:rsidR="00BE184C">
        <w:rPr>
          <w:color w:val="000000"/>
          <w:sz w:val="22"/>
          <w:szCs w:val="22"/>
        </w:rPr>
        <w:t xml:space="preserve">teachers will be eligible to receive </w:t>
      </w:r>
      <w:r>
        <w:rPr>
          <w:color w:val="000000"/>
          <w:sz w:val="22"/>
          <w:szCs w:val="22"/>
        </w:rPr>
        <w:t xml:space="preserve">the additional </w:t>
      </w:r>
      <w:r w:rsidRPr="004001BE" w:rsidR="00BE184C">
        <w:rPr>
          <w:color w:val="000000"/>
          <w:sz w:val="22"/>
          <w:szCs w:val="22"/>
        </w:rPr>
        <w:t>incentive</w:t>
      </w:r>
      <w:r w:rsidR="001F1177">
        <w:rPr>
          <w:color w:val="000000"/>
          <w:sz w:val="22"/>
          <w:szCs w:val="22"/>
        </w:rPr>
        <w:t>, and i</w:t>
      </w:r>
      <w:r w:rsidRPr="004001BE" w:rsidR="00BE184C">
        <w:rPr>
          <w:color w:val="000000"/>
          <w:sz w:val="22"/>
          <w:szCs w:val="22"/>
        </w:rPr>
        <w:t xml:space="preserve">f the TFS-3 response rate is less than </w:t>
      </w:r>
      <w:r w:rsidRPr="004001BE" w:rsidR="005034AD">
        <w:rPr>
          <w:color w:val="000000"/>
          <w:sz w:val="22"/>
          <w:szCs w:val="22"/>
        </w:rPr>
        <w:t>64.5</w:t>
      </w:r>
      <w:r w:rsidRPr="004001BE" w:rsidR="00BE184C">
        <w:rPr>
          <w:color w:val="000000"/>
          <w:sz w:val="22"/>
          <w:szCs w:val="22"/>
        </w:rPr>
        <w:t xml:space="preserve">%, </w:t>
      </w:r>
      <w:r>
        <w:rPr>
          <w:color w:val="000000"/>
          <w:sz w:val="22"/>
          <w:szCs w:val="22"/>
        </w:rPr>
        <w:t xml:space="preserve">nonresponding current </w:t>
      </w:r>
      <w:r w:rsidRPr="004001BE" w:rsidR="00BE184C">
        <w:rPr>
          <w:color w:val="000000"/>
          <w:sz w:val="22"/>
          <w:szCs w:val="22"/>
        </w:rPr>
        <w:t xml:space="preserve">teachers will be eligible to receive </w:t>
      </w:r>
      <w:r>
        <w:rPr>
          <w:color w:val="000000"/>
          <w:sz w:val="22"/>
          <w:szCs w:val="22"/>
        </w:rPr>
        <w:t>the additional</w:t>
      </w:r>
      <w:r w:rsidRPr="004001BE" w:rsidR="00BE184C">
        <w:rPr>
          <w:color w:val="000000"/>
          <w:sz w:val="22"/>
          <w:szCs w:val="22"/>
        </w:rPr>
        <w:t xml:space="preserve"> incentive.</w:t>
      </w:r>
      <w:r w:rsidR="001F1177">
        <w:rPr>
          <w:color w:val="000000"/>
          <w:sz w:val="22"/>
          <w:szCs w:val="22"/>
        </w:rPr>
        <w:t xml:space="preserve"> Response rates will be evaluated both overall and by subdomain, for example, by school characteristic.</w:t>
      </w:r>
      <w:r w:rsidRPr="004001BE" w:rsidR="00BE184C">
        <w:rPr>
          <w:i/>
          <w:iCs/>
          <w:color w:val="000000"/>
          <w:sz w:val="22"/>
          <w:szCs w:val="22"/>
        </w:rPr>
        <w:t xml:space="preserve"> </w:t>
      </w:r>
      <w:r w:rsidRPr="004001BE" w:rsidR="00E9778C">
        <w:rPr>
          <w:sz w:val="22"/>
          <w:szCs w:val="18"/>
        </w:rPr>
        <w:t xml:space="preserve">Depending on whether response rates are </w:t>
      </w:r>
      <w:r>
        <w:rPr>
          <w:sz w:val="22"/>
          <w:szCs w:val="18"/>
        </w:rPr>
        <w:t>problematic</w:t>
      </w:r>
      <w:r w:rsidRPr="004001BE" w:rsidR="00E9778C">
        <w:rPr>
          <w:sz w:val="22"/>
          <w:szCs w:val="18"/>
        </w:rPr>
        <w:t xml:space="preserve"> overall or</w:t>
      </w:r>
      <w:r w:rsidRPr="004001BE" w:rsidR="0076707F">
        <w:rPr>
          <w:sz w:val="22"/>
          <w:szCs w:val="18"/>
        </w:rPr>
        <w:t xml:space="preserve"> only</w:t>
      </w:r>
      <w:r w:rsidRPr="004001BE" w:rsidR="00E9778C">
        <w:rPr>
          <w:sz w:val="22"/>
          <w:szCs w:val="18"/>
        </w:rPr>
        <w:t xml:space="preserve"> for certain </w:t>
      </w:r>
      <w:r w:rsidR="001F1177">
        <w:rPr>
          <w:sz w:val="22"/>
          <w:szCs w:val="18"/>
        </w:rPr>
        <w:t xml:space="preserve">subdomains, </w:t>
      </w:r>
      <w:r w:rsidRPr="004001BE" w:rsidR="00E9778C">
        <w:rPr>
          <w:sz w:val="22"/>
          <w:szCs w:val="18"/>
        </w:rPr>
        <w:t xml:space="preserve">the </w:t>
      </w:r>
      <w:r>
        <w:rPr>
          <w:sz w:val="22"/>
          <w:szCs w:val="18"/>
        </w:rPr>
        <w:t xml:space="preserve">additional incentive may be offered </w:t>
      </w:r>
      <w:r w:rsidR="002B6433">
        <w:rPr>
          <w:sz w:val="22"/>
          <w:szCs w:val="18"/>
        </w:rPr>
        <w:t xml:space="preserve">to </w:t>
      </w:r>
      <w:r w:rsidR="001F1177">
        <w:rPr>
          <w:sz w:val="22"/>
          <w:szCs w:val="18"/>
        </w:rPr>
        <w:t xml:space="preserve">all nonresponding </w:t>
      </w:r>
      <w:r w:rsidRPr="004001BE" w:rsidR="00E9778C">
        <w:rPr>
          <w:sz w:val="22"/>
          <w:szCs w:val="18"/>
        </w:rPr>
        <w:t xml:space="preserve">teachers </w:t>
      </w:r>
      <w:r w:rsidR="001F1177">
        <w:rPr>
          <w:sz w:val="22"/>
          <w:szCs w:val="18"/>
        </w:rPr>
        <w:t xml:space="preserve">or to nonresponding teachers in select subdomain(s). </w:t>
      </w:r>
    </w:p>
    <w:p w:rsidR="002B6433" w:rsidP="0015537F" w14:paraId="7E88BF25" w14:textId="77777777">
      <w:pPr>
        <w:rPr>
          <w:sz w:val="22"/>
          <w:szCs w:val="18"/>
        </w:rPr>
      </w:pPr>
    </w:p>
    <w:p w:rsidR="003F30DE" w:rsidRPr="00DC7187" w:rsidP="00A138B2" w14:paraId="2D2750CA" w14:textId="5587FA30">
      <w:pPr>
        <w:rPr>
          <w:snapToGrid/>
          <w:color w:val="000000"/>
          <w:sz w:val="22"/>
          <w:szCs w:val="22"/>
        </w:rPr>
      </w:pPr>
      <w:r>
        <w:rPr>
          <w:sz w:val="22"/>
          <w:szCs w:val="18"/>
        </w:rPr>
        <w:t>If executed, eligible teachers will be offered a</w:t>
      </w:r>
      <w:r w:rsidR="00A138B2">
        <w:rPr>
          <w:sz w:val="22"/>
          <w:szCs w:val="18"/>
        </w:rPr>
        <w:t xml:space="preserve"> promised</w:t>
      </w:r>
      <w:r>
        <w:rPr>
          <w:sz w:val="22"/>
          <w:szCs w:val="18"/>
        </w:rPr>
        <w:t xml:space="preserve"> $10 digital incentive</w:t>
      </w:r>
      <w:r w:rsidR="00A138B2">
        <w:rPr>
          <w:sz w:val="22"/>
          <w:szCs w:val="18"/>
        </w:rPr>
        <w:t>,</w:t>
      </w:r>
      <w:r>
        <w:rPr>
          <w:sz w:val="22"/>
          <w:szCs w:val="18"/>
        </w:rPr>
        <w:t xml:space="preserve"> contingent on response to their TFS</w:t>
      </w:r>
      <w:r w:rsidR="00AE2954">
        <w:rPr>
          <w:sz w:val="22"/>
          <w:szCs w:val="18"/>
        </w:rPr>
        <w:t>. It will be offered star</w:t>
      </w:r>
      <w:r>
        <w:rPr>
          <w:sz w:val="22"/>
          <w:szCs w:val="18"/>
        </w:rPr>
        <w:t>ting in mid-April at the time of the fourth mailout</w:t>
      </w:r>
      <w:r w:rsidR="00AE2954">
        <w:rPr>
          <w:sz w:val="22"/>
          <w:szCs w:val="18"/>
        </w:rPr>
        <w:t xml:space="preserve"> and in all contacts thereafter until the end of TFS data collection. </w:t>
      </w:r>
      <w:r>
        <w:rPr>
          <w:sz w:val="22"/>
          <w:szCs w:val="18"/>
        </w:rPr>
        <w:t xml:space="preserve">The </w:t>
      </w:r>
      <w:r w:rsidR="00A138B2">
        <w:rPr>
          <w:sz w:val="22"/>
          <w:szCs w:val="18"/>
        </w:rPr>
        <w:t xml:space="preserve">$10 </w:t>
      </w:r>
      <w:r>
        <w:rPr>
          <w:sz w:val="22"/>
          <w:szCs w:val="18"/>
        </w:rPr>
        <w:t>digital incentive, an e-gift card</w:t>
      </w:r>
      <w:r w:rsidR="00A138B2">
        <w:rPr>
          <w:sz w:val="22"/>
          <w:szCs w:val="18"/>
        </w:rPr>
        <w:t xml:space="preserve">, will be delivered to responding teachers by email </w:t>
      </w:r>
      <w:r>
        <w:rPr>
          <w:sz w:val="22"/>
          <w:szCs w:val="18"/>
        </w:rPr>
        <w:t xml:space="preserve">upon Census’ receipt of </w:t>
      </w:r>
      <w:r w:rsidR="00A138B2">
        <w:rPr>
          <w:sz w:val="22"/>
          <w:szCs w:val="18"/>
        </w:rPr>
        <w:t xml:space="preserve">their </w:t>
      </w:r>
      <w:r>
        <w:rPr>
          <w:sz w:val="22"/>
          <w:szCs w:val="18"/>
        </w:rPr>
        <w:t>completed TFS</w:t>
      </w:r>
      <w:r w:rsidR="00AE2954">
        <w:rPr>
          <w:sz w:val="22"/>
          <w:szCs w:val="18"/>
        </w:rPr>
        <w:t>, either via the TFS web instrument or paper questionnaire</w:t>
      </w:r>
      <w:r>
        <w:rPr>
          <w:sz w:val="22"/>
          <w:szCs w:val="18"/>
        </w:rPr>
        <w:t>.</w:t>
      </w:r>
      <w:r w:rsidR="00AE2954">
        <w:rPr>
          <w:sz w:val="22"/>
          <w:szCs w:val="18"/>
        </w:rPr>
        <w:t xml:space="preserve"> </w:t>
      </w:r>
      <w:r w:rsidR="00A138B2">
        <w:rPr>
          <w:sz w:val="22"/>
          <w:szCs w:val="18"/>
        </w:rPr>
        <w:t>The email</w:t>
      </w:r>
      <w:r w:rsidR="00AE2954">
        <w:rPr>
          <w:sz w:val="22"/>
          <w:szCs w:val="18"/>
        </w:rPr>
        <w:t xml:space="preserve"> will be sent to the email address entered by the respondent in the contact information section of the completed TFS questionnaire. It</w:t>
      </w:r>
      <w:r w:rsidR="00A138B2">
        <w:rPr>
          <w:sz w:val="22"/>
          <w:szCs w:val="18"/>
        </w:rPr>
        <w:t xml:space="preserve"> will thank respondents for their participation in the TFS and will include a personal URL to redeem the </w:t>
      </w:r>
      <w:r w:rsidR="00AE2954">
        <w:rPr>
          <w:sz w:val="22"/>
          <w:szCs w:val="18"/>
        </w:rPr>
        <w:t xml:space="preserve">$10 </w:t>
      </w:r>
      <w:r w:rsidR="00E531E9">
        <w:rPr>
          <w:sz w:val="22"/>
          <w:szCs w:val="18"/>
        </w:rPr>
        <w:t xml:space="preserve">e-gift card </w:t>
      </w:r>
      <w:r w:rsidR="00A138B2">
        <w:rPr>
          <w:sz w:val="22"/>
          <w:szCs w:val="18"/>
        </w:rPr>
        <w:t>by selecting from a list</w:t>
      </w:r>
      <w:r w:rsidR="00E531E9">
        <w:rPr>
          <w:sz w:val="22"/>
          <w:szCs w:val="18"/>
        </w:rPr>
        <w:t xml:space="preserve"> of participating retailers. </w:t>
      </w:r>
    </w:p>
    <w:p w:rsidR="003F30DE" w:rsidRPr="00DC7187" w:rsidP="001F673D" w14:paraId="03D35DF2" w14:textId="77777777">
      <w:pPr>
        <w:rPr>
          <w:sz w:val="22"/>
          <w:szCs w:val="18"/>
        </w:rPr>
      </w:pPr>
    </w:p>
    <w:p w:rsidR="00303DB4" w:rsidRPr="00DC7187" w:rsidP="00B508C8" w14:paraId="33D149FD" w14:textId="334B991C">
      <w:pPr>
        <w:pStyle w:val="Heading2"/>
        <w:rPr>
          <w:sz w:val="22"/>
          <w:szCs w:val="18"/>
        </w:rPr>
      </w:pPr>
      <w:bookmarkStart w:id="42" w:name="_Toc57039286"/>
      <w:bookmarkStart w:id="43" w:name="_Toc187144074"/>
      <w:r w:rsidRPr="00DC7187">
        <w:rPr>
          <w:sz w:val="22"/>
          <w:szCs w:val="18"/>
        </w:rPr>
        <w:t>B.3.</w:t>
      </w:r>
      <w:r w:rsidRPr="00DC7187" w:rsidR="003F30DE">
        <w:rPr>
          <w:sz w:val="22"/>
          <w:szCs w:val="18"/>
        </w:rPr>
        <w:t>4</w:t>
      </w:r>
      <w:r w:rsidRPr="00DC7187">
        <w:rPr>
          <w:sz w:val="22"/>
          <w:szCs w:val="18"/>
        </w:rPr>
        <w:tab/>
        <w:t>Extensive Follow-up (by mail, email, and telephone) of Non-Respondents</w:t>
      </w:r>
      <w:bookmarkEnd w:id="42"/>
      <w:bookmarkEnd w:id="43"/>
    </w:p>
    <w:p w:rsidR="00084255" w:rsidRPr="00DC7187" w:rsidP="008B5B06" w14:paraId="585B09EF" w14:textId="3C4CA4B3">
      <w:pPr>
        <w:rPr>
          <w:sz w:val="22"/>
          <w:szCs w:val="18"/>
        </w:rPr>
      </w:pPr>
      <w:r w:rsidRPr="00DC7187">
        <w:rPr>
          <w:sz w:val="22"/>
          <w:szCs w:val="18"/>
        </w:rPr>
        <w:t>For the 202</w:t>
      </w:r>
      <w:r w:rsidR="00C95A58">
        <w:rPr>
          <w:sz w:val="22"/>
          <w:szCs w:val="18"/>
        </w:rPr>
        <w:t>4</w:t>
      </w:r>
      <w:r w:rsidRPr="00DC7187">
        <w:rPr>
          <w:sz w:val="22"/>
          <w:szCs w:val="18"/>
        </w:rPr>
        <w:t>-2</w:t>
      </w:r>
      <w:r w:rsidR="00C95A58">
        <w:rPr>
          <w:sz w:val="22"/>
          <w:szCs w:val="18"/>
        </w:rPr>
        <w:t>5</w:t>
      </w:r>
      <w:r w:rsidRPr="00DC7187">
        <w:rPr>
          <w:sz w:val="22"/>
          <w:szCs w:val="18"/>
        </w:rPr>
        <w:t xml:space="preserve"> TFS, the Census Bureau will use a variety of techniques to increase response levels including:</w:t>
      </w:r>
    </w:p>
    <w:p w:rsidR="00084255" w:rsidRPr="00DC7187" w:rsidP="008B5B06" w14:paraId="3798F462" w14:textId="77777777">
      <w:pPr>
        <w:rPr>
          <w:sz w:val="22"/>
          <w:szCs w:val="18"/>
        </w:rPr>
      </w:pPr>
    </w:p>
    <w:p w:rsidR="00084255" w:rsidRPr="00DC7187" w:rsidP="008B5B06" w14:paraId="01E43649" w14:textId="7CB2CB4B">
      <w:pPr>
        <w:ind w:left="432"/>
        <w:rPr>
          <w:sz w:val="22"/>
          <w:szCs w:val="18"/>
        </w:rPr>
      </w:pPr>
      <w:r w:rsidRPr="00DC7187">
        <w:rPr>
          <w:sz w:val="22"/>
          <w:szCs w:val="18"/>
        </w:rPr>
        <w:t xml:space="preserve">(a) Using </w:t>
      </w:r>
      <w:r w:rsidR="00A5412F">
        <w:rPr>
          <w:sz w:val="22"/>
          <w:szCs w:val="18"/>
        </w:rPr>
        <w:t>multiple</w:t>
      </w:r>
      <w:r w:rsidRPr="00DC7187">
        <w:rPr>
          <w:sz w:val="22"/>
          <w:szCs w:val="18"/>
        </w:rPr>
        <w:t xml:space="preserve"> modes</w:t>
      </w:r>
      <w:r w:rsidR="00A5412F">
        <w:rPr>
          <w:sz w:val="22"/>
          <w:szCs w:val="18"/>
        </w:rPr>
        <w:t xml:space="preserve"> of contact and offering multiple modes of response</w:t>
      </w:r>
      <w:r w:rsidRPr="00DC7187">
        <w:rPr>
          <w:sz w:val="22"/>
          <w:szCs w:val="18"/>
        </w:rPr>
        <w:t>— self-administered web-based, telephone interviewer-assisted web-based, and self-administered mail instruments, as needed, to maximize response levels.</w:t>
      </w:r>
    </w:p>
    <w:p w:rsidR="00084255" w:rsidRPr="00DC7187" w:rsidP="008B5B06" w14:paraId="2B034A77" w14:textId="77777777">
      <w:pPr>
        <w:ind w:left="432"/>
        <w:rPr>
          <w:sz w:val="22"/>
          <w:szCs w:val="18"/>
        </w:rPr>
      </w:pPr>
    </w:p>
    <w:p w:rsidR="00084255" w:rsidRPr="00DC7187" w:rsidP="008B5B06" w14:paraId="384C76B3" w14:textId="1ECD0B3A">
      <w:pPr>
        <w:ind w:left="432"/>
        <w:rPr>
          <w:sz w:val="22"/>
          <w:szCs w:val="18"/>
        </w:rPr>
      </w:pPr>
      <w:r w:rsidRPr="00DC7187">
        <w:rPr>
          <w:sz w:val="22"/>
          <w:szCs w:val="18"/>
        </w:rPr>
        <w:t xml:space="preserve">(b) Allocating adequate time and resources to respondent tracking efforts to ensure that a high percentage of movers and leavers are successfully located and surveyed. A variety of techniques will be employed to locate </w:t>
      </w:r>
      <w:r w:rsidRPr="00DC7187">
        <w:rPr>
          <w:sz w:val="22"/>
          <w:szCs w:val="18"/>
        </w:rPr>
        <w:t>survey respondents. Potential tracking sources include: (</w:t>
      </w:r>
      <w:r w:rsidRPr="00DC7187" w:rsidR="00B06DD0">
        <w:rPr>
          <w:sz w:val="22"/>
          <w:szCs w:val="18"/>
        </w:rPr>
        <w:t>a</w:t>
      </w:r>
      <w:r w:rsidRPr="00DC7187">
        <w:rPr>
          <w:sz w:val="22"/>
          <w:szCs w:val="18"/>
        </w:rPr>
        <w:t>) leads provided by school principals or their designees; (</w:t>
      </w:r>
      <w:r w:rsidRPr="00DC7187" w:rsidR="00B06DD0">
        <w:rPr>
          <w:sz w:val="22"/>
          <w:szCs w:val="18"/>
        </w:rPr>
        <w:t>b</w:t>
      </w:r>
      <w:r w:rsidRPr="00DC7187">
        <w:rPr>
          <w:sz w:val="22"/>
          <w:szCs w:val="18"/>
        </w:rPr>
        <w:t xml:space="preserve">) </w:t>
      </w:r>
      <w:r w:rsidRPr="00DC7187" w:rsidR="00B06DD0">
        <w:rPr>
          <w:sz w:val="22"/>
          <w:szCs w:val="18"/>
        </w:rPr>
        <w:t xml:space="preserve">clerical operations using </w:t>
      </w:r>
      <w:r w:rsidRPr="00DC7187">
        <w:rPr>
          <w:sz w:val="22"/>
          <w:szCs w:val="18"/>
        </w:rPr>
        <w:t>electronic databases and internet searches; and (</w:t>
      </w:r>
      <w:r w:rsidRPr="00DC7187" w:rsidR="00B06DD0">
        <w:rPr>
          <w:sz w:val="22"/>
          <w:szCs w:val="18"/>
        </w:rPr>
        <w:t>c</w:t>
      </w:r>
      <w:r w:rsidRPr="00DC7187">
        <w:rPr>
          <w:sz w:val="22"/>
          <w:szCs w:val="18"/>
        </w:rPr>
        <w:t>) post office for possible forwarding addresses.</w:t>
      </w:r>
    </w:p>
    <w:p w:rsidR="00084255" w:rsidRPr="00DC7187" w:rsidP="008B5B06" w14:paraId="605AD603" w14:textId="77777777">
      <w:pPr>
        <w:rPr>
          <w:sz w:val="22"/>
          <w:szCs w:val="18"/>
        </w:rPr>
      </w:pPr>
    </w:p>
    <w:p w:rsidR="00084255" w:rsidRPr="00DC7187" w:rsidP="00356C30" w14:paraId="17D108C2" w14:textId="3E76FD69">
      <w:pPr>
        <w:rPr>
          <w:sz w:val="22"/>
          <w:szCs w:val="18"/>
        </w:rPr>
      </w:pPr>
      <w:r w:rsidRPr="00DC7187">
        <w:rPr>
          <w:sz w:val="22"/>
          <w:szCs w:val="18"/>
        </w:rPr>
        <w:t xml:space="preserve">To permit sufficient time to locate sampled </w:t>
      </w:r>
      <w:r w:rsidR="008D21C2">
        <w:rPr>
          <w:sz w:val="22"/>
          <w:szCs w:val="18"/>
        </w:rPr>
        <w:t>teachers</w:t>
      </w:r>
      <w:r w:rsidRPr="00DC7187" w:rsidR="008D21C2">
        <w:rPr>
          <w:sz w:val="22"/>
          <w:szCs w:val="18"/>
        </w:rPr>
        <w:t xml:space="preserve"> </w:t>
      </w:r>
      <w:r w:rsidRPr="00DC7187">
        <w:rPr>
          <w:sz w:val="22"/>
          <w:szCs w:val="18"/>
        </w:rPr>
        <w:t>who left their teaching position in the previous yea</w:t>
      </w:r>
      <w:r w:rsidR="00356C30">
        <w:rPr>
          <w:sz w:val="22"/>
          <w:szCs w:val="18"/>
        </w:rPr>
        <w:t>r, including "movers" and "leavers</w:t>
      </w:r>
      <w:r w:rsidR="00DF6B03">
        <w:rPr>
          <w:sz w:val="22"/>
          <w:szCs w:val="18"/>
        </w:rPr>
        <w:t>,</w:t>
      </w:r>
      <w:r w:rsidR="00356C30">
        <w:rPr>
          <w:sz w:val="22"/>
          <w:szCs w:val="18"/>
        </w:rPr>
        <w:t xml:space="preserve">" data collection will begin with an early TFS </w:t>
      </w:r>
      <w:r w:rsidR="006C7FB9">
        <w:rPr>
          <w:sz w:val="22"/>
          <w:szCs w:val="18"/>
        </w:rPr>
        <w:t xml:space="preserve">invitation by email </w:t>
      </w:r>
      <w:r w:rsidR="00356C30">
        <w:rPr>
          <w:sz w:val="22"/>
          <w:szCs w:val="18"/>
        </w:rPr>
        <w:t xml:space="preserve">during the fall of 2024. Additionally, to allow for ample contact opportunities and </w:t>
      </w:r>
      <w:r w:rsidRPr="00DC7187">
        <w:rPr>
          <w:sz w:val="22"/>
          <w:szCs w:val="18"/>
        </w:rPr>
        <w:t xml:space="preserve">thorough follow-up </w:t>
      </w:r>
      <w:r w:rsidR="00356C30">
        <w:rPr>
          <w:sz w:val="22"/>
          <w:szCs w:val="18"/>
        </w:rPr>
        <w:t xml:space="preserve">for all TFS </w:t>
      </w:r>
      <w:r w:rsidRPr="00DC7187">
        <w:rPr>
          <w:sz w:val="22"/>
          <w:szCs w:val="18"/>
        </w:rPr>
        <w:t xml:space="preserve">non-respondents, </w:t>
      </w:r>
      <w:r w:rsidRPr="00DC7187" w:rsidR="00B06DD0">
        <w:rPr>
          <w:sz w:val="22"/>
          <w:szCs w:val="18"/>
        </w:rPr>
        <w:t xml:space="preserve">the </w:t>
      </w:r>
      <w:r w:rsidR="006C7FB9">
        <w:rPr>
          <w:sz w:val="22"/>
          <w:szCs w:val="18"/>
        </w:rPr>
        <w:t xml:space="preserve">Main </w:t>
      </w:r>
      <w:r w:rsidRPr="00DC7187" w:rsidR="00B06DD0">
        <w:rPr>
          <w:sz w:val="22"/>
          <w:szCs w:val="18"/>
        </w:rPr>
        <w:t>TFS</w:t>
      </w:r>
      <w:r w:rsidRPr="00DC7187">
        <w:rPr>
          <w:sz w:val="22"/>
          <w:szCs w:val="18"/>
        </w:rPr>
        <w:t xml:space="preserve"> </w:t>
      </w:r>
      <w:r w:rsidR="006C7FB9">
        <w:rPr>
          <w:sz w:val="22"/>
          <w:szCs w:val="18"/>
        </w:rPr>
        <w:t>Contact Operations</w:t>
      </w:r>
      <w:r w:rsidRPr="00DC7187">
        <w:rPr>
          <w:sz w:val="22"/>
          <w:szCs w:val="18"/>
        </w:rPr>
        <w:t xml:space="preserve"> will begin in January 20</w:t>
      </w:r>
      <w:r w:rsidRPr="00DC7187" w:rsidR="00B06DD0">
        <w:rPr>
          <w:sz w:val="22"/>
          <w:szCs w:val="18"/>
        </w:rPr>
        <w:t>2</w:t>
      </w:r>
      <w:r w:rsidR="008D21C2">
        <w:rPr>
          <w:sz w:val="22"/>
          <w:szCs w:val="18"/>
        </w:rPr>
        <w:t>5</w:t>
      </w:r>
      <w:r w:rsidRPr="00DC7187" w:rsidR="00B06DD0">
        <w:rPr>
          <w:sz w:val="22"/>
          <w:szCs w:val="18"/>
        </w:rPr>
        <w:t xml:space="preserve">, allowing six </w:t>
      </w:r>
      <w:r w:rsidRPr="00DC7187">
        <w:rPr>
          <w:sz w:val="22"/>
          <w:szCs w:val="18"/>
        </w:rPr>
        <w:t>months for all data collection activities related to teachers.</w:t>
      </w:r>
    </w:p>
    <w:p w:rsidR="00B06DD0" w:rsidRPr="00DC7187" w:rsidP="008B5B06" w14:paraId="41D14B93" w14:textId="77777777">
      <w:pPr>
        <w:rPr>
          <w:sz w:val="22"/>
          <w:szCs w:val="18"/>
        </w:rPr>
      </w:pPr>
    </w:p>
    <w:p w:rsidR="00084255" w:rsidRPr="00DC7187" w:rsidP="008B5B06" w14:paraId="55F19E9C" w14:textId="243CB5C4">
      <w:pPr>
        <w:rPr>
          <w:sz w:val="22"/>
          <w:szCs w:val="22"/>
        </w:rPr>
      </w:pPr>
      <w:r w:rsidRPr="00DC7187">
        <w:rPr>
          <w:sz w:val="22"/>
          <w:szCs w:val="22"/>
        </w:rPr>
        <w:t xml:space="preserve">For the PFS, the Census Bureau will also utilize </w:t>
      </w:r>
      <w:r w:rsidR="00DF6B03">
        <w:rPr>
          <w:sz w:val="22"/>
          <w:szCs w:val="22"/>
        </w:rPr>
        <w:t>multiple</w:t>
      </w:r>
      <w:r w:rsidRPr="00DC7187" w:rsidR="00DF6B03">
        <w:rPr>
          <w:sz w:val="22"/>
          <w:szCs w:val="22"/>
        </w:rPr>
        <w:t xml:space="preserve"> </w:t>
      </w:r>
      <w:r w:rsidRPr="00DC7187">
        <w:rPr>
          <w:sz w:val="22"/>
          <w:szCs w:val="22"/>
        </w:rPr>
        <w:t xml:space="preserve">survey modes – </w:t>
      </w:r>
      <w:r w:rsidRPr="00DC7187" w:rsidR="00E248B6">
        <w:rPr>
          <w:sz w:val="22"/>
          <w:szCs w:val="22"/>
        </w:rPr>
        <w:t>a web-based Qualtrics instrument</w:t>
      </w:r>
      <w:r w:rsidR="00E248B6">
        <w:rPr>
          <w:sz w:val="22"/>
          <w:szCs w:val="22"/>
        </w:rPr>
        <w:t>,</w:t>
      </w:r>
      <w:r w:rsidRPr="00DC7187" w:rsidR="00E248B6">
        <w:rPr>
          <w:sz w:val="22"/>
          <w:szCs w:val="22"/>
        </w:rPr>
        <w:t xml:space="preserve"> </w:t>
      </w:r>
      <w:r w:rsidRPr="00DC7187">
        <w:rPr>
          <w:sz w:val="22"/>
          <w:szCs w:val="22"/>
        </w:rPr>
        <w:t>self-administered mail instruments</w:t>
      </w:r>
      <w:r w:rsidRPr="00DC7187" w:rsidR="00115AF4">
        <w:rPr>
          <w:sz w:val="22"/>
          <w:szCs w:val="22"/>
        </w:rPr>
        <w:t xml:space="preserve">, </w:t>
      </w:r>
      <w:r w:rsidR="00E248B6">
        <w:rPr>
          <w:sz w:val="22"/>
          <w:szCs w:val="22"/>
        </w:rPr>
        <w:t xml:space="preserve">text messaging, </w:t>
      </w:r>
      <w:r w:rsidRPr="00DC7187">
        <w:rPr>
          <w:sz w:val="22"/>
          <w:szCs w:val="22"/>
        </w:rPr>
        <w:t>and telephone, as needed, to maximize response levels. Nonrespondents will receive at least two reminders</w:t>
      </w:r>
      <w:r w:rsidR="00FB1700">
        <w:rPr>
          <w:sz w:val="22"/>
          <w:szCs w:val="22"/>
        </w:rPr>
        <w:t>, either by mail, email, or text message (if applicable)</w:t>
      </w:r>
      <w:r w:rsidRPr="00DC7187">
        <w:rPr>
          <w:sz w:val="22"/>
          <w:szCs w:val="22"/>
        </w:rPr>
        <w:t>. Given the brevity of the instrument, we anticipate response rates at or above 90% with this approach</w:t>
      </w:r>
      <w:r w:rsidRPr="00DC7187" w:rsidR="00B06DD0">
        <w:rPr>
          <w:sz w:val="22"/>
          <w:szCs w:val="22"/>
        </w:rPr>
        <w:t>, as with past cycles of the survey.</w:t>
      </w:r>
    </w:p>
    <w:p w:rsidR="0045667D" w:rsidRPr="00DC7187" w:rsidP="00794F85" w14:paraId="2B4B8763" w14:textId="77777777">
      <w:pPr>
        <w:rPr>
          <w:sz w:val="22"/>
          <w:szCs w:val="18"/>
        </w:rPr>
      </w:pPr>
    </w:p>
    <w:p w:rsidR="0045667D" w:rsidRPr="00DC7187" w:rsidP="0045667D" w14:paraId="0B959B7D" w14:textId="20F96B1D">
      <w:pPr>
        <w:pStyle w:val="Heading1"/>
        <w:keepNext w:val="0"/>
        <w:spacing w:after="120"/>
        <w:rPr>
          <w:sz w:val="22"/>
          <w:szCs w:val="22"/>
        </w:rPr>
      </w:pPr>
      <w:bookmarkStart w:id="44" w:name="_Toc57039287"/>
      <w:bookmarkStart w:id="45" w:name="_Toc187144075"/>
      <w:r w:rsidRPr="00DC7187">
        <w:rPr>
          <w:sz w:val="22"/>
          <w:szCs w:val="22"/>
        </w:rPr>
        <w:t>B.4</w:t>
      </w:r>
      <w:r w:rsidRPr="00DC7187">
        <w:rPr>
          <w:sz w:val="22"/>
          <w:szCs w:val="22"/>
        </w:rPr>
        <w:tab/>
        <w:t>Tests of Procedures and Methods</w:t>
      </w:r>
      <w:bookmarkEnd w:id="44"/>
      <w:bookmarkEnd w:id="45"/>
    </w:p>
    <w:p w:rsidR="00420BDD" w:rsidRPr="00DC7187" w:rsidP="008B5B06" w14:paraId="4E3B5B33" w14:textId="4DEB9B94">
      <w:pPr>
        <w:rPr>
          <w:sz w:val="22"/>
          <w:szCs w:val="18"/>
        </w:rPr>
      </w:pPr>
      <w:bookmarkStart w:id="46" w:name="_Toc530063262"/>
      <w:bookmarkStart w:id="47" w:name="_Toc530121907"/>
      <w:r w:rsidRPr="00DC7187">
        <w:rPr>
          <w:sz w:val="22"/>
          <w:szCs w:val="18"/>
        </w:rPr>
        <w:t xml:space="preserve">NCES is currently considering options for tests of methods, materials, and procedures to be conducted as part of </w:t>
      </w:r>
      <w:r w:rsidRPr="00DC7187">
        <w:rPr>
          <w:sz w:val="22"/>
          <w:szCs w:val="18"/>
        </w:rPr>
        <w:t>the 202</w:t>
      </w:r>
      <w:r w:rsidR="00774A2F">
        <w:rPr>
          <w:sz w:val="22"/>
          <w:szCs w:val="18"/>
        </w:rPr>
        <w:t>4</w:t>
      </w:r>
      <w:r w:rsidRPr="00DC7187">
        <w:rPr>
          <w:sz w:val="22"/>
          <w:szCs w:val="18"/>
        </w:rPr>
        <w:t>-2</w:t>
      </w:r>
      <w:r w:rsidR="00774A2F">
        <w:rPr>
          <w:sz w:val="22"/>
          <w:szCs w:val="18"/>
        </w:rPr>
        <w:t>5</w:t>
      </w:r>
      <w:r w:rsidRPr="00DC7187">
        <w:rPr>
          <w:sz w:val="22"/>
          <w:szCs w:val="18"/>
        </w:rPr>
        <w:t xml:space="preserve"> </w:t>
      </w:r>
      <w:r w:rsidRPr="00DC7187">
        <w:rPr>
          <w:sz w:val="22"/>
          <w:szCs w:val="18"/>
        </w:rPr>
        <w:t xml:space="preserve">NTPS </w:t>
      </w:r>
      <w:r w:rsidRPr="00DC7187">
        <w:rPr>
          <w:sz w:val="22"/>
          <w:szCs w:val="18"/>
        </w:rPr>
        <w:t xml:space="preserve">Follow-up Surveys, </w:t>
      </w:r>
      <w:r w:rsidRPr="00DC7187">
        <w:rPr>
          <w:sz w:val="22"/>
          <w:szCs w:val="18"/>
        </w:rPr>
        <w:t>with the goal to increase response in the 202</w:t>
      </w:r>
      <w:r w:rsidR="00774A2F">
        <w:rPr>
          <w:sz w:val="22"/>
          <w:szCs w:val="18"/>
        </w:rPr>
        <w:t>4</w:t>
      </w:r>
      <w:r w:rsidRPr="00DC7187">
        <w:rPr>
          <w:sz w:val="22"/>
          <w:szCs w:val="18"/>
        </w:rPr>
        <w:t>-2</w:t>
      </w:r>
      <w:r w:rsidR="00774A2F">
        <w:rPr>
          <w:sz w:val="22"/>
          <w:szCs w:val="18"/>
        </w:rPr>
        <w:t>5</w:t>
      </w:r>
      <w:r w:rsidRPr="00DC7187">
        <w:rPr>
          <w:sz w:val="22"/>
          <w:szCs w:val="18"/>
        </w:rPr>
        <w:t xml:space="preserve"> collection.</w:t>
      </w:r>
      <w:bookmarkEnd w:id="46"/>
      <w:bookmarkEnd w:id="47"/>
      <w:r w:rsidRPr="00DC7187">
        <w:rPr>
          <w:sz w:val="22"/>
          <w:szCs w:val="18"/>
        </w:rPr>
        <w:t xml:space="preserve"> Each test </w:t>
      </w:r>
      <w:r w:rsidRPr="00DC7187">
        <w:rPr>
          <w:sz w:val="22"/>
          <w:szCs w:val="18"/>
        </w:rPr>
        <w:t>is described in detail below.</w:t>
      </w:r>
    </w:p>
    <w:p w:rsidR="008B5B06" w:rsidRPr="00DC7187" w:rsidP="008B5B06" w14:paraId="08AC2C84" w14:textId="77777777">
      <w:pPr>
        <w:rPr>
          <w:sz w:val="22"/>
          <w:szCs w:val="18"/>
        </w:rPr>
      </w:pPr>
    </w:p>
    <w:p w:rsidR="003F30DE" w:rsidRPr="00DC7187" w:rsidP="00B508C8" w14:paraId="11D93974" w14:textId="76234A3E">
      <w:pPr>
        <w:pStyle w:val="Heading2"/>
        <w:rPr>
          <w:sz w:val="22"/>
          <w:szCs w:val="18"/>
        </w:rPr>
      </w:pPr>
      <w:bookmarkStart w:id="48" w:name="_Toc57039288"/>
      <w:bookmarkStart w:id="49" w:name="_Toc187144076"/>
      <w:r w:rsidRPr="00D750BA">
        <w:rPr>
          <w:sz w:val="22"/>
          <w:szCs w:val="18"/>
        </w:rPr>
        <w:t xml:space="preserve">B.4.1 Testing the use of text messages in </w:t>
      </w:r>
      <w:r w:rsidRPr="00675CC0" w:rsidR="000F6D47">
        <w:rPr>
          <w:sz w:val="22"/>
          <w:szCs w:val="18"/>
        </w:rPr>
        <w:t>P</w:t>
      </w:r>
      <w:r w:rsidRPr="00D750BA">
        <w:rPr>
          <w:sz w:val="22"/>
          <w:szCs w:val="18"/>
        </w:rPr>
        <w:t>FS</w:t>
      </w:r>
      <w:bookmarkEnd w:id="48"/>
      <w:bookmarkEnd w:id="49"/>
    </w:p>
    <w:p w:rsidR="00A52D87" w:rsidRPr="00DC7187" w:rsidP="00C45BEA" w14:paraId="7CAE240D" w14:textId="2D62650A">
      <w:pPr>
        <w:pStyle w:val="pf0"/>
        <w:rPr>
          <w:sz w:val="22"/>
          <w:szCs w:val="18"/>
        </w:rPr>
      </w:pPr>
      <w:r w:rsidRPr="00DC7187">
        <w:rPr>
          <w:sz w:val="22"/>
          <w:szCs w:val="18"/>
        </w:rPr>
        <w:t>For</w:t>
      </w:r>
      <w:r w:rsidRPr="00DC7187" w:rsidR="007627D9">
        <w:rPr>
          <w:sz w:val="22"/>
          <w:szCs w:val="18"/>
        </w:rPr>
        <w:t xml:space="preserve"> the</w:t>
      </w:r>
      <w:r w:rsidRPr="00DC7187">
        <w:rPr>
          <w:sz w:val="22"/>
          <w:szCs w:val="18"/>
        </w:rPr>
        <w:t xml:space="preserve"> 202</w:t>
      </w:r>
      <w:r w:rsidR="00D63CB0">
        <w:rPr>
          <w:sz w:val="22"/>
          <w:szCs w:val="18"/>
        </w:rPr>
        <w:t>4</w:t>
      </w:r>
      <w:r w:rsidRPr="00DC7187">
        <w:rPr>
          <w:sz w:val="22"/>
          <w:szCs w:val="18"/>
        </w:rPr>
        <w:t>-2</w:t>
      </w:r>
      <w:r w:rsidR="00D63CB0">
        <w:rPr>
          <w:sz w:val="22"/>
          <w:szCs w:val="18"/>
        </w:rPr>
        <w:t>5</w:t>
      </w:r>
      <w:r w:rsidRPr="00DC7187">
        <w:rPr>
          <w:sz w:val="22"/>
          <w:szCs w:val="18"/>
        </w:rPr>
        <w:t xml:space="preserve"> data collection cycle of the PFS, NCES will explore </w:t>
      </w:r>
      <w:r w:rsidR="008C1CD6">
        <w:rPr>
          <w:sz w:val="22"/>
          <w:szCs w:val="18"/>
        </w:rPr>
        <w:t xml:space="preserve">two uses of </w:t>
      </w:r>
      <w:r w:rsidRPr="00DC7187">
        <w:rPr>
          <w:sz w:val="22"/>
          <w:szCs w:val="18"/>
        </w:rPr>
        <w:t xml:space="preserve">text messaging </w:t>
      </w:r>
      <w:r w:rsidR="008C1CD6">
        <w:rPr>
          <w:sz w:val="22"/>
          <w:szCs w:val="18"/>
        </w:rPr>
        <w:t>for administering the PFS.</w:t>
      </w:r>
      <w:r w:rsidRPr="00DC7187">
        <w:rPr>
          <w:sz w:val="22"/>
          <w:szCs w:val="18"/>
        </w:rPr>
        <w:t xml:space="preserve"> </w:t>
      </w:r>
      <w:r w:rsidRPr="001B78A9" w:rsidR="001B78A9">
        <w:rPr>
          <w:sz w:val="22"/>
        </w:rPr>
        <w:t>This builds upon an experiment conducted in the previous NTPS and PFS collections. For the 2020-21 NTPS, about half of principals provided their cell phone number, about half of whom selected a checkbox to opt</w:t>
      </w:r>
      <w:r w:rsidR="00C45BEA">
        <w:rPr>
          <w:sz w:val="22"/>
        </w:rPr>
        <w:t>-</w:t>
      </w:r>
      <w:r w:rsidRPr="001B78A9" w:rsidR="001B78A9">
        <w:rPr>
          <w:sz w:val="22"/>
        </w:rPr>
        <w:t>in to future contact by text message. These principals were randomly assigned to different contact and survey administration modes for the 2021-22 PFS, and we found that response rates were higher when text surveys were added alongside paper questionnaires, and principals who were offered both modes completed the survey more quickly.</w:t>
      </w:r>
    </w:p>
    <w:p w:rsidR="00A57978" w:rsidP="004C079A" w14:paraId="13F26FA5" w14:textId="75EB9E82">
      <w:pPr>
        <w:rPr>
          <w:sz w:val="22"/>
          <w:szCs w:val="18"/>
        </w:rPr>
      </w:pPr>
      <w:r w:rsidRPr="00DC7187">
        <w:rPr>
          <w:sz w:val="22"/>
          <w:szCs w:val="18"/>
        </w:rPr>
        <w:t xml:space="preserve">PFS data collection </w:t>
      </w:r>
      <w:r w:rsidR="00D750BA">
        <w:rPr>
          <w:sz w:val="22"/>
          <w:szCs w:val="18"/>
        </w:rPr>
        <w:t xml:space="preserve">will </w:t>
      </w:r>
      <w:r w:rsidRPr="00DC7187">
        <w:rPr>
          <w:sz w:val="22"/>
          <w:szCs w:val="18"/>
        </w:rPr>
        <w:t>begin with contacts to principal</w:t>
      </w:r>
      <w:r w:rsidR="00183233">
        <w:rPr>
          <w:sz w:val="22"/>
          <w:szCs w:val="18"/>
        </w:rPr>
        <w:t>s directly using the personal contact information they provided on the NTPS</w:t>
      </w:r>
      <w:r w:rsidR="00BC42B5">
        <w:rPr>
          <w:sz w:val="22"/>
          <w:szCs w:val="18"/>
        </w:rPr>
        <w:t xml:space="preserve"> Principal Questionnaire. If the principal is not responsive, data collection</w:t>
      </w:r>
      <w:r w:rsidR="00183233">
        <w:rPr>
          <w:sz w:val="22"/>
          <w:szCs w:val="18"/>
        </w:rPr>
        <w:t xml:space="preserve"> </w:t>
      </w:r>
      <w:r w:rsidR="00D750BA">
        <w:rPr>
          <w:sz w:val="22"/>
          <w:szCs w:val="18"/>
        </w:rPr>
        <w:t>will</w:t>
      </w:r>
      <w:r w:rsidR="00BC42B5">
        <w:rPr>
          <w:sz w:val="22"/>
          <w:szCs w:val="18"/>
        </w:rPr>
        <w:t xml:space="preserve"> </w:t>
      </w:r>
      <w:r w:rsidR="00183233">
        <w:rPr>
          <w:sz w:val="22"/>
          <w:szCs w:val="18"/>
        </w:rPr>
        <w:t xml:space="preserve">shift to contacts with </w:t>
      </w:r>
      <w:r w:rsidR="00BC42B5">
        <w:rPr>
          <w:sz w:val="22"/>
          <w:szCs w:val="18"/>
        </w:rPr>
        <w:t xml:space="preserve">the </w:t>
      </w:r>
      <w:r w:rsidR="00183233">
        <w:rPr>
          <w:sz w:val="22"/>
          <w:szCs w:val="18"/>
        </w:rPr>
        <w:t>principal</w:t>
      </w:r>
      <w:r w:rsidRPr="00DC7187">
        <w:rPr>
          <w:sz w:val="22"/>
          <w:szCs w:val="18"/>
        </w:rPr>
        <w:t xml:space="preserve"> at the NTPS school.</w:t>
      </w:r>
    </w:p>
    <w:p w:rsidR="00183233" w:rsidRPr="00DC7187" w:rsidP="004C079A" w14:paraId="6EFDD511" w14:textId="77777777">
      <w:pPr>
        <w:rPr>
          <w:sz w:val="22"/>
          <w:szCs w:val="18"/>
        </w:rPr>
      </w:pPr>
    </w:p>
    <w:p w:rsidR="00A57978" w:rsidRPr="00CE5A3C" w:rsidP="00A57978" w14:paraId="1825D522" w14:textId="5594B331">
      <w:pPr>
        <w:rPr>
          <w:sz w:val="22"/>
          <w:szCs w:val="22"/>
        </w:rPr>
      </w:pPr>
      <w:r w:rsidRPr="00DC7187">
        <w:rPr>
          <w:sz w:val="22"/>
          <w:szCs w:val="18"/>
        </w:rPr>
        <w:t xml:space="preserve">To </w:t>
      </w:r>
      <w:r w:rsidR="00BC42B5">
        <w:rPr>
          <w:sz w:val="22"/>
          <w:szCs w:val="18"/>
        </w:rPr>
        <w:t xml:space="preserve">explore </w:t>
      </w:r>
      <w:r w:rsidRPr="00DC7187">
        <w:rPr>
          <w:sz w:val="22"/>
          <w:szCs w:val="18"/>
        </w:rPr>
        <w:t xml:space="preserve">using text messaging as a contact method for PFS, the PFS data collection will include two treatment </w:t>
      </w:r>
      <w:r w:rsidRPr="00CE5A3C">
        <w:rPr>
          <w:sz w:val="22"/>
          <w:szCs w:val="22"/>
        </w:rPr>
        <w:t xml:space="preserve">groups: </w:t>
      </w:r>
    </w:p>
    <w:p w:rsidR="00C45BEA" w:rsidRPr="0030625C" w:rsidP="00C45BEA" w14:paraId="62E78973" w14:textId="77777777">
      <w:pPr>
        <w:pStyle w:val="ListParagraph"/>
        <w:numPr>
          <w:ilvl w:val="0"/>
          <w:numId w:val="42"/>
        </w:numPr>
        <w:rPr>
          <w:rFonts w:ascii="Times New Roman" w:hAnsi="Times New Roman"/>
        </w:rPr>
      </w:pPr>
      <w:r w:rsidRPr="0030625C">
        <w:rPr>
          <w:rFonts w:ascii="Times New Roman" w:hAnsi="Times New Roman"/>
        </w:rPr>
        <w:t xml:space="preserve">A “text survey group” where interactive questions are sent via text message prior to contact by email or mail. </w:t>
      </w:r>
    </w:p>
    <w:p w:rsidR="00C45BEA" w:rsidRPr="0030625C" w:rsidP="00C45BEA" w14:paraId="6790E661" w14:textId="77777777">
      <w:pPr>
        <w:pStyle w:val="ListParagraph"/>
        <w:numPr>
          <w:ilvl w:val="0"/>
          <w:numId w:val="42"/>
        </w:numPr>
        <w:rPr>
          <w:rFonts w:ascii="Times New Roman" w:hAnsi="Times New Roman"/>
        </w:rPr>
      </w:pPr>
      <w:r w:rsidRPr="0030625C">
        <w:rPr>
          <w:rFonts w:ascii="Times New Roman" w:hAnsi="Times New Roman"/>
        </w:rPr>
        <w:t>A “text-to-web group” where text messages containing a direct link to complete the PFS online via a Qualtrics instrument are sent prior to contact by email or mail.</w:t>
      </w:r>
    </w:p>
    <w:p w:rsidR="00A57978" w:rsidRPr="00DC7187" w:rsidP="00F47FE6" w14:paraId="15527A2D" w14:textId="77777777">
      <w:pPr>
        <w:rPr>
          <w:sz w:val="22"/>
          <w:szCs w:val="18"/>
        </w:rPr>
      </w:pPr>
    </w:p>
    <w:p w:rsidR="00226601" w:rsidRPr="00DC7187" w:rsidP="00226601" w14:paraId="7FDA12D6" w14:textId="325FF214">
      <w:pPr>
        <w:rPr>
          <w:sz w:val="22"/>
          <w:szCs w:val="18"/>
        </w:rPr>
      </w:pPr>
      <w:r w:rsidRPr="00DC7187">
        <w:rPr>
          <w:sz w:val="22"/>
          <w:szCs w:val="18"/>
        </w:rPr>
        <w:t xml:space="preserve">For group </w:t>
      </w:r>
      <w:r>
        <w:rPr>
          <w:sz w:val="22"/>
          <w:szCs w:val="18"/>
        </w:rPr>
        <w:t>one</w:t>
      </w:r>
      <w:r w:rsidRPr="00DC7187">
        <w:rPr>
          <w:sz w:val="22"/>
          <w:szCs w:val="18"/>
        </w:rPr>
        <w:t xml:space="preserve">, questions about current </w:t>
      </w:r>
      <w:r>
        <w:rPr>
          <w:sz w:val="22"/>
          <w:szCs w:val="18"/>
        </w:rPr>
        <w:t>occupational</w:t>
      </w:r>
      <w:r w:rsidRPr="00DC7187">
        <w:rPr>
          <w:sz w:val="22"/>
          <w:szCs w:val="18"/>
        </w:rPr>
        <w:t xml:space="preserve"> status will be texted directly to </w:t>
      </w:r>
      <w:r w:rsidR="00E248B6">
        <w:rPr>
          <w:sz w:val="22"/>
          <w:szCs w:val="18"/>
        </w:rPr>
        <w:t>the</w:t>
      </w:r>
      <w:r w:rsidRPr="00DC7187">
        <w:rPr>
          <w:sz w:val="22"/>
          <w:szCs w:val="18"/>
        </w:rPr>
        <w:t xml:space="preserve"> </w:t>
      </w:r>
      <w:r w:rsidR="00D750BA">
        <w:rPr>
          <w:sz w:val="22"/>
          <w:szCs w:val="18"/>
        </w:rPr>
        <w:t xml:space="preserve">2023-24 NTPS </w:t>
      </w:r>
      <w:r>
        <w:rPr>
          <w:sz w:val="22"/>
          <w:szCs w:val="18"/>
        </w:rPr>
        <w:t>principal</w:t>
      </w:r>
      <w:r w:rsidRPr="00DC7187">
        <w:rPr>
          <w:sz w:val="22"/>
          <w:szCs w:val="18"/>
        </w:rPr>
        <w:t xml:space="preserve"> and </w:t>
      </w:r>
      <w:r>
        <w:rPr>
          <w:sz w:val="22"/>
          <w:szCs w:val="18"/>
        </w:rPr>
        <w:t>their</w:t>
      </w:r>
      <w:r w:rsidRPr="00DC7187">
        <w:rPr>
          <w:sz w:val="22"/>
          <w:szCs w:val="18"/>
        </w:rPr>
        <w:t xml:space="preserve"> response will be collected via their text messaged </w:t>
      </w:r>
      <w:r w:rsidR="00EA63A7">
        <w:rPr>
          <w:sz w:val="22"/>
          <w:szCs w:val="18"/>
        </w:rPr>
        <w:t>reply</w:t>
      </w:r>
      <w:r w:rsidRPr="00DC7187">
        <w:rPr>
          <w:sz w:val="22"/>
          <w:szCs w:val="18"/>
        </w:rPr>
        <w:t>.</w:t>
      </w:r>
      <w:r>
        <w:rPr>
          <w:sz w:val="22"/>
          <w:szCs w:val="18"/>
        </w:rPr>
        <w:t xml:space="preserve"> </w:t>
      </w:r>
      <w:r w:rsidRPr="00DC7187" w:rsidR="00E248B6">
        <w:rPr>
          <w:sz w:val="22"/>
          <w:szCs w:val="18"/>
        </w:rPr>
        <w:t xml:space="preserve">These interactive texts will </w:t>
      </w:r>
      <w:r w:rsidR="00E248B6">
        <w:rPr>
          <w:sz w:val="22"/>
          <w:szCs w:val="18"/>
        </w:rPr>
        <w:t xml:space="preserve">implement a </w:t>
      </w:r>
      <w:r w:rsidRPr="00DC7187" w:rsidR="00E248B6">
        <w:rPr>
          <w:sz w:val="22"/>
          <w:szCs w:val="18"/>
        </w:rPr>
        <w:t xml:space="preserve">skip pattern </w:t>
      </w:r>
      <w:r w:rsidR="00E248B6">
        <w:rPr>
          <w:sz w:val="22"/>
          <w:szCs w:val="18"/>
        </w:rPr>
        <w:t>w</w:t>
      </w:r>
      <w:r w:rsidRPr="00DC7187" w:rsidR="00E248B6">
        <w:rPr>
          <w:sz w:val="22"/>
          <w:szCs w:val="18"/>
        </w:rPr>
        <w:t xml:space="preserve">here subsequent texts will ask follow-up questions based on the </w:t>
      </w:r>
      <w:r w:rsidR="00E248B6">
        <w:rPr>
          <w:sz w:val="22"/>
          <w:szCs w:val="18"/>
        </w:rPr>
        <w:t>principal</w:t>
      </w:r>
      <w:r w:rsidRPr="00DC7187" w:rsidR="00E248B6">
        <w:rPr>
          <w:sz w:val="22"/>
          <w:szCs w:val="18"/>
        </w:rPr>
        <w:t xml:space="preserve">’s responses. </w:t>
      </w:r>
      <w:r w:rsidRPr="00DC7187">
        <w:rPr>
          <w:sz w:val="22"/>
          <w:szCs w:val="18"/>
        </w:rPr>
        <w:t xml:space="preserve">For group two, the text message will invite the </w:t>
      </w:r>
      <w:r w:rsidR="00EA63A7">
        <w:rPr>
          <w:sz w:val="22"/>
          <w:szCs w:val="18"/>
        </w:rPr>
        <w:t>principal</w:t>
      </w:r>
      <w:r w:rsidRPr="00DC7187">
        <w:rPr>
          <w:sz w:val="22"/>
          <w:szCs w:val="18"/>
        </w:rPr>
        <w:t xml:space="preserve"> to complete the </w:t>
      </w:r>
      <w:r w:rsidR="00EA63A7">
        <w:rPr>
          <w:sz w:val="22"/>
          <w:szCs w:val="18"/>
        </w:rPr>
        <w:t>P</w:t>
      </w:r>
      <w:r w:rsidRPr="00DC7187">
        <w:rPr>
          <w:sz w:val="22"/>
          <w:szCs w:val="18"/>
        </w:rPr>
        <w:t xml:space="preserve">FS online by providing the </w:t>
      </w:r>
      <w:r w:rsidR="008C1CD6">
        <w:rPr>
          <w:sz w:val="22"/>
          <w:szCs w:val="18"/>
        </w:rPr>
        <w:t xml:space="preserve">direct </w:t>
      </w:r>
      <w:r w:rsidRPr="00DC7187">
        <w:rPr>
          <w:sz w:val="22"/>
          <w:szCs w:val="18"/>
        </w:rPr>
        <w:t xml:space="preserve">link to the </w:t>
      </w:r>
      <w:r w:rsidR="00EA63A7">
        <w:rPr>
          <w:sz w:val="22"/>
          <w:szCs w:val="18"/>
        </w:rPr>
        <w:t xml:space="preserve">Qualtrics </w:t>
      </w:r>
      <w:r w:rsidRPr="00DC7187">
        <w:rPr>
          <w:sz w:val="22"/>
          <w:szCs w:val="18"/>
        </w:rPr>
        <w:t xml:space="preserve">web instrument in the text message. Results from this experiment will help determine whether a respondent is more likely to respond </w:t>
      </w:r>
      <w:r w:rsidRPr="00DC7187" w:rsidR="00E248B6">
        <w:rPr>
          <w:sz w:val="22"/>
          <w:szCs w:val="18"/>
        </w:rPr>
        <w:t xml:space="preserve">directly in an interactive text </w:t>
      </w:r>
      <w:r w:rsidR="00E248B6">
        <w:rPr>
          <w:sz w:val="22"/>
          <w:szCs w:val="18"/>
        </w:rPr>
        <w:t xml:space="preserve">message </w:t>
      </w:r>
      <w:r w:rsidRPr="00DC7187" w:rsidR="00E248B6">
        <w:rPr>
          <w:sz w:val="22"/>
          <w:szCs w:val="18"/>
        </w:rPr>
        <w:t xml:space="preserve">exchange </w:t>
      </w:r>
      <w:r w:rsidR="00E248B6">
        <w:rPr>
          <w:sz w:val="22"/>
          <w:szCs w:val="18"/>
        </w:rPr>
        <w:t xml:space="preserve">or </w:t>
      </w:r>
      <w:r w:rsidRPr="00DC7187">
        <w:rPr>
          <w:sz w:val="22"/>
          <w:szCs w:val="18"/>
        </w:rPr>
        <w:t xml:space="preserve">via a texted survey web link. </w:t>
      </w:r>
    </w:p>
    <w:p w:rsidR="0068547B" w:rsidRPr="00DC7187" w:rsidP="004C079A" w14:paraId="0F71C939" w14:textId="77777777">
      <w:pPr>
        <w:rPr>
          <w:sz w:val="22"/>
          <w:szCs w:val="18"/>
        </w:rPr>
      </w:pPr>
    </w:p>
    <w:p w:rsidR="0068547B" w:rsidRPr="00DC7187" w:rsidP="0068547B" w14:paraId="60B1C08C" w14:textId="14657B54">
      <w:pPr>
        <w:pStyle w:val="ListParagraph"/>
        <w:ind w:left="0"/>
        <w:rPr>
          <w:rFonts w:ascii="Times New Roman" w:hAnsi="Times New Roman"/>
        </w:rPr>
      </w:pPr>
      <w:r w:rsidRPr="00602482">
        <w:rPr>
          <w:rFonts w:ascii="Times New Roman" w:hAnsi="Times New Roman"/>
        </w:rPr>
        <w:t>In order to adhere to the necessary guidelines for texting per the Census Bureau’s Policy office, the 2023-24 NTPS Principal Questionnaires were updated to include a checkbox for opting out of contact by text message in the future alongside the respondent’s cell phone number</w:t>
      </w:r>
      <w:r>
        <w:rPr>
          <w:rFonts w:ascii="Times New Roman" w:hAnsi="Times New Roman"/>
        </w:rPr>
        <w:t>.</w:t>
      </w:r>
      <w:r w:rsidRPr="00602482">
        <w:rPr>
          <w:rFonts w:ascii="Times New Roman" w:hAnsi="Times New Roman"/>
        </w:rPr>
        <w:t xml:space="preserve"> </w:t>
      </w:r>
      <w:r w:rsidR="005E5217">
        <w:rPr>
          <w:rFonts w:ascii="Times New Roman" w:hAnsi="Times New Roman"/>
        </w:rPr>
        <w:t>P</w:t>
      </w:r>
      <w:r w:rsidRPr="00DC7187">
        <w:rPr>
          <w:rFonts w:ascii="Times New Roman" w:hAnsi="Times New Roman"/>
        </w:rPr>
        <w:t>rincipals who</w:t>
      </w:r>
      <w:r w:rsidR="005E5217">
        <w:rPr>
          <w:rFonts w:ascii="Times New Roman" w:hAnsi="Times New Roman"/>
        </w:rPr>
        <w:t xml:space="preserve"> provided a cellphone number and</w:t>
      </w:r>
      <w:r w:rsidR="00A710BD">
        <w:rPr>
          <w:rFonts w:ascii="Times New Roman" w:hAnsi="Times New Roman"/>
        </w:rPr>
        <w:t xml:space="preserve"> who</w:t>
      </w:r>
      <w:r w:rsidRPr="00DC7187">
        <w:rPr>
          <w:rFonts w:ascii="Times New Roman" w:hAnsi="Times New Roman"/>
        </w:rPr>
        <w:t xml:space="preserve"> </w:t>
      </w:r>
      <w:r w:rsidR="00EA63A7">
        <w:rPr>
          <w:rFonts w:ascii="Times New Roman" w:hAnsi="Times New Roman"/>
        </w:rPr>
        <w:t xml:space="preserve">did not opt-out of receiving </w:t>
      </w:r>
      <w:r w:rsidRPr="00DC7187">
        <w:rPr>
          <w:rFonts w:ascii="Times New Roman" w:hAnsi="Times New Roman"/>
        </w:rPr>
        <w:t>text messages are eligible for inclusion in the text messaging experiment</w:t>
      </w:r>
      <w:r w:rsidRPr="00971874">
        <w:rPr>
          <w:rFonts w:ascii="Times New Roman" w:hAnsi="Times New Roman"/>
        </w:rPr>
        <w:t>.</w:t>
      </w:r>
      <w:r w:rsidR="00AB5BC5">
        <w:rPr>
          <w:rFonts w:ascii="Times New Roman" w:hAnsi="Times New Roman"/>
        </w:rPr>
        <w:t xml:space="preserve"> </w:t>
      </w:r>
      <w:r w:rsidR="00B20C98">
        <w:rPr>
          <w:rFonts w:ascii="Times New Roman" w:hAnsi="Times New Roman"/>
        </w:rPr>
        <w:t>Based on preliminary data from the 2023-24 NTPS</w:t>
      </w:r>
      <w:r w:rsidR="00F52C1E">
        <w:rPr>
          <w:rFonts w:ascii="Times New Roman" w:hAnsi="Times New Roman"/>
        </w:rPr>
        <w:t xml:space="preserve">, we expect that approximately </w:t>
      </w:r>
      <w:r w:rsidR="00AF5FA9">
        <w:rPr>
          <w:rFonts w:ascii="Times New Roman" w:hAnsi="Times New Roman"/>
        </w:rPr>
        <w:t>25</w:t>
      </w:r>
      <w:r w:rsidR="00F52C1E">
        <w:rPr>
          <w:rFonts w:ascii="Times New Roman" w:hAnsi="Times New Roman"/>
        </w:rPr>
        <w:t xml:space="preserve">% of principals will meet these criteria. </w:t>
      </w:r>
      <w:r w:rsidRPr="008C1CD6" w:rsidR="000D6735">
        <w:rPr>
          <w:rFonts w:ascii="Times New Roman" w:hAnsi="Times New Roman"/>
        </w:rPr>
        <w:t xml:space="preserve">The </w:t>
      </w:r>
      <w:r w:rsidRPr="008C1CD6">
        <w:rPr>
          <w:rFonts w:ascii="Times New Roman" w:hAnsi="Times New Roman"/>
        </w:rPr>
        <w:t xml:space="preserve">treatment for each principal will be </w:t>
      </w:r>
      <w:r w:rsidRPr="008C1CD6" w:rsidR="000615AD">
        <w:rPr>
          <w:rFonts w:ascii="Times New Roman" w:hAnsi="Times New Roman"/>
        </w:rPr>
        <w:t xml:space="preserve">randomly </w:t>
      </w:r>
      <w:r w:rsidRPr="008C1CD6">
        <w:rPr>
          <w:rFonts w:ascii="Times New Roman" w:hAnsi="Times New Roman"/>
        </w:rPr>
        <w:t xml:space="preserve">assigned </w:t>
      </w:r>
      <w:r w:rsidR="00007769">
        <w:rPr>
          <w:rFonts w:ascii="Times New Roman" w:hAnsi="Times New Roman"/>
        </w:rPr>
        <w:t>at</w:t>
      </w:r>
      <w:r w:rsidRPr="008C1CD6">
        <w:rPr>
          <w:rFonts w:ascii="Times New Roman" w:hAnsi="Times New Roman"/>
        </w:rPr>
        <w:t xml:space="preserve"> the start of PFS data collection</w:t>
      </w:r>
      <w:r w:rsidRPr="008C1CD6" w:rsidR="000615AD">
        <w:rPr>
          <w:rFonts w:ascii="Times New Roman" w:hAnsi="Times New Roman"/>
        </w:rPr>
        <w:t xml:space="preserve">. As such, the random assignment should result in even sample sizes and a similar distribution of school types across the treatment groups. </w:t>
      </w:r>
      <w:r w:rsidRPr="008C1CD6" w:rsidR="0014081A">
        <w:rPr>
          <w:rFonts w:ascii="Times New Roman" w:hAnsi="Times New Roman"/>
        </w:rPr>
        <w:t xml:space="preserve">The experimental contact plan </w:t>
      </w:r>
      <w:r w:rsidRPr="008C1CD6">
        <w:rPr>
          <w:rFonts w:ascii="Times New Roman" w:hAnsi="Times New Roman"/>
        </w:rPr>
        <w:t>and sample sizes are</w:t>
      </w:r>
      <w:r w:rsidRPr="008C1CD6" w:rsidR="0014081A">
        <w:rPr>
          <w:rFonts w:ascii="Times New Roman" w:hAnsi="Times New Roman"/>
        </w:rPr>
        <w:t xml:space="preserve"> displayed in Exhibit </w:t>
      </w:r>
      <w:r w:rsidRPr="008C1CD6" w:rsidR="008D1F61">
        <w:rPr>
          <w:rFonts w:ascii="Times New Roman" w:hAnsi="Times New Roman"/>
        </w:rPr>
        <w:t>1</w:t>
      </w:r>
      <w:r w:rsidRPr="008C1CD6" w:rsidR="0014081A">
        <w:rPr>
          <w:rFonts w:ascii="Times New Roman" w:hAnsi="Times New Roman"/>
        </w:rPr>
        <w:t xml:space="preserve">.  </w:t>
      </w:r>
      <w:r w:rsidRPr="008C1CD6">
        <w:rPr>
          <w:rFonts w:ascii="Times New Roman" w:hAnsi="Times New Roman"/>
        </w:rPr>
        <w:t xml:space="preserve"> </w:t>
      </w:r>
    </w:p>
    <w:p w:rsidR="00633CFF" w:rsidRPr="00DC7187" w:rsidP="0068547B" w14:paraId="62FCDFE7" w14:textId="77777777">
      <w:pPr>
        <w:pStyle w:val="ListParagraph"/>
        <w:ind w:left="0"/>
        <w:rPr>
          <w:rFonts w:ascii="Times New Roman" w:hAnsi="Times New Roman"/>
        </w:rPr>
      </w:pPr>
    </w:p>
    <w:p w:rsidR="00633CFF" w:rsidRPr="00DC7187" w:rsidP="0068547B" w14:paraId="552E48E2" w14:textId="77777777">
      <w:pPr>
        <w:pStyle w:val="ListParagraph"/>
        <w:ind w:left="0"/>
        <w:rPr>
          <w:rFonts w:ascii="Times New Roman" w:hAnsi="Times New Roman"/>
        </w:rPr>
      </w:pPr>
    </w:p>
    <w:p w:rsidR="00633CFF" w:rsidRPr="00DC7187" w:rsidP="0068547B" w14:paraId="694356AD" w14:textId="1A2694FC">
      <w:pPr>
        <w:pStyle w:val="ListParagraph"/>
        <w:ind w:left="0"/>
        <w:rPr>
          <w:sz w:val="20"/>
          <w:szCs w:val="20"/>
        </w:rPr>
        <w:sectPr w:rsidSect="000A5104">
          <w:headerReference w:type="even" r:id="rId10"/>
          <w:headerReference w:type="default" r:id="rId11"/>
          <w:footerReference w:type="even" r:id="rId12"/>
          <w:footerReference w:type="default" r:id="rId13"/>
          <w:headerReference w:type="first" r:id="rId14"/>
          <w:footerReference w:type="first" r:id="rId15"/>
          <w:pgSz w:w="12240" w:h="15840" w:code="1"/>
          <w:pgMar w:top="1008" w:right="1008" w:bottom="432" w:left="1008" w:header="432" w:footer="432" w:gutter="0"/>
          <w:cols w:space="720"/>
          <w:titlePg/>
          <w:docGrid w:linePitch="326"/>
        </w:sectPr>
      </w:pPr>
    </w:p>
    <w:p w:rsidR="0014081A" w:rsidRPr="00DC7187" w:rsidP="00216A68" w14:paraId="7EA6B8B5" w14:textId="03F5E2B1">
      <w:pPr>
        <w:rPr>
          <w:b/>
          <w:bCs/>
          <w:sz w:val="20"/>
        </w:rPr>
      </w:pPr>
      <w:r w:rsidRPr="00DF66B8">
        <w:rPr>
          <w:b/>
          <w:sz w:val="20"/>
        </w:rPr>
        <w:t xml:space="preserve">Exhibit </w:t>
      </w:r>
      <w:r w:rsidRPr="00DF66B8" w:rsidR="00D750BA">
        <w:rPr>
          <w:b/>
          <w:sz w:val="20"/>
        </w:rPr>
        <w:t>1</w:t>
      </w:r>
      <w:r w:rsidRPr="00DF66B8">
        <w:rPr>
          <w:b/>
          <w:sz w:val="20"/>
        </w:rPr>
        <w:t xml:space="preserve">: </w:t>
      </w:r>
      <w:r w:rsidRPr="00DF66B8">
        <w:rPr>
          <w:b/>
          <w:bCs/>
          <w:sz w:val="20"/>
        </w:rPr>
        <w:t>202</w:t>
      </w:r>
      <w:r w:rsidRPr="00DF66B8" w:rsidR="00EA63A7">
        <w:rPr>
          <w:b/>
          <w:bCs/>
          <w:sz w:val="20"/>
        </w:rPr>
        <w:t>4</w:t>
      </w:r>
      <w:r w:rsidRPr="00DF66B8">
        <w:rPr>
          <w:b/>
          <w:bCs/>
          <w:sz w:val="20"/>
        </w:rPr>
        <w:t>-2</w:t>
      </w:r>
      <w:r w:rsidRPr="00DF66B8" w:rsidR="00EA63A7">
        <w:rPr>
          <w:b/>
          <w:bCs/>
          <w:sz w:val="20"/>
        </w:rPr>
        <w:t>5</w:t>
      </w:r>
      <w:r w:rsidRPr="00DF66B8">
        <w:rPr>
          <w:b/>
          <w:bCs/>
          <w:sz w:val="20"/>
        </w:rPr>
        <w:t xml:space="preserve"> PFS Experimental Contact Strategy</w:t>
      </w:r>
      <w:r w:rsidRPr="00DF66B8" w:rsidR="00FA613B">
        <w:rPr>
          <w:b/>
          <w:bCs/>
          <w:sz w:val="20"/>
        </w:rPr>
        <w:t xml:space="preserve"> and Sample Sizes</w:t>
      </w:r>
      <w:r w:rsidRPr="00DF66B8" w:rsidR="00105620">
        <w:rPr>
          <w:b/>
          <w:bCs/>
          <w:sz w:val="20"/>
        </w:rPr>
        <w:t xml:space="preserve"> – Principal Data Collection Operation</w:t>
      </w:r>
    </w:p>
    <w:p w:rsidR="00E54CE4" w:rsidP="005323D0" w14:paraId="59D0FDED" w14:textId="77777777"/>
    <w:tbl>
      <w:tblPr>
        <w:tblW w:w="12680" w:type="dxa"/>
        <w:tblLook w:val="04A0"/>
      </w:tblPr>
      <w:tblGrid>
        <w:gridCol w:w="2060"/>
        <w:gridCol w:w="2970"/>
        <w:gridCol w:w="1350"/>
        <w:gridCol w:w="990"/>
        <w:gridCol w:w="1042"/>
        <w:gridCol w:w="1028"/>
        <w:gridCol w:w="1042"/>
        <w:gridCol w:w="1028"/>
        <w:gridCol w:w="1170"/>
      </w:tblGrid>
      <w:tr w14:paraId="41DD1C95" w14:textId="77777777" w:rsidTr="00F6252C">
        <w:tblPrEx>
          <w:tblW w:w="12680" w:type="dxa"/>
          <w:tblLook w:val="04A0"/>
        </w:tblPrEx>
        <w:trPr>
          <w:trHeight w:val="324"/>
        </w:trPr>
        <w:tc>
          <w:tcPr>
            <w:tcW w:w="20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6252C" w:rsidRPr="0033720D" w:rsidP="0033720D" w14:paraId="45DA9963" w14:textId="77777777">
            <w:pPr>
              <w:widowControl/>
              <w:jc w:val="center"/>
              <w:rPr>
                <w:b/>
                <w:bCs/>
                <w:snapToGrid/>
                <w:color w:val="000000"/>
                <w:sz w:val="20"/>
              </w:rPr>
            </w:pPr>
            <w:bookmarkStart w:id="50" w:name="RANGE!B4"/>
            <w:r w:rsidRPr="0033720D">
              <w:rPr>
                <w:b/>
                <w:bCs/>
                <w:snapToGrid/>
                <w:color w:val="000000"/>
                <w:sz w:val="20"/>
              </w:rPr>
              <w:t>Experimental Treatment</w:t>
            </w:r>
            <w:bookmarkEnd w:id="50"/>
          </w:p>
        </w:tc>
        <w:tc>
          <w:tcPr>
            <w:tcW w:w="297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F6252C" w:rsidRPr="0033720D" w:rsidP="0033720D" w14:paraId="6E3B4E18" w14:textId="77777777">
            <w:pPr>
              <w:widowControl/>
              <w:jc w:val="center"/>
              <w:rPr>
                <w:b/>
                <w:bCs/>
                <w:snapToGrid/>
                <w:color w:val="000000"/>
                <w:sz w:val="20"/>
              </w:rPr>
            </w:pPr>
            <w:r w:rsidRPr="0033720D">
              <w:rPr>
                <w:b/>
                <w:bCs/>
                <w:snapToGrid/>
                <w:color w:val="000000"/>
                <w:sz w:val="20"/>
              </w:rPr>
              <w:t>Estimated Sample Sizes</w:t>
            </w:r>
          </w:p>
        </w:tc>
        <w:tc>
          <w:tcPr>
            <w:tcW w:w="135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F6252C" w:rsidRPr="0033720D" w:rsidP="0033720D" w14:paraId="742FD478" w14:textId="77777777">
            <w:pPr>
              <w:widowControl/>
              <w:jc w:val="center"/>
              <w:rPr>
                <w:b/>
                <w:bCs/>
                <w:snapToGrid/>
                <w:color w:val="000000"/>
                <w:sz w:val="20"/>
              </w:rPr>
            </w:pPr>
            <w:r w:rsidRPr="0033720D">
              <w:rPr>
                <w:b/>
                <w:bCs/>
                <w:snapToGrid/>
                <w:color w:val="000000"/>
                <w:sz w:val="20"/>
              </w:rPr>
              <w:t> </w:t>
            </w:r>
          </w:p>
        </w:tc>
        <w:tc>
          <w:tcPr>
            <w:tcW w:w="6300" w:type="dxa"/>
            <w:gridSpan w:val="6"/>
            <w:tcBorders>
              <w:top w:val="single" w:sz="8" w:space="0" w:color="auto"/>
              <w:left w:val="nil"/>
              <w:bottom w:val="single" w:sz="8" w:space="0" w:color="auto"/>
              <w:right w:val="single" w:sz="8" w:space="0" w:color="000000"/>
            </w:tcBorders>
            <w:shd w:val="clear" w:color="auto" w:fill="auto"/>
            <w:noWrap/>
            <w:vAlign w:val="center"/>
            <w:hideMark/>
          </w:tcPr>
          <w:p w:rsidR="00F6252C" w:rsidRPr="0033720D" w:rsidP="0033720D" w14:paraId="69F6F335" w14:textId="77777777">
            <w:pPr>
              <w:widowControl/>
              <w:jc w:val="center"/>
              <w:rPr>
                <w:b/>
                <w:bCs/>
                <w:snapToGrid/>
                <w:color w:val="000000"/>
                <w:sz w:val="20"/>
              </w:rPr>
            </w:pPr>
            <w:r w:rsidRPr="0033720D">
              <w:rPr>
                <w:b/>
                <w:bCs/>
                <w:snapToGrid/>
                <w:color w:val="000000"/>
                <w:sz w:val="20"/>
              </w:rPr>
              <w:t>Planned Dates for Principal-level Contacts (PFS-1C/D)</w:t>
            </w:r>
          </w:p>
        </w:tc>
      </w:tr>
      <w:tr w14:paraId="0ED12B8B" w14:textId="77777777" w:rsidTr="00F6252C">
        <w:tblPrEx>
          <w:tblW w:w="12680" w:type="dxa"/>
          <w:tblLook w:val="04A0"/>
        </w:tblPrEx>
        <w:trPr>
          <w:trHeight w:val="312"/>
        </w:trPr>
        <w:tc>
          <w:tcPr>
            <w:tcW w:w="2060" w:type="dxa"/>
            <w:vMerge/>
            <w:tcBorders>
              <w:top w:val="single" w:sz="8" w:space="0" w:color="auto"/>
              <w:left w:val="single" w:sz="8" w:space="0" w:color="auto"/>
              <w:bottom w:val="single" w:sz="8" w:space="0" w:color="000000"/>
              <w:right w:val="single" w:sz="8" w:space="0" w:color="auto"/>
            </w:tcBorders>
            <w:vAlign w:val="center"/>
            <w:hideMark/>
          </w:tcPr>
          <w:p w:rsidR="00F6252C" w:rsidRPr="0033720D" w:rsidP="0033720D" w14:paraId="5A9E6249" w14:textId="77777777">
            <w:pPr>
              <w:widowControl/>
              <w:rPr>
                <w:b/>
                <w:bCs/>
                <w:snapToGrid/>
                <w:color w:val="000000"/>
                <w:sz w:val="20"/>
              </w:rPr>
            </w:pPr>
          </w:p>
        </w:tc>
        <w:tc>
          <w:tcPr>
            <w:tcW w:w="2970" w:type="dxa"/>
            <w:vMerge/>
            <w:tcBorders>
              <w:top w:val="single" w:sz="8" w:space="0" w:color="auto"/>
              <w:left w:val="single" w:sz="8" w:space="0" w:color="auto"/>
              <w:bottom w:val="single" w:sz="8" w:space="0" w:color="000000"/>
              <w:right w:val="single" w:sz="8" w:space="0" w:color="auto"/>
            </w:tcBorders>
            <w:vAlign w:val="center"/>
            <w:hideMark/>
          </w:tcPr>
          <w:p w:rsidR="00F6252C" w:rsidRPr="0033720D" w:rsidP="0033720D" w14:paraId="092D626A" w14:textId="77777777">
            <w:pPr>
              <w:widowControl/>
              <w:rPr>
                <w:b/>
                <w:bCs/>
                <w:snapToGrid/>
                <w:color w:val="000000"/>
                <w:sz w:val="20"/>
              </w:rPr>
            </w:pPr>
          </w:p>
        </w:tc>
        <w:tc>
          <w:tcPr>
            <w:tcW w:w="1350" w:type="dxa"/>
            <w:vMerge/>
            <w:tcBorders>
              <w:top w:val="single" w:sz="8" w:space="0" w:color="auto"/>
              <w:left w:val="single" w:sz="8" w:space="0" w:color="auto"/>
              <w:bottom w:val="single" w:sz="8" w:space="0" w:color="000000"/>
              <w:right w:val="single" w:sz="8" w:space="0" w:color="auto"/>
            </w:tcBorders>
            <w:vAlign w:val="center"/>
            <w:hideMark/>
          </w:tcPr>
          <w:p w:rsidR="00F6252C" w:rsidRPr="0033720D" w:rsidP="0033720D" w14:paraId="2D253275" w14:textId="77777777">
            <w:pPr>
              <w:widowControl/>
              <w:rPr>
                <w:b/>
                <w:bCs/>
                <w:snapToGrid/>
                <w:color w:val="000000"/>
                <w:sz w:val="20"/>
              </w:rPr>
            </w:pPr>
          </w:p>
        </w:tc>
        <w:tc>
          <w:tcPr>
            <w:tcW w:w="99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6252C" w:rsidRPr="0033720D" w:rsidP="0033720D" w14:paraId="070D83F4" w14:textId="77777777">
            <w:pPr>
              <w:widowControl/>
              <w:jc w:val="center"/>
              <w:rPr>
                <w:b/>
                <w:bCs/>
                <w:snapToGrid/>
                <w:color w:val="000000"/>
                <w:sz w:val="20"/>
              </w:rPr>
            </w:pPr>
            <w:r w:rsidRPr="0033720D">
              <w:rPr>
                <w:b/>
                <w:bCs/>
                <w:snapToGrid/>
                <w:color w:val="000000"/>
                <w:sz w:val="20"/>
              </w:rPr>
              <w:t>1/7/2025</w:t>
            </w:r>
          </w:p>
        </w:tc>
        <w:tc>
          <w:tcPr>
            <w:tcW w:w="104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6252C" w:rsidRPr="0033720D" w:rsidP="0033720D" w14:paraId="2C8BEC20" w14:textId="77777777">
            <w:pPr>
              <w:widowControl/>
              <w:jc w:val="center"/>
              <w:rPr>
                <w:b/>
                <w:bCs/>
                <w:snapToGrid/>
                <w:color w:val="000000"/>
                <w:sz w:val="20"/>
              </w:rPr>
            </w:pPr>
            <w:r w:rsidRPr="0033720D">
              <w:rPr>
                <w:b/>
                <w:bCs/>
                <w:snapToGrid/>
                <w:color w:val="000000"/>
                <w:sz w:val="20"/>
              </w:rPr>
              <w:t>1/16/2025</w:t>
            </w:r>
          </w:p>
        </w:tc>
        <w:tc>
          <w:tcPr>
            <w:tcW w:w="102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6252C" w:rsidRPr="0033720D" w:rsidP="0033720D" w14:paraId="0EEE6237" w14:textId="77777777">
            <w:pPr>
              <w:widowControl/>
              <w:jc w:val="center"/>
              <w:rPr>
                <w:b/>
                <w:bCs/>
                <w:snapToGrid/>
                <w:color w:val="000000"/>
                <w:sz w:val="20"/>
              </w:rPr>
            </w:pPr>
            <w:r w:rsidRPr="0033720D">
              <w:rPr>
                <w:b/>
                <w:bCs/>
                <w:snapToGrid/>
                <w:color w:val="000000"/>
                <w:sz w:val="20"/>
              </w:rPr>
              <w:t>1/27/2025</w:t>
            </w:r>
          </w:p>
        </w:tc>
        <w:tc>
          <w:tcPr>
            <w:tcW w:w="104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6252C" w:rsidRPr="0033720D" w:rsidP="0033720D" w14:paraId="6A3AA29B" w14:textId="77777777">
            <w:pPr>
              <w:widowControl/>
              <w:jc w:val="center"/>
              <w:rPr>
                <w:b/>
                <w:bCs/>
                <w:snapToGrid/>
                <w:color w:val="000000"/>
                <w:sz w:val="20"/>
              </w:rPr>
            </w:pPr>
            <w:r w:rsidRPr="0033720D">
              <w:rPr>
                <w:b/>
                <w:bCs/>
                <w:snapToGrid/>
                <w:color w:val="000000"/>
                <w:sz w:val="20"/>
              </w:rPr>
              <w:t>2/6/2025</w:t>
            </w:r>
          </w:p>
        </w:tc>
        <w:tc>
          <w:tcPr>
            <w:tcW w:w="102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6252C" w:rsidRPr="0033720D" w:rsidP="0033720D" w14:paraId="667D1136" w14:textId="77777777">
            <w:pPr>
              <w:widowControl/>
              <w:jc w:val="center"/>
              <w:rPr>
                <w:b/>
                <w:bCs/>
                <w:snapToGrid/>
                <w:color w:val="000000"/>
                <w:sz w:val="20"/>
              </w:rPr>
            </w:pPr>
            <w:r w:rsidRPr="0033720D">
              <w:rPr>
                <w:b/>
                <w:bCs/>
                <w:snapToGrid/>
                <w:color w:val="000000"/>
                <w:sz w:val="20"/>
              </w:rPr>
              <w:t>2/13/2025</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6252C" w:rsidRPr="0033720D" w:rsidP="0033720D" w14:paraId="670A3CF3" w14:textId="77777777">
            <w:pPr>
              <w:widowControl/>
              <w:jc w:val="center"/>
              <w:rPr>
                <w:b/>
                <w:bCs/>
                <w:snapToGrid/>
                <w:color w:val="000000"/>
                <w:sz w:val="20"/>
              </w:rPr>
            </w:pPr>
            <w:r w:rsidRPr="0033720D">
              <w:rPr>
                <w:b/>
                <w:bCs/>
                <w:snapToGrid/>
                <w:color w:val="000000"/>
                <w:sz w:val="20"/>
              </w:rPr>
              <w:t>2/24/2025</w:t>
            </w:r>
          </w:p>
        </w:tc>
      </w:tr>
      <w:tr w14:paraId="048443D0" w14:textId="77777777" w:rsidTr="00F6252C">
        <w:tblPrEx>
          <w:tblW w:w="12680" w:type="dxa"/>
          <w:tblLook w:val="04A0"/>
        </w:tblPrEx>
        <w:trPr>
          <w:trHeight w:val="300"/>
        </w:trPr>
        <w:tc>
          <w:tcPr>
            <w:tcW w:w="2060" w:type="dxa"/>
            <w:vMerge/>
            <w:tcBorders>
              <w:top w:val="single" w:sz="8" w:space="0" w:color="auto"/>
              <w:left w:val="single" w:sz="8" w:space="0" w:color="auto"/>
              <w:bottom w:val="single" w:sz="8" w:space="0" w:color="000000"/>
              <w:right w:val="single" w:sz="8" w:space="0" w:color="auto"/>
            </w:tcBorders>
            <w:vAlign w:val="center"/>
            <w:hideMark/>
          </w:tcPr>
          <w:p w:rsidR="00F6252C" w:rsidRPr="0033720D" w:rsidP="0033720D" w14:paraId="0980313E" w14:textId="77777777">
            <w:pPr>
              <w:widowControl/>
              <w:rPr>
                <w:b/>
                <w:bCs/>
                <w:snapToGrid/>
                <w:color w:val="000000"/>
                <w:sz w:val="20"/>
              </w:rPr>
            </w:pPr>
          </w:p>
        </w:tc>
        <w:tc>
          <w:tcPr>
            <w:tcW w:w="2970" w:type="dxa"/>
            <w:vMerge/>
            <w:tcBorders>
              <w:top w:val="single" w:sz="8" w:space="0" w:color="auto"/>
              <w:left w:val="single" w:sz="8" w:space="0" w:color="auto"/>
              <w:bottom w:val="single" w:sz="8" w:space="0" w:color="000000"/>
              <w:right w:val="single" w:sz="8" w:space="0" w:color="auto"/>
            </w:tcBorders>
            <w:vAlign w:val="center"/>
            <w:hideMark/>
          </w:tcPr>
          <w:p w:rsidR="00F6252C" w:rsidRPr="0033720D" w:rsidP="0033720D" w14:paraId="15EDBE6A" w14:textId="77777777">
            <w:pPr>
              <w:widowControl/>
              <w:rPr>
                <w:b/>
                <w:bCs/>
                <w:snapToGrid/>
                <w:color w:val="000000"/>
                <w:sz w:val="20"/>
              </w:rPr>
            </w:pPr>
          </w:p>
        </w:tc>
        <w:tc>
          <w:tcPr>
            <w:tcW w:w="1350" w:type="dxa"/>
            <w:vMerge/>
            <w:tcBorders>
              <w:top w:val="single" w:sz="8" w:space="0" w:color="auto"/>
              <w:left w:val="single" w:sz="8" w:space="0" w:color="auto"/>
              <w:bottom w:val="single" w:sz="8" w:space="0" w:color="000000"/>
              <w:right w:val="single" w:sz="8" w:space="0" w:color="auto"/>
            </w:tcBorders>
            <w:vAlign w:val="center"/>
            <w:hideMark/>
          </w:tcPr>
          <w:p w:rsidR="00F6252C" w:rsidRPr="0033720D" w:rsidP="0033720D" w14:paraId="5CAEA666" w14:textId="77777777">
            <w:pPr>
              <w:widowControl/>
              <w:rPr>
                <w:b/>
                <w:bCs/>
                <w:snapToGrid/>
                <w:color w:val="000000"/>
                <w:sz w:val="20"/>
              </w:rPr>
            </w:pPr>
          </w:p>
        </w:tc>
        <w:tc>
          <w:tcPr>
            <w:tcW w:w="990" w:type="dxa"/>
            <w:vMerge/>
            <w:tcBorders>
              <w:top w:val="nil"/>
              <w:left w:val="single" w:sz="8" w:space="0" w:color="auto"/>
              <w:bottom w:val="single" w:sz="8" w:space="0" w:color="000000"/>
              <w:right w:val="single" w:sz="8" w:space="0" w:color="auto"/>
            </w:tcBorders>
            <w:vAlign w:val="center"/>
            <w:hideMark/>
          </w:tcPr>
          <w:p w:rsidR="00F6252C" w:rsidRPr="0033720D" w:rsidP="0033720D" w14:paraId="3332723E" w14:textId="77777777">
            <w:pPr>
              <w:widowControl/>
              <w:rPr>
                <w:b/>
                <w:bCs/>
                <w:snapToGrid/>
                <w:color w:val="000000"/>
                <w:sz w:val="20"/>
              </w:rPr>
            </w:pPr>
          </w:p>
        </w:tc>
        <w:tc>
          <w:tcPr>
            <w:tcW w:w="1042" w:type="dxa"/>
            <w:vMerge/>
            <w:tcBorders>
              <w:top w:val="nil"/>
              <w:left w:val="single" w:sz="8" w:space="0" w:color="auto"/>
              <w:bottom w:val="single" w:sz="8" w:space="0" w:color="000000"/>
              <w:right w:val="single" w:sz="8" w:space="0" w:color="auto"/>
            </w:tcBorders>
            <w:vAlign w:val="center"/>
            <w:hideMark/>
          </w:tcPr>
          <w:p w:rsidR="00F6252C" w:rsidRPr="0033720D" w:rsidP="0033720D" w14:paraId="31559089" w14:textId="77777777">
            <w:pPr>
              <w:widowControl/>
              <w:rPr>
                <w:b/>
                <w:bCs/>
                <w:snapToGrid/>
                <w:color w:val="000000"/>
                <w:sz w:val="20"/>
              </w:rPr>
            </w:pPr>
          </w:p>
        </w:tc>
        <w:tc>
          <w:tcPr>
            <w:tcW w:w="1028" w:type="dxa"/>
            <w:vMerge/>
            <w:tcBorders>
              <w:top w:val="nil"/>
              <w:left w:val="single" w:sz="8" w:space="0" w:color="auto"/>
              <w:bottom w:val="single" w:sz="8" w:space="0" w:color="000000"/>
              <w:right w:val="single" w:sz="8" w:space="0" w:color="auto"/>
            </w:tcBorders>
            <w:vAlign w:val="center"/>
            <w:hideMark/>
          </w:tcPr>
          <w:p w:rsidR="00F6252C" w:rsidRPr="0033720D" w:rsidP="0033720D" w14:paraId="3A96B3B5" w14:textId="77777777">
            <w:pPr>
              <w:widowControl/>
              <w:rPr>
                <w:b/>
                <w:bCs/>
                <w:snapToGrid/>
                <w:color w:val="000000"/>
                <w:sz w:val="20"/>
              </w:rPr>
            </w:pPr>
          </w:p>
        </w:tc>
        <w:tc>
          <w:tcPr>
            <w:tcW w:w="1042" w:type="dxa"/>
            <w:vMerge/>
            <w:tcBorders>
              <w:top w:val="nil"/>
              <w:left w:val="single" w:sz="8" w:space="0" w:color="auto"/>
              <w:bottom w:val="single" w:sz="8" w:space="0" w:color="000000"/>
              <w:right w:val="single" w:sz="8" w:space="0" w:color="auto"/>
            </w:tcBorders>
            <w:vAlign w:val="center"/>
            <w:hideMark/>
          </w:tcPr>
          <w:p w:rsidR="00F6252C" w:rsidRPr="0033720D" w:rsidP="0033720D" w14:paraId="4278FBB9" w14:textId="77777777">
            <w:pPr>
              <w:widowControl/>
              <w:rPr>
                <w:b/>
                <w:bCs/>
                <w:snapToGrid/>
                <w:color w:val="000000"/>
                <w:sz w:val="20"/>
              </w:rPr>
            </w:pPr>
          </w:p>
        </w:tc>
        <w:tc>
          <w:tcPr>
            <w:tcW w:w="1028" w:type="dxa"/>
            <w:vMerge/>
            <w:tcBorders>
              <w:top w:val="nil"/>
              <w:left w:val="single" w:sz="8" w:space="0" w:color="auto"/>
              <w:bottom w:val="single" w:sz="8" w:space="0" w:color="000000"/>
              <w:right w:val="single" w:sz="8" w:space="0" w:color="auto"/>
            </w:tcBorders>
            <w:vAlign w:val="center"/>
            <w:hideMark/>
          </w:tcPr>
          <w:p w:rsidR="00F6252C" w:rsidRPr="0033720D" w:rsidP="0033720D" w14:paraId="365DC14C" w14:textId="77777777">
            <w:pPr>
              <w:widowControl/>
              <w:rPr>
                <w:b/>
                <w:bCs/>
                <w:snapToGrid/>
                <w:color w:val="000000"/>
                <w:sz w:val="20"/>
              </w:rPr>
            </w:pPr>
          </w:p>
        </w:tc>
        <w:tc>
          <w:tcPr>
            <w:tcW w:w="1170" w:type="dxa"/>
            <w:vMerge/>
            <w:tcBorders>
              <w:top w:val="nil"/>
              <w:left w:val="single" w:sz="8" w:space="0" w:color="auto"/>
              <w:bottom w:val="single" w:sz="8" w:space="0" w:color="000000"/>
              <w:right w:val="single" w:sz="8" w:space="0" w:color="auto"/>
            </w:tcBorders>
            <w:vAlign w:val="center"/>
            <w:hideMark/>
          </w:tcPr>
          <w:p w:rsidR="00F6252C" w:rsidRPr="0033720D" w:rsidP="0033720D" w14:paraId="45CD5953" w14:textId="77777777">
            <w:pPr>
              <w:widowControl/>
              <w:rPr>
                <w:b/>
                <w:bCs/>
                <w:snapToGrid/>
                <w:color w:val="000000"/>
                <w:sz w:val="20"/>
              </w:rPr>
            </w:pPr>
          </w:p>
        </w:tc>
      </w:tr>
      <w:tr w14:paraId="1A73ADB1" w14:textId="77777777" w:rsidTr="00F6252C">
        <w:tblPrEx>
          <w:tblW w:w="12680" w:type="dxa"/>
          <w:tblLook w:val="04A0"/>
        </w:tblPrEx>
        <w:trPr>
          <w:trHeight w:val="300"/>
        </w:trPr>
        <w:tc>
          <w:tcPr>
            <w:tcW w:w="2060" w:type="dxa"/>
            <w:vMerge w:val="restart"/>
            <w:tcBorders>
              <w:top w:val="nil"/>
              <w:left w:val="single" w:sz="8" w:space="0" w:color="auto"/>
              <w:bottom w:val="single" w:sz="8" w:space="0" w:color="000000"/>
              <w:right w:val="single" w:sz="8" w:space="0" w:color="auto"/>
            </w:tcBorders>
            <w:shd w:val="clear" w:color="auto" w:fill="auto"/>
            <w:vAlign w:val="center"/>
            <w:hideMark/>
          </w:tcPr>
          <w:p w:rsidR="00F6252C" w:rsidRPr="0033720D" w:rsidP="0033720D" w14:paraId="612A24F4" w14:textId="77777777">
            <w:pPr>
              <w:widowControl/>
              <w:jc w:val="center"/>
              <w:rPr>
                <w:b/>
                <w:bCs/>
                <w:i/>
                <w:iCs/>
                <w:snapToGrid/>
                <w:color w:val="000000"/>
                <w:sz w:val="20"/>
              </w:rPr>
            </w:pPr>
            <w:r w:rsidRPr="0033720D">
              <w:rPr>
                <w:b/>
                <w:bCs/>
                <w:i/>
                <w:iCs/>
                <w:snapToGrid/>
                <w:color w:val="000000"/>
                <w:sz w:val="20"/>
              </w:rPr>
              <w:t>Standard/Control Group (No Personal Email Available)</w:t>
            </w:r>
          </w:p>
        </w:tc>
        <w:tc>
          <w:tcPr>
            <w:tcW w:w="2970" w:type="dxa"/>
            <w:vMerge w:val="restart"/>
            <w:tcBorders>
              <w:top w:val="nil"/>
              <w:left w:val="single" w:sz="8" w:space="0" w:color="auto"/>
              <w:bottom w:val="single" w:sz="8" w:space="0" w:color="000000"/>
              <w:right w:val="single" w:sz="8" w:space="0" w:color="auto"/>
            </w:tcBorders>
            <w:shd w:val="clear" w:color="auto" w:fill="auto"/>
            <w:vAlign w:val="center"/>
            <w:hideMark/>
          </w:tcPr>
          <w:p w:rsidR="00A21450" w:rsidRPr="002B5E21" w:rsidP="0033720D" w14:paraId="03BD7479" w14:textId="4758E3C8">
            <w:pPr>
              <w:widowControl/>
              <w:jc w:val="center"/>
              <w:rPr>
                <w:snapToGrid/>
                <w:color w:val="000000"/>
                <w:sz w:val="18"/>
                <w:szCs w:val="18"/>
              </w:rPr>
            </w:pPr>
            <w:r w:rsidRPr="002B5E21">
              <w:rPr>
                <w:snapToGrid/>
                <w:color w:val="000000"/>
                <w:sz w:val="18"/>
                <w:szCs w:val="18"/>
              </w:rPr>
              <w:t>1,</w:t>
            </w:r>
            <w:r w:rsidRPr="002B5E21" w:rsidR="00652C9B">
              <w:rPr>
                <w:snapToGrid/>
                <w:color w:val="000000"/>
                <w:sz w:val="18"/>
                <w:szCs w:val="18"/>
              </w:rPr>
              <w:t>709</w:t>
            </w:r>
            <w:r w:rsidRPr="002B5E21">
              <w:rPr>
                <w:snapToGrid/>
                <w:color w:val="000000"/>
                <w:sz w:val="18"/>
                <w:szCs w:val="18"/>
              </w:rPr>
              <w:t xml:space="preserve"> </w:t>
            </w:r>
            <w:r w:rsidRPr="002B5E21">
              <w:rPr>
                <w:snapToGrid/>
                <w:color w:val="000000"/>
                <w:sz w:val="18"/>
                <w:szCs w:val="18"/>
              </w:rPr>
              <w:t>public school principals</w:t>
            </w:r>
          </w:p>
          <w:p w:rsidR="00A21450" w:rsidRPr="002B5E21" w:rsidP="0033720D" w14:paraId="28D88CCB" w14:textId="4DEBBD23">
            <w:pPr>
              <w:widowControl/>
              <w:jc w:val="center"/>
              <w:rPr>
                <w:snapToGrid/>
                <w:color w:val="000000"/>
                <w:sz w:val="18"/>
                <w:szCs w:val="18"/>
              </w:rPr>
            </w:pPr>
            <w:r w:rsidRPr="002B5E21">
              <w:rPr>
                <w:snapToGrid/>
                <w:color w:val="000000"/>
                <w:sz w:val="18"/>
                <w:szCs w:val="18"/>
              </w:rPr>
              <w:t>380</w:t>
            </w:r>
            <w:r w:rsidRPr="002B5E21">
              <w:rPr>
                <w:snapToGrid/>
                <w:color w:val="000000"/>
                <w:sz w:val="18"/>
                <w:szCs w:val="18"/>
              </w:rPr>
              <w:t xml:space="preserve"> private school principals</w:t>
            </w:r>
          </w:p>
        </w:tc>
        <w:tc>
          <w:tcPr>
            <w:tcW w:w="1350" w:type="dxa"/>
            <w:tcBorders>
              <w:top w:val="nil"/>
              <w:left w:val="nil"/>
              <w:bottom w:val="single" w:sz="8" w:space="0" w:color="auto"/>
              <w:right w:val="single" w:sz="8" w:space="0" w:color="auto"/>
            </w:tcBorders>
            <w:shd w:val="clear" w:color="000000" w:fill="D9E1F2"/>
            <w:noWrap/>
            <w:vAlign w:val="center"/>
            <w:hideMark/>
          </w:tcPr>
          <w:p w:rsidR="00F6252C" w:rsidRPr="0033720D" w:rsidP="0033720D" w14:paraId="169E0DA8" w14:textId="77777777">
            <w:pPr>
              <w:widowControl/>
              <w:jc w:val="center"/>
              <w:rPr>
                <w:snapToGrid/>
                <w:color w:val="000000"/>
                <w:sz w:val="18"/>
                <w:szCs w:val="18"/>
              </w:rPr>
            </w:pPr>
            <w:r w:rsidRPr="0033720D">
              <w:rPr>
                <w:snapToGrid/>
                <w:color w:val="000000"/>
                <w:sz w:val="18"/>
                <w:szCs w:val="18"/>
              </w:rPr>
              <w:t>Mail Activity</w:t>
            </w:r>
          </w:p>
        </w:tc>
        <w:tc>
          <w:tcPr>
            <w:tcW w:w="990" w:type="dxa"/>
            <w:tcBorders>
              <w:top w:val="nil"/>
              <w:left w:val="nil"/>
              <w:bottom w:val="single" w:sz="8" w:space="0" w:color="auto"/>
              <w:right w:val="single" w:sz="8" w:space="0" w:color="auto"/>
            </w:tcBorders>
            <w:shd w:val="clear" w:color="000000" w:fill="595959"/>
            <w:noWrap/>
            <w:vAlign w:val="center"/>
            <w:hideMark/>
          </w:tcPr>
          <w:p w:rsidR="00F6252C" w:rsidRPr="0033720D" w:rsidP="0033720D" w14:paraId="487EAB91" w14:textId="77777777">
            <w:pPr>
              <w:widowControl/>
              <w:jc w:val="center"/>
              <w:rPr>
                <w:snapToGrid/>
                <w:color w:val="000000"/>
                <w:sz w:val="18"/>
                <w:szCs w:val="18"/>
              </w:rPr>
            </w:pPr>
            <w:r w:rsidRPr="0033720D">
              <w:rPr>
                <w:snapToGrid/>
                <w:color w:val="000000"/>
                <w:sz w:val="18"/>
                <w:szCs w:val="18"/>
              </w:rPr>
              <w:t> </w:t>
            </w:r>
          </w:p>
        </w:tc>
        <w:tc>
          <w:tcPr>
            <w:tcW w:w="1042" w:type="dxa"/>
            <w:tcBorders>
              <w:top w:val="nil"/>
              <w:left w:val="nil"/>
              <w:bottom w:val="single" w:sz="8" w:space="0" w:color="auto"/>
              <w:right w:val="single" w:sz="8" w:space="0" w:color="auto"/>
            </w:tcBorders>
            <w:shd w:val="clear" w:color="000000" w:fill="D9E1F2"/>
            <w:noWrap/>
            <w:vAlign w:val="center"/>
            <w:hideMark/>
          </w:tcPr>
          <w:p w:rsidR="00F6252C" w:rsidRPr="0033720D" w:rsidP="0033720D" w14:paraId="3E88A2BB" w14:textId="77777777">
            <w:pPr>
              <w:widowControl/>
              <w:jc w:val="center"/>
              <w:rPr>
                <w:snapToGrid/>
                <w:color w:val="000000"/>
                <w:sz w:val="18"/>
                <w:szCs w:val="18"/>
              </w:rPr>
            </w:pPr>
            <w:r w:rsidRPr="0033720D">
              <w:rPr>
                <w:snapToGrid/>
                <w:color w:val="000000"/>
                <w:sz w:val="18"/>
                <w:szCs w:val="18"/>
              </w:rPr>
              <w:t>1st Mail</w:t>
            </w:r>
          </w:p>
        </w:tc>
        <w:tc>
          <w:tcPr>
            <w:tcW w:w="1028" w:type="dxa"/>
            <w:tcBorders>
              <w:top w:val="nil"/>
              <w:left w:val="nil"/>
              <w:bottom w:val="single" w:sz="8" w:space="0" w:color="auto"/>
              <w:right w:val="single" w:sz="8" w:space="0" w:color="auto"/>
            </w:tcBorders>
            <w:shd w:val="clear" w:color="000000" w:fill="595959"/>
            <w:noWrap/>
            <w:vAlign w:val="center"/>
            <w:hideMark/>
          </w:tcPr>
          <w:p w:rsidR="00F6252C" w:rsidRPr="0033720D" w:rsidP="0033720D" w14:paraId="1AD7BD99" w14:textId="77777777">
            <w:pPr>
              <w:widowControl/>
              <w:jc w:val="center"/>
              <w:rPr>
                <w:snapToGrid/>
                <w:color w:val="000000"/>
                <w:sz w:val="18"/>
                <w:szCs w:val="18"/>
              </w:rPr>
            </w:pPr>
            <w:r w:rsidRPr="0033720D">
              <w:rPr>
                <w:snapToGrid/>
                <w:color w:val="000000"/>
                <w:sz w:val="18"/>
                <w:szCs w:val="18"/>
              </w:rPr>
              <w:t> </w:t>
            </w:r>
          </w:p>
        </w:tc>
        <w:tc>
          <w:tcPr>
            <w:tcW w:w="1042" w:type="dxa"/>
            <w:tcBorders>
              <w:top w:val="nil"/>
              <w:left w:val="nil"/>
              <w:bottom w:val="single" w:sz="8" w:space="0" w:color="auto"/>
              <w:right w:val="single" w:sz="8" w:space="0" w:color="auto"/>
            </w:tcBorders>
            <w:shd w:val="clear" w:color="000000" w:fill="D9E1F2"/>
            <w:noWrap/>
            <w:vAlign w:val="center"/>
            <w:hideMark/>
          </w:tcPr>
          <w:p w:rsidR="00F6252C" w:rsidRPr="0033720D" w:rsidP="0033720D" w14:paraId="61914C01" w14:textId="77777777">
            <w:pPr>
              <w:widowControl/>
              <w:jc w:val="center"/>
              <w:rPr>
                <w:snapToGrid/>
                <w:color w:val="000000"/>
                <w:sz w:val="18"/>
                <w:szCs w:val="18"/>
              </w:rPr>
            </w:pPr>
            <w:r w:rsidRPr="0033720D">
              <w:rPr>
                <w:snapToGrid/>
                <w:color w:val="000000"/>
                <w:sz w:val="18"/>
                <w:szCs w:val="18"/>
              </w:rPr>
              <w:t>2nd Mail</w:t>
            </w:r>
          </w:p>
        </w:tc>
        <w:tc>
          <w:tcPr>
            <w:tcW w:w="1028" w:type="dxa"/>
            <w:tcBorders>
              <w:top w:val="nil"/>
              <w:left w:val="nil"/>
              <w:bottom w:val="single" w:sz="8" w:space="0" w:color="auto"/>
              <w:right w:val="single" w:sz="8" w:space="0" w:color="auto"/>
            </w:tcBorders>
            <w:shd w:val="clear" w:color="000000" w:fill="595959"/>
            <w:noWrap/>
            <w:vAlign w:val="center"/>
            <w:hideMark/>
          </w:tcPr>
          <w:p w:rsidR="00F6252C" w:rsidRPr="0033720D" w:rsidP="0033720D" w14:paraId="1E1DAFC3" w14:textId="77777777">
            <w:pPr>
              <w:widowControl/>
              <w:rPr>
                <w:snapToGrid/>
                <w:color w:val="000000"/>
                <w:sz w:val="18"/>
                <w:szCs w:val="18"/>
              </w:rPr>
            </w:pPr>
            <w:r w:rsidRPr="0033720D">
              <w:rPr>
                <w:snapToGrid/>
                <w:color w:val="000000"/>
                <w:sz w:val="18"/>
                <w:szCs w:val="18"/>
              </w:rPr>
              <w:t> </w:t>
            </w:r>
          </w:p>
        </w:tc>
        <w:tc>
          <w:tcPr>
            <w:tcW w:w="1170" w:type="dxa"/>
            <w:tcBorders>
              <w:top w:val="nil"/>
              <w:left w:val="nil"/>
              <w:bottom w:val="single" w:sz="8" w:space="0" w:color="auto"/>
              <w:right w:val="single" w:sz="8" w:space="0" w:color="auto"/>
            </w:tcBorders>
            <w:shd w:val="clear" w:color="000000" w:fill="595959"/>
            <w:noWrap/>
            <w:vAlign w:val="center"/>
            <w:hideMark/>
          </w:tcPr>
          <w:p w:rsidR="00F6252C" w:rsidRPr="0033720D" w:rsidP="0033720D" w14:paraId="73EC86CE" w14:textId="77777777">
            <w:pPr>
              <w:widowControl/>
              <w:rPr>
                <w:snapToGrid/>
                <w:color w:val="000000"/>
                <w:sz w:val="18"/>
                <w:szCs w:val="18"/>
              </w:rPr>
            </w:pPr>
            <w:r w:rsidRPr="0033720D">
              <w:rPr>
                <w:snapToGrid/>
                <w:color w:val="000000"/>
                <w:sz w:val="18"/>
                <w:szCs w:val="18"/>
              </w:rPr>
              <w:t> </w:t>
            </w:r>
          </w:p>
        </w:tc>
      </w:tr>
      <w:tr w14:paraId="42ADA4CB" w14:textId="77777777" w:rsidTr="00F6252C">
        <w:tblPrEx>
          <w:tblW w:w="12680" w:type="dxa"/>
          <w:tblLook w:val="04A0"/>
        </w:tblPrEx>
        <w:trPr>
          <w:trHeight w:val="300"/>
        </w:trPr>
        <w:tc>
          <w:tcPr>
            <w:tcW w:w="2060" w:type="dxa"/>
            <w:vMerge/>
            <w:tcBorders>
              <w:top w:val="nil"/>
              <w:left w:val="single" w:sz="8" w:space="0" w:color="auto"/>
              <w:bottom w:val="single" w:sz="8" w:space="0" w:color="000000"/>
              <w:right w:val="single" w:sz="8" w:space="0" w:color="auto"/>
            </w:tcBorders>
            <w:vAlign w:val="center"/>
            <w:hideMark/>
          </w:tcPr>
          <w:p w:rsidR="00F6252C" w:rsidRPr="0033720D" w:rsidP="0033720D" w14:paraId="62DB1433" w14:textId="77777777">
            <w:pPr>
              <w:widowControl/>
              <w:rPr>
                <w:b/>
                <w:bCs/>
                <w:i/>
                <w:iCs/>
                <w:snapToGrid/>
                <w:color w:val="000000"/>
                <w:sz w:val="20"/>
              </w:rPr>
            </w:pPr>
          </w:p>
        </w:tc>
        <w:tc>
          <w:tcPr>
            <w:tcW w:w="2970" w:type="dxa"/>
            <w:vMerge/>
            <w:tcBorders>
              <w:top w:val="nil"/>
              <w:left w:val="single" w:sz="8" w:space="0" w:color="auto"/>
              <w:bottom w:val="single" w:sz="8" w:space="0" w:color="000000"/>
              <w:right w:val="single" w:sz="8" w:space="0" w:color="auto"/>
            </w:tcBorders>
            <w:vAlign w:val="center"/>
            <w:hideMark/>
          </w:tcPr>
          <w:p w:rsidR="00F6252C" w:rsidRPr="002B5E21" w:rsidP="0033720D" w14:paraId="09A2CB83" w14:textId="77777777">
            <w:pPr>
              <w:widowControl/>
              <w:rPr>
                <w:snapToGrid/>
                <w:color w:val="000000"/>
                <w:sz w:val="18"/>
                <w:szCs w:val="18"/>
              </w:rPr>
            </w:pPr>
          </w:p>
        </w:tc>
        <w:tc>
          <w:tcPr>
            <w:tcW w:w="1350" w:type="dxa"/>
            <w:tcBorders>
              <w:top w:val="nil"/>
              <w:left w:val="nil"/>
              <w:bottom w:val="single" w:sz="8" w:space="0" w:color="auto"/>
              <w:right w:val="single" w:sz="8" w:space="0" w:color="auto"/>
            </w:tcBorders>
            <w:shd w:val="clear" w:color="000000" w:fill="FCE4D6"/>
            <w:noWrap/>
            <w:vAlign w:val="center"/>
            <w:hideMark/>
          </w:tcPr>
          <w:p w:rsidR="00F6252C" w:rsidRPr="0033720D" w:rsidP="0033720D" w14:paraId="4566120B" w14:textId="77777777">
            <w:pPr>
              <w:widowControl/>
              <w:jc w:val="center"/>
              <w:rPr>
                <w:snapToGrid/>
                <w:color w:val="000000"/>
                <w:sz w:val="18"/>
                <w:szCs w:val="18"/>
              </w:rPr>
            </w:pPr>
            <w:r w:rsidRPr="0033720D">
              <w:rPr>
                <w:snapToGrid/>
                <w:color w:val="000000"/>
                <w:sz w:val="18"/>
                <w:szCs w:val="18"/>
              </w:rPr>
              <w:t>Email Activity</w:t>
            </w:r>
          </w:p>
        </w:tc>
        <w:tc>
          <w:tcPr>
            <w:tcW w:w="990" w:type="dxa"/>
            <w:tcBorders>
              <w:top w:val="nil"/>
              <w:left w:val="nil"/>
              <w:bottom w:val="single" w:sz="8" w:space="0" w:color="auto"/>
              <w:right w:val="single" w:sz="8" w:space="0" w:color="auto"/>
            </w:tcBorders>
            <w:shd w:val="clear" w:color="000000" w:fill="FCE4D6"/>
            <w:noWrap/>
            <w:vAlign w:val="center"/>
            <w:hideMark/>
          </w:tcPr>
          <w:p w:rsidR="00F6252C" w:rsidRPr="0033720D" w:rsidP="0033720D" w14:paraId="77CF0556" w14:textId="77777777">
            <w:pPr>
              <w:widowControl/>
              <w:jc w:val="center"/>
              <w:rPr>
                <w:snapToGrid/>
                <w:color w:val="000000"/>
                <w:sz w:val="18"/>
                <w:szCs w:val="18"/>
              </w:rPr>
            </w:pPr>
            <w:r w:rsidRPr="0033720D">
              <w:rPr>
                <w:snapToGrid/>
                <w:color w:val="000000"/>
                <w:sz w:val="18"/>
                <w:szCs w:val="18"/>
              </w:rPr>
              <w:t>1st Email</w:t>
            </w:r>
          </w:p>
        </w:tc>
        <w:tc>
          <w:tcPr>
            <w:tcW w:w="1042" w:type="dxa"/>
            <w:tcBorders>
              <w:top w:val="nil"/>
              <w:left w:val="nil"/>
              <w:bottom w:val="single" w:sz="8" w:space="0" w:color="auto"/>
              <w:right w:val="single" w:sz="8" w:space="0" w:color="auto"/>
            </w:tcBorders>
            <w:shd w:val="clear" w:color="000000" w:fill="595959"/>
            <w:noWrap/>
            <w:vAlign w:val="center"/>
            <w:hideMark/>
          </w:tcPr>
          <w:p w:rsidR="00F6252C" w:rsidRPr="0033720D" w:rsidP="0033720D" w14:paraId="5C0CB02C" w14:textId="77777777">
            <w:pPr>
              <w:widowControl/>
              <w:jc w:val="center"/>
              <w:rPr>
                <w:snapToGrid/>
                <w:color w:val="000000"/>
                <w:sz w:val="18"/>
                <w:szCs w:val="18"/>
              </w:rPr>
            </w:pPr>
            <w:r w:rsidRPr="0033720D">
              <w:rPr>
                <w:snapToGrid/>
                <w:color w:val="000000"/>
                <w:sz w:val="18"/>
                <w:szCs w:val="18"/>
              </w:rPr>
              <w:t> </w:t>
            </w:r>
          </w:p>
        </w:tc>
        <w:tc>
          <w:tcPr>
            <w:tcW w:w="1028" w:type="dxa"/>
            <w:tcBorders>
              <w:top w:val="nil"/>
              <w:left w:val="nil"/>
              <w:bottom w:val="single" w:sz="8" w:space="0" w:color="auto"/>
              <w:right w:val="single" w:sz="8" w:space="0" w:color="auto"/>
            </w:tcBorders>
            <w:shd w:val="clear" w:color="000000" w:fill="FCE4D6"/>
            <w:noWrap/>
            <w:vAlign w:val="center"/>
            <w:hideMark/>
          </w:tcPr>
          <w:p w:rsidR="00F6252C" w:rsidRPr="0033720D" w:rsidP="0033720D" w14:paraId="6DCF729B" w14:textId="77777777">
            <w:pPr>
              <w:widowControl/>
              <w:jc w:val="center"/>
              <w:rPr>
                <w:snapToGrid/>
                <w:color w:val="000000"/>
                <w:sz w:val="18"/>
                <w:szCs w:val="18"/>
              </w:rPr>
            </w:pPr>
            <w:r w:rsidRPr="0033720D">
              <w:rPr>
                <w:snapToGrid/>
                <w:color w:val="000000"/>
                <w:sz w:val="18"/>
                <w:szCs w:val="18"/>
              </w:rPr>
              <w:t>2nd Email</w:t>
            </w:r>
          </w:p>
        </w:tc>
        <w:tc>
          <w:tcPr>
            <w:tcW w:w="1042" w:type="dxa"/>
            <w:tcBorders>
              <w:top w:val="nil"/>
              <w:left w:val="nil"/>
              <w:bottom w:val="single" w:sz="8" w:space="0" w:color="auto"/>
              <w:right w:val="single" w:sz="8" w:space="0" w:color="auto"/>
            </w:tcBorders>
            <w:shd w:val="clear" w:color="000000" w:fill="595959"/>
            <w:noWrap/>
            <w:vAlign w:val="center"/>
            <w:hideMark/>
          </w:tcPr>
          <w:p w:rsidR="00F6252C" w:rsidRPr="0033720D" w:rsidP="0033720D" w14:paraId="4A6C905B" w14:textId="77777777">
            <w:pPr>
              <w:widowControl/>
              <w:rPr>
                <w:snapToGrid/>
                <w:color w:val="000000"/>
                <w:sz w:val="18"/>
                <w:szCs w:val="18"/>
              </w:rPr>
            </w:pPr>
            <w:r w:rsidRPr="0033720D">
              <w:rPr>
                <w:snapToGrid/>
                <w:color w:val="000000"/>
                <w:sz w:val="18"/>
                <w:szCs w:val="18"/>
              </w:rPr>
              <w:t> </w:t>
            </w:r>
          </w:p>
        </w:tc>
        <w:tc>
          <w:tcPr>
            <w:tcW w:w="1028" w:type="dxa"/>
            <w:tcBorders>
              <w:top w:val="nil"/>
              <w:left w:val="nil"/>
              <w:bottom w:val="single" w:sz="8" w:space="0" w:color="auto"/>
              <w:right w:val="single" w:sz="8" w:space="0" w:color="auto"/>
            </w:tcBorders>
            <w:shd w:val="clear" w:color="000000" w:fill="595959"/>
            <w:noWrap/>
            <w:vAlign w:val="center"/>
            <w:hideMark/>
          </w:tcPr>
          <w:p w:rsidR="00F6252C" w:rsidRPr="0033720D" w:rsidP="0033720D" w14:paraId="41EACA33" w14:textId="77777777">
            <w:pPr>
              <w:widowControl/>
              <w:rPr>
                <w:snapToGrid/>
                <w:color w:val="000000"/>
                <w:sz w:val="18"/>
                <w:szCs w:val="18"/>
              </w:rPr>
            </w:pPr>
            <w:r w:rsidRPr="0033720D">
              <w:rPr>
                <w:snapToGrid/>
                <w:color w:val="000000"/>
                <w:sz w:val="18"/>
                <w:szCs w:val="18"/>
              </w:rPr>
              <w:t> </w:t>
            </w:r>
          </w:p>
        </w:tc>
        <w:tc>
          <w:tcPr>
            <w:tcW w:w="1170" w:type="dxa"/>
            <w:tcBorders>
              <w:top w:val="nil"/>
              <w:left w:val="nil"/>
              <w:bottom w:val="single" w:sz="8" w:space="0" w:color="auto"/>
              <w:right w:val="single" w:sz="8" w:space="0" w:color="auto"/>
            </w:tcBorders>
            <w:shd w:val="clear" w:color="000000" w:fill="595959"/>
            <w:noWrap/>
            <w:vAlign w:val="center"/>
            <w:hideMark/>
          </w:tcPr>
          <w:p w:rsidR="00F6252C" w:rsidRPr="0033720D" w:rsidP="0033720D" w14:paraId="675BE9E1" w14:textId="77777777">
            <w:pPr>
              <w:widowControl/>
              <w:rPr>
                <w:snapToGrid/>
                <w:color w:val="000000"/>
                <w:sz w:val="18"/>
                <w:szCs w:val="18"/>
              </w:rPr>
            </w:pPr>
            <w:r w:rsidRPr="0033720D">
              <w:rPr>
                <w:snapToGrid/>
                <w:color w:val="000000"/>
                <w:sz w:val="18"/>
                <w:szCs w:val="18"/>
              </w:rPr>
              <w:t> </w:t>
            </w:r>
          </w:p>
        </w:tc>
      </w:tr>
      <w:tr w14:paraId="3C18AE7A" w14:textId="77777777" w:rsidTr="00F6252C">
        <w:tblPrEx>
          <w:tblW w:w="12680" w:type="dxa"/>
          <w:tblLook w:val="04A0"/>
        </w:tblPrEx>
        <w:trPr>
          <w:trHeight w:val="300"/>
        </w:trPr>
        <w:tc>
          <w:tcPr>
            <w:tcW w:w="2060" w:type="dxa"/>
            <w:vMerge/>
            <w:tcBorders>
              <w:top w:val="nil"/>
              <w:left w:val="single" w:sz="8" w:space="0" w:color="auto"/>
              <w:bottom w:val="single" w:sz="8" w:space="0" w:color="000000"/>
              <w:right w:val="single" w:sz="8" w:space="0" w:color="auto"/>
            </w:tcBorders>
            <w:vAlign w:val="center"/>
            <w:hideMark/>
          </w:tcPr>
          <w:p w:rsidR="00F6252C" w:rsidRPr="0033720D" w:rsidP="0033720D" w14:paraId="1A97D731" w14:textId="77777777">
            <w:pPr>
              <w:widowControl/>
              <w:rPr>
                <w:b/>
                <w:bCs/>
                <w:i/>
                <w:iCs/>
                <w:snapToGrid/>
                <w:color w:val="000000"/>
                <w:sz w:val="20"/>
              </w:rPr>
            </w:pPr>
          </w:p>
        </w:tc>
        <w:tc>
          <w:tcPr>
            <w:tcW w:w="2970" w:type="dxa"/>
            <w:vMerge/>
            <w:tcBorders>
              <w:top w:val="nil"/>
              <w:left w:val="single" w:sz="8" w:space="0" w:color="auto"/>
              <w:bottom w:val="single" w:sz="8" w:space="0" w:color="000000"/>
              <w:right w:val="single" w:sz="8" w:space="0" w:color="auto"/>
            </w:tcBorders>
            <w:vAlign w:val="center"/>
            <w:hideMark/>
          </w:tcPr>
          <w:p w:rsidR="00F6252C" w:rsidRPr="002B5E21" w:rsidP="0033720D" w14:paraId="4E27254D" w14:textId="77777777">
            <w:pPr>
              <w:widowControl/>
              <w:rPr>
                <w:snapToGrid/>
                <w:color w:val="000000"/>
                <w:sz w:val="18"/>
                <w:szCs w:val="18"/>
              </w:rPr>
            </w:pPr>
          </w:p>
        </w:tc>
        <w:tc>
          <w:tcPr>
            <w:tcW w:w="1350" w:type="dxa"/>
            <w:tcBorders>
              <w:top w:val="nil"/>
              <w:left w:val="nil"/>
              <w:bottom w:val="single" w:sz="8" w:space="0" w:color="auto"/>
              <w:right w:val="single" w:sz="8" w:space="0" w:color="auto"/>
            </w:tcBorders>
            <w:shd w:val="clear" w:color="000000" w:fill="FFF2CC"/>
            <w:noWrap/>
            <w:vAlign w:val="center"/>
            <w:hideMark/>
          </w:tcPr>
          <w:p w:rsidR="00F6252C" w:rsidRPr="0033720D" w:rsidP="0033720D" w14:paraId="4ECEE525" w14:textId="77777777">
            <w:pPr>
              <w:widowControl/>
              <w:jc w:val="center"/>
              <w:rPr>
                <w:snapToGrid/>
                <w:color w:val="000000"/>
                <w:sz w:val="18"/>
                <w:szCs w:val="18"/>
              </w:rPr>
            </w:pPr>
            <w:r w:rsidRPr="0033720D">
              <w:rPr>
                <w:snapToGrid/>
                <w:color w:val="000000"/>
                <w:sz w:val="18"/>
                <w:szCs w:val="18"/>
              </w:rPr>
              <w:t>Text Activity</w:t>
            </w:r>
          </w:p>
        </w:tc>
        <w:tc>
          <w:tcPr>
            <w:tcW w:w="990" w:type="dxa"/>
            <w:tcBorders>
              <w:top w:val="nil"/>
              <w:left w:val="nil"/>
              <w:bottom w:val="single" w:sz="8" w:space="0" w:color="auto"/>
              <w:right w:val="single" w:sz="8" w:space="0" w:color="auto"/>
            </w:tcBorders>
            <w:shd w:val="clear" w:color="000000" w:fill="595959"/>
            <w:noWrap/>
            <w:vAlign w:val="center"/>
            <w:hideMark/>
          </w:tcPr>
          <w:p w:rsidR="00F6252C" w:rsidRPr="0033720D" w:rsidP="0033720D" w14:paraId="7239A50A" w14:textId="77777777">
            <w:pPr>
              <w:widowControl/>
              <w:rPr>
                <w:snapToGrid/>
                <w:color w:val="000000"/>
                <w:sz w:val="18"/>
                <w:szCs w:val="18"/>
              </w:rPr>
            </w:pPr>
            <w:r w:rsidRPr="0033720D">
              <w:rPr>
                <w:snapToGrid/>
                <w:color w:val="000000"/>
                <w:sz w:val="18"/>
                <w:szCs w:val="18"/>
              </w:rPr>
              <w:t> </w:t>
            </w:r>
          </w:p>
        </w:tc>
        <w:tc>
          <w:tcPr>
            <w:tcW w:w="1042" w:type="dxa"/>
            <w:tcBorders>
              <w:top w:val="nil"/>
              <w:left w:val="nil"/>
              <w:bottom w:val="single" w:sz="8" w:space="0" w:color="auto"/>
              <w:right w:val="single" w:sz="8" w:space="0" w:color="auto"/>
            </w:tcBorders>
            <w:shd w:val="clear" w:color="000000" w:fill="595959"/>
            <w:noWrap/>
            <w:vAlign w:val="center"/>
            <w:hideMark/>
          </w:tcPr>
          <w:p w:rsidR="00F6252C" w:rsidRPr="0033720D" w:rsidP="0033720D" w14:paraId="287D605A" w14:textId="77777777">
            <w:pPr>
              <w:widowControl/>
              <w:rPr>
                <w:snapToGrid/>
                <w:color w:val="000000"/>
                <w:sz w:val="18"/>
                <w:szCs w:val="18"/>
              </w:rPr>
            </w:pPr>
            <w:r w:rsidRPr="0033720D">
              <w:rPr>
                <w:snapToGrid/>
                <w:color w:val="000000"/>
                <w:sz w:val="18"/>
                <w:szCs w:val="18"/>
              </w:rPr>
              <w:t> </w:t>
            </w:r>
          </w:p>
        </w:tc>
        <w:tc>
          <w:tcPr>
            <w:tcW w:w="1028" w:type="dxa"/>
            <w:tcBorders>
              <w:top w:val="nil"/>
              <w:left w:val="nil"/>
              <w:bottom w:val="single" w:sz="8" w:space="0" w:color="auto"/>
              <w:right w:val="single" w:sz="8" w:space="0" w:color="auto"/>
            </w:tcBorders>
            <w:shd w:val="clear" w:color="000000" w:fill="595959"/>
            <w:noWrap/>
            <w:vAlign w:val="center"/>
            <w:hideMark/>
          </w:tcPr>
          <w:p w:rsidR="00F6252C" w:rsidRPr="0033720D" w:rsidP="0033720D" w14:paraId="6CE62FF0" w14:textId="77777777">
            <w:pPr>
              <w:widowControl/>
              <w:jc w:val="center"/>
              <w:rPr>
                <w:snapToGrid/>
                <w:color w:val="000000"/>
                <w:sz w:val="18"/>
                <w:szCs w:val="18"/>
              </w:rPr>
            </w:pPr>
            <w:r w:rsidRPr="0033720D">
              <w:rPr>
                <w:snapToGrid/>
                <w:color w:val="000000"/>
                <w:sz w:val="18"/>
                <w:szCs w:val="18"/>
              </w:rPr>
              <w:t> </w:t>
            </w:r>
          </w:p>
        </w:tc>
        <w:tc>
          <w:tcPr>
            <w:tcW w:w="1042" w:type="dxa"/>
            <w:tcBorders>
              <w:top w:val="nil"/>
              <w:left w:val="nil"/>
              <w:bottom w:val="single" w:sz="8" w:space="0" w:color="auto"/>
              <w:right w:val="single" w:sz="8" w:space="0" w:color="auto"/>
            </w:tcBorders>
            <w:shd w:val="clear" w:color="000000" w:fill="595959"/>
            <w:noWrap/>
            <w:vAlign w:val="center"/>
            <w:hideMark/>
          </w:tcPr>
          <w:p w:rsidR="00F6252C" w:rsidRPr="0033720D" w:rsidP="0033720D" w14:paraId="55CA02D2" w14:textId="77777777">
            <w:pPr>
              <w:widowControl/>
              <w:jc w:val="center"/>
              <w:rPr>
                <w:snapToGrid/>
                <w:color w:val="000000"/>
                <w:sz w:val="18"/>
                <w:szCs w:val="18"/>
              </w:rPr>
            </w:pPr>
            <w:r w:rsidRPr="0033720D">
              <w:rPr>
                <w:snapToGrid/>
                <w:color w:val="000000"/>
                <w:sz w:val="18"/>
                <w:szCs w:val="18"/>
              </w:rPr>
              <w:t> </w:t>
            </w:r>
          </w:p>
        </w:tc>
        <w:tc>
          <w:tcPr>
            <w:tcW w:w="1028" w:type="dxa"/>
            <w:tcBorders>
              <w:top w:val="nil"/>
              <w:left w:val="nil"/>
              <w:bottom w:val="single" w:sz="8" w:space="0" w:color="auto"/>
              <w:right w:val="single" w:sz="8" w:space="0" w:color="auto"/>
            </w:tcBorders>
            <w:shd w:val="clear" w:color="000000" w:fill="595959"/>
            <w:noWrap/>
            <w:vAlign w:val="center"/>
            <w:hideMark/>
          </w:tcPr>
          <w:p w:rsidR="00F6252C" w:rsidRPr="0033720D" w:rsidP="0033720D" w14:paraId="41DB1D36" w14:textId="77777777">
            <w:pPr>
              <w:widowControl/>
              <w:jc w:val="center"/>
              <w:rPr>
                <w:snapToGrid/>
                <w:color w:val="000000"/>
                <w:sz w:val="18"/>
                <w:szCs w:val="18"/>
              </w:rPr>
            </w:pPr>
            <w:r w:rsidRPr="0033720D">
              <w:rPr>
                <w:snapToGrid/>
                <w:color w:val="000000"/>
                <w:sz w:val="18"/>
                <w:szCs w:val="18"/>
              </w:rPr>
              <w:t> </w:t>
            </w:r>
          </w:p>
        </w:tc>
        <w:tc>
          <w:tcPr>
            <w:tcW w:w="1170" w:type="dxa"/>
            <w:tcBorders>
              <w:top w:val="nil"/>
              <w:left w:val="nil"/>
              <w:bottom w:val="single" w:sz="8" w:space="0" w:color="auto"/>
              <w:right w:val="single" w:sz="8" w:space="0" w:color="auto"/>
            </w:tcBorders>
            <w:shd w:val="clear" w:color="000000" w:fill="595959"/>
            <w:noWrap/>
            <w:vAlign w:val="center"/>
            <w:hideMark/>
          </w:tcPr>
          <w:p w:rsidR="00F6252C" w:rsidRPr="0033720D" w:rsidP="0033720D" w14:paraId="0DFC822D" w14:textId="77777777">
            <w:pPr>
              <w:widowControl/>
              <w:jc w:val="center"/>
              <w:rPr>
                <w:snapToGrid/>
                <w:color w:val="000000"/>
                <w:sz w:val="18"/>
                <w:szCs w:val="18"/>
              </w:rPr>
            </w:pPr>
            <w:r w:rsidRPr="0033720D">
              <w:rPr>
                <w:snapToGrid/>
                <w:color w:val="000000"/>
                <w:sz w:val="18"/>
                <w:szCs w:val="18"/>
              </w:rPr>
              <w:t> </w:t>
            </w:r>
          </w:p>
        </w:tc>
      </w:tr>
      <w:tr w14:paraId="52736CE3" w14:textId="77777777" w:rsidTr="00F6252C">
        <w:tblPrEx>
          <w:tblW w:w="12680" w:type="dxa"/>
          <w:tblLook w:val="04A0"/>
        </w:tblPrEx>
        <w:trPr>
          <w:trHeight w:val="300"/>
        </w:trPr>
        <w:tc>
          <w:tcPr>
            <w:tcW w:w="2060" w:type="dxa"/>
            <w:tcBorders>
              <w:top w:val="nil"/>
              <w:left w:val="single" w:sz="8" w:space="0" w:color="auto"/>
              <w:bottom w:val="nil"/>
              <w:right w:val="nil"/>
            </w:tcBorders>
            <w:shd w:val="clear" w:color="auto" w:fill="auto"/>
            <w:vAlign w:val="center"/>
            <w:hideMark/>
          </w:tcPr>
          <w:p w:rsidR="00F6252C" w:rsidRPr="0033720D" w:rsidP="0033720D" w14:paraId="19EA4CC6" w14:textId="77777777">
            <w:pPr>
              <w:widowControl/>
              <w:rPr>
                <w:snapToGrid/>
                <w:color w:val="000000"/>
                <w:sz w:val="20"/>
              </w:rPr>
            </w:pPr>
            <w:r w:rsidRPr="0033720D">
              <w:rPr>
                <w:snapToGrid/>
                <w:color w:val="000000"/>
                <w:sz w:val="20"/>
              </w:rPr>
              <w:t> </w:t>
            </w:r>
          </w:p>
        </w:tc>
        <w:tc>
          <w:tcPr>
            <w:tcW w:w="2970" w:type="dxa"/>
            <w:tcBorders>
              <w:top w:val="nil"/>
              <w:left w:val="nil"/>
              <w:bottom w:val="nil"/>
              <w:right w:val="nil"/>
            </w:tcBorders>
            <w:shd w:val="clear" w:color="auto" w:fill="auto"/>
            <w:noWrap/>
            <w:vAlign w:val="center"/>
            <w:hideMark/>
          </w:tcPr>
          <w:p w:rsidR="00F6252C" w:rsidRPr="002B5E21" w:rsidP="0033720D" w14:paraId="4C900239" w14:textId="77777777">
            <w:pPr>
              <w:widowControl/>
              <w:rPr>
                <w:snapToGrid/>
                <w:color w:val="000000"/>
                <w:sz w:val="20"/>
              </w:rPr>
            </w:pPr>
          </w:p>
        </w:tc>
        <w:tc>
          <w:tcPr>
            <w:tcW w:w="1350" w:type="dxa"/>
            <w:tcBorders>
              <w:top w:val="nil"/>
              <w:left w:val="nil"/>
              <w:bottom w:val="nil"/>
              <w:right w:val="nil"/>
            </w:tcBorders>
            <w:shd w:val="clear" w:color="auto" w:fill="auto"/>
            <w:noWrap/>
            <w:vAlign w:val="center"/>
            <w:hideMark/>
          </w:tcPr>
          <w:p w:rsidR="00F6252C" w:rsidRPr="0033720D" w:rsidP="0033720D" w14:paraId="4BB22AAF" w14:textId="77777777">
            <w:pPr>
              <w:widowControl/>
              <w:rPr>
                <w:snapToGrid/>
                <w:sz w:val="20"/>
              </w:rPr>
            </w:pPr>
          </w:p>
        </w:tc>
        <w:tc>
          <w:tcPr>
            <w:tcW w:w="990" w:type="dxa"/>
            <w:tcBorders>
              <w:top w:val="nil"/>
              <w:left w:val="nil"/>
              <w:bottom w:val="single" w:sz="8" w:space="0" w:color="auto"/>
              <w:right w:val="nil"/>
            </w:tcBorders>
            <w:shd w:val="clear" w:color="auto" w:fill="auto"/>
            <w:noWrap/>
            <w:vAlign w:val="center"/>
            <w:hideMark/>
          </w:tcPr>
          <w:p w:rsidR="00F6252C" w:rsidRPr="0033720D" w:rsidP="0033720D" w14:paraId="0D1C5D95" w14:textId="77777777">
            <w:pPr>
              <w:widowControl/>
              <w:jc w:val="center"/>
              <w:rPr>
                <w:snapToGrid/>
                <w:color w:val="000000"/>
                <w:sz w:val="18"/>
                <w:szCs w:val="18"/>
              </w:rPr>
            </w:pPr>
            <w:r w:rsidRPr="0033720D">
              <w:rPr>
                <w:snapToGrid/>
                <w:color w:val="000000"/>
                <w:sz w:val="18"/>
                <w:szCs w:val="18"/>
              </w:rPr>
              <w:t> </w:t>
            </w:r>
          </w:p>
        </w:tc>
        <w:tc>
          <w:tcPr>
            <w:tcW w:w="1042" w:type="dxa"/>
            <w:tcBorders>
              <w:top w:val="nil"/>
              <w:left w:val="nil"/>
              <w:bottom w:val="single" w:sz="8" w:space="0" w:color="auto"/>
              <w:right w:val="nil"/>
            </w:tcBorders>
            <w:shd w:val="clear" w:color="auto" w:fill="auto"/>
            <w:noWrap/>
            <w:vAlign w:val="center"/>
            <w:hideMark/>
          </w:tcPr>
          <w:p w:rsidR="00F6252C" w:rsidRPr="0033720D" w:rsidP="0033720D" w14:paraId="143EE716" w14:textId="77777777">
            <w:pPr>
              <w:widowControl/>
              <w:jc w:val="center"/>
              <w:rPr>
                <w:snapToGrid/>
                <w:color w:val="000000"/>
                <w:sz w:val="18"/>
                <w:szCs w:val="18"/>
              </w:rPr>
            </w:pPr>
            <w:r w:rsidRPr="0033720D">
              <w:rPr>
                <w:snapToGrid/>
                <w:color w:val="000000"/>
                <w:sz w:val="18"/>
                <w:szCs w:val="18"/>
              </w:rPr>
              <w:t> </w:t>
            </w:r>
          </w:p>
        </w:tc>
        <w:tc>
          <w:tcPr>
            <w:tcW w:w="1028" w:type="dxa"/>
            <w:tcBorders>
              <w:top w:val="nil"/>
              <w:left w:val="nil"/>
              <w:bottom w:val="single" w:sz="8" w:space="0" w:color="auto"/>
              <w:right w:val="nil"/>
            </w:tcBorders>
            <w:shd w:val="clear" w:color="auto" w:fill="auto"/>
            <w:noWrap/>
            <w:vAlign w:val="center"/>
            <w:hideMark/>
          </w:tcPr>
          <w:p w:rsidR="00F6252C" w:rsidRPr="0033720D" w:rsidP="0033720D" w14:paraId="4C33F52F" w14:textId="77777777">
            <w:pPr>
              <w:widowControl/>
              <w:jc w:val="center"/>
              <w:rPr>
                <w:snapToGrid/>
                <w:color w:val="000000"/>
                <w:sz w:val="18"/>
                <w:szCs w:val="18"/>
              </w:rPr>
            </w:pPr>
            <w:r w:rsidRPr="0033720D">
              <w:rPr>
                <w:snapToGrid/>
                <w:color w:val="000000"/>
                <w:sz w:val="18"/>
                <w:szCs w:val="18"/>
              </w:rPr>
              <w:t> </w:t>
            </w:r>
          </w:p>
        </w:tc>
        <w:tc>
          <w:tcPr>
            <w:tcW w:w="1042" w:type="dxa"/>
            <w:tcBorders>
              <w:top w:val="nil"/>
              <w:left w:val="nil"/>
              <w:bottom w:val="single" w:sz="8" w:space="0" w:color="auto"/>
              <w:right w:val="nil"/>
            </w:tcBorders>
            <w:shd w:val="clear" w:color="auto" w:fill="auto"/>
            <w:noWrap/>
            <w:vAlign w:val="center"/>
            <w:hideMark/>
          </w:tcPr>
          <w:p w:rsidR="00F6252C" w:rsidRPr="0033720D" w:rsidP="0033720D" w14:paraId="0051DCC7" w14:textId="77777777">
            <w:pPr>
              <w:widowControl/>
              <w:jc w:val="center"/>
              <w:rPr>
                <w:snapToGrid/>
                <w:color w:val="000000"/>
                <w:sz w:val="18"/>
                <w:szCs w:val="18"/>
              </w:rPr>
            </w:pPr>
            <w:r w:rsidRPr="0033720D">
              <w:rPr>
                <w:snapToGrid/>
                <w:color w:val="000000"/>
                <w:sz w:val="18"/>
                <w:szCs w:val="18"/>
              </w:rPr>
              <w:t> </w:t>
            </w:r>
          </w:p>
        </w:tc>
        <w:tc>
          <w:tcPr>
            <w:tcW w:w="1028" w:type="dxa"/>
            <w:tcBorders>
              <w:top w:val="nil"/>
              <w:left w:val="nil"/>
              <w:bottom w:val="single" w:sz="8" w:space="0" w:color="auto"/>
              <w:right w:val="nil"/>
            </w:tcBorders>
            <w:shd w:val="clear" w:color="auto" w:fill="auto"/>
            <w:noWrap/>
            <w:vAlign w:val="center"/>
            <w:hideMark/>
          </w:tcPr>
          <w:p w:rsidR="00F6252C" w:rsidRPr="0033720D" w:rsidP="0033720D" w14:paraId="5F8F6375" w14:textId="77777777">
            <w:pPr>
              <w:widowControl/>
              <w:jc w:val="center"/>
              <w:rPr>
                <w:snapToGrid/>
                <w:color w:val="000000"/>
                <w:sz w:val="18"/>
                <w:szCs w:val="18"/>
              </w:rPr>
            </w:pPr>
            <w:r w:rsidRPr="0033720D">
              <w:rPr>
                <w:snapToGrid/>
                <w:color w:val="000000"/>
                <w:sz w:val="18"/>
                <w:szCs w:val="18"/>
              </w:rPr>
              <w:t> </w:t>
            </w:r>
          </w:p>
        </w:tc>
        <w:tc>
          <w:tcPr>
            <w:tcW w:w="1170" w:type="dxa"/>
            <w:tcBorders>
              <w:top w:val="nil"/>
              <w:left w:val="nil"/>
              <w:bottom w:val="single" w:sz="8" w:space="0" w:color="auto"/>
              <w:right w:val="single" w:sz="8" w:space="0" w:color="auto"/>
            </w:tcBorders>
            <w:shd w:val="clear" w:color="auto" w:fill="auto"/>
            <w:noWrap/>
            <w:vAlign w:val="center"/>
            <w:hideMark/>
          </w:tcPr>
          <w:p w:rsidR="00F6252C" w:rsidRPr="0033720D" w:rsidP="0033720D" w14:paraId="1AE75CF2" w14:textId="77777777">
            <w:pPr>
              <w:widowControl/>
              <w:jc w:val="center"/>
              <w:rPr>
                <w:snapToGrid/>
                <w:color w:val="000000"/>
                <w:sz w:val="18"/>
                <w:szCs w:val="18"/>
              </w:rPr>
            </w:pPr>
            <w:r w:rsidRPr="0033720D">
              <w:rPr>
                <w:snapToGrid/>
                <w:color w:val="000000"/>
                <w:sz w:val="18"/>
                <w:szCs w:val="18"/>
              </w:rPr>
              <w:t> </w:t>
            </w:r>
          </w:p>
        </w:tc>
      </w:tr>
      <w:tr w14:paraId="1DD1C761" w14:textId="77777777" w:rsidTr="00941915">
        <w:tblPrEx>
          <w:tblW w:w="12680" w:type="dxa"/>
          <w:tblLook w:val="04A0"/>
        </w:tblPrEx>
        <w:trPr>
          <w:trHeight w:val="300"/>
        </w:trPr>
        <w:tc>
          <w:tcPr>
            <w:tcW w:w="20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1915" w:rsidRPr="0033720D" w:rsidP="00941915" w14:paraId="31252F0F" w14:textId="77777777">
            <w:pPr>
              <w:widowControl/>
              <w:jc w:val="center"/>
              <w:rPr>
                <w:b/>
                <w:bCs/>
                <w:i/>
                <w:iCs/>
                <w:snapToGrid/>
                <w:color w:val="000000"/>
                <w:sz w:val="20"/>
              </w:rPr>
            </w:pPr>
            <w:r w:rsidRPr="0033720D">
              <w:rPr>
                <w:b/>
                <w:bCs/>
                <w:i/>
                <w:iCs/>
                <w:snapToGrid/>
                <w:color w:val="000000"/>
                <w:sz w:val="20"/>
              </w:rPr>
              <w:t>Standard/Control Group (Personal Email Available)</w:t>
            </w:r>
          </w:p>
        </w:tc>
        <w:tc>
          <w:tcPr>
            <w:tcW w:w="2970" w:type="dxa"/>
            <w:vMerge w:val="restart"/>
            <w:tcBorders>
              <w:top w:val="single" w:sz="8" w:space="0" w:color="000000"/>
              <w:left w:val="single" w:sz="8" w:space="0" w:color="auto"/>
              <w:bottom w:val="single" w:sz="8" w:space="0" w:color="000000"/>
              <w:right w:val="single" w:sz="8" w:space="0" w:color="auto"/>
            </w:tcBorders>
            <w:shd w:val="clear" w:color="auto" w:fill="auto"/>
            <w:vAlign w:val="center"/>
            <w:hideMark/>
          </w:tcPr>
          <w:p w:rsidR="00941915" w:rsidRPr="002B5E21" w:rsidP="00941915" w14:paraId="6463D895" w14:textId="61A69466">
            <w:pPr>
              <w:widowControl/>
              <w:jc w:val="center"/>
              <w:rPr>
                <w:snapToGrid/>
                <w:color w:val="000000"/>
                <w:sz w:val="18"/>
                <w:szCs w:val="18"/>
              </w:rPr>
            </w:pPr>
          </w:p>
          <w:p w:rsidR="00941915" w:rsidRPr="002B5E21" w:rsidP="00941915" w14:paraId="04F8BAD2" w14:textId="5FFB4031">
            <w:pPr>
              <w:widowControl/>
              <w:jc w:val="center"/>
              <w:rPr>
                <w:snapToGrid/>
                <w:color w:val="000000"/>
                <w:sz w:val="18"/>
                <w:szCs w:val="18"/>
              </w:rPr>
            </w:pPr>
            <w:r w:rsidRPr="002B5E21">
              <w:rPr>
                <w:snapToGrid/>
                <w:color w:val="000000"/>
                <w:sz w:val="18"/>
                <w:szCs w:val="18"/>
              </w:rPr>
              <w:t>4,882 public school principals</w:t>
            </w:r>
          </w:p>
          <w:p w:rsidR="00941915" w:rsidRPr="002B5E21" w:rsidP="00941915" w14:paraId="7A8B302E" w14:textId="4497C326">
            <w:pPr>
              <w:widowControl/>
              <w:jc w:val="center"/>
              <w:rPr>
                <w:snapToGrid/>
                <w:color w:val="000000"/>
                <w:sz w:val="18"/>
                <w:szCs w:val="18"/>
              </w:rPr>
            </w:pPr>
            <w:r w:rsidRPr="002B5E21">
              <w:rPr>
                <w:snapToGrid/>
                <w:color w:val="000000"/>
                <w:sz w:val="18"/>
                <w:szCs w:val="18"/>
              </w:rPr>
              <w:t>878 private school principals</w:t>
            </w:r>
          </w:p>
        </w:tc>
        <w:tc>
          <w:tcPr>
            <w:tcW w:w="1350" w:type="dxa"/>
            <w:tcBorders>
              <w:top w:val="single" w:sz="8" w:space="0" w:color="auto"/>
              <w:left w:val="nil"/>
              <w:bottom w:val="single" w:sz="8" w:space="0" w:color="auto"/>
              <w:right w:val="single" w:sz="8" w:space="0" w:color="auto"/>
            </w:tcBorders>
            <w:shd w:val="clear" w:color="000000" w:fill="D9E1F2"/>
            <w:noWrap/>
            <w:vAlign w:val="center"/>
            <w:hideMark/>
          </w:tcPr>
          <w:p w:rsidR="00941915" w:rsidRPr="0033720D" w:rsidP="00941915" w14:paraId="48C45DD4" w14:textId="77777777">
            <w:pPr>
              <w:widowControl/>
              <w:jc w:val="center"/>
              <w:rPr>
                <w:snapToGrid/>
                <w:color w:val="000000"/>
                <w:sz w:val="18"/>
                <w:szCs w:val="18"/>
              </w:rPr>
            </w:pPr>
            <w:r w:rsidRPr="0033720D">
              <w:rPr>
                <w:snapToGrid/>
                <w:color w:val="000000"/>
                <w:sz w:val="18"/>
                <w:szCs w:val="18"/>
              </w:rPr>
              <w:t>Mail Activity</w:t>
            </w:r>
          </w:p>
        </w:tc>
        <w:tc>
          <w:tcPr>
            <w:tcW w:w="990" w:type="dxa"/>
            <w:tcBorders>
              <w:top w:val="nil"/>
              <w:left w:val="nil"/>
              <w:bottom w:val="single" w:sz="8" w:space="0" w:color="auto"/>
              <w:right w:val="single" w:sz="8" w:space="0" w:color="auto"/>
            </w:tcBorders>
            <w:shd w:val="clear" w:color="000000" w:fill="595959"/>
            <w:noWrap/>
            <w:vAlign w:val="center"/>
            <w:hideMark/>
          </w:tcPr>
          <w:p w:rsidR="00941915" w:rsidRPr="0033720D" w:rsidP="00941915" w14:paraId="30507771" w14:textId="77777777">
            <w:pPr>
              <w:widowControl/>
              <w:jc w:val="center"/>
              <w:rPr>
                <w:snapToGrid/>
                <w:color w:val="000000"/>
                <w:sz w:val="18"/>
                <w:szCs w:val="18"/>
              </w:rPr>
            </w:pPr>
            <w:r w:rsidRPr="0033720D">
              <w:rPr>
                <w:snapToGrid/>
                <w:color w:val="000000"/>
                <w:sz w:val="18"/>
                <w:szCs w:val="18"/>
              </w:rPr>
              <w:t> </w:t>
            </w:r>
          </w:p>
        </w:tc>
        <w:tc>
          <w:tcPr>
            <w:tcW w:w="1042" w:type="dxa"/>
            <w:tcBorders>
              <w:top w:val="nil"/>
              <w:left w:val="nil"/>
              <w:bottom w:val="single" w:sz="8" w:space="0" w:color="auto"/>
              <w:right w:val="single" w:sz="8" w:space="0" w:color="auto"/>
            </w:tcBorders>
            <w:shd w:val="clear" w:color="000000" w:fill="595959"/>
            <w:noWrap/>
            <w:vAlign w:val="center"/>
            <w:hideMark/>
          </w:tcPr>
          <w:p w:rsidR="00941915" w:rsidRPr="0033720D" w:rsidP="00941915" w14:paraId="1A02F355" w14:textId="77777777">
            <w:pPr>
              <w:widowControl/>
              <w:jc w:val="center"/>
              <w:rPr>
                <w:snapToGrid/>
                <w:color w:val="000000"/>
                <w:sz w:val="18"/>
                <w:szCs w:val="18"/>
              </w:rPr>
            </w:pPr>
            <w:r w:rsidRPr="0033720D">
              <w:rPr>
                <w:snapToGrid/>
                <w:color w:val="000000"/>
                <w:sz w:val="18"/>
                <w:szCs w:val="18"/>
              </w:rPr>
              <w:t> </w:t>
            </w:r>
          </w:p>
        </w:tc>
        <w:tc>
          <w:tcPr>
            <w:tcW w:w="1028" w:type="dxa"/>
            <w:tcBorders>
              <w:top w:val="nil"/>
              <w:left w:val="nil"/>
              <w:bottom w:val="single" w:sz="8" w:space="0" w:color="auto"/>
              <w:right w:val="single" w:sz="8" w:space="0" w:color="auto"/>
            </w:tcBorders>
            <w:shd w:val="clear" w:color="000000" w:fill="595959"/>
            <w:noWrap/>
            <w:vAlign w:val="center"/>
            <w:hideMark/>
          </w:tcPr>
          <w:p w:rsidR="00941915" w:rsidRPr="0033720D" w:rsidP="00941915" w14:paraId="7E3DD014" w14:textId="77777777">
            <w:pPr>
              <w:widowControl/>
              <w:jc w:val="center"/>
              <w:rPr>
                <w:snapToGrid/>
                <w:color w:val="000000"/>
                <w:sz w:val="18"/>
                <w:szCs w:val="18"/>
              </w:rPr>
            </w:pPr>
            <w:r w:rsidRPr="0033720D">
              <w:rPr>
                <w:snapToGrid/>
                <w:color w:val="000000"/>
                <w:sz w:val="18"/>
                <w:szCs w:val="18"/>
              </w:rPr>
              <w:t> </w:t>
            </w:r>
          </w:p>
        </w:tc>
        <w:tc>
          <w:tcPr>
            <w:tcW w:w="1042" w:type="dxa"/>
            <w:tcBorders>
              <w:top w:val="nil"/>
              <w:left w:val="nil"/>
              <w:bottom w:val="single" w:sz="8" w:space="0" w:color="auto"/>
              <w:right w:val="single" w:sz="8" w:space="0" w:color="auto"/>
            </w:tcBorders>
            <w:shd w:val="clear" w:color="000000" w:fill="D9E1F2"/>
            <w:noWrap/>
            <w:vAlign w:val="center"/>
            <w:hideMark/>
          </w:tcPr>
          <w:p w:rsidR="00941915" w:rsidRPr="0033720D" w:rsidP="00941915" w14:paraId="2464850E" w14:textId="77777777">
            <w:pPr>
              <w:widowControl/>
              <w:jc w:val="center"/>
              <w:rPr>
                <w:snapToGrid/>
                <w:color w:val="000000"/>
                <w:sz w:val="18"/>
                <w:szCs w:val="18"/>
              </w:rPr>
            </w:pPr>
            <w:r w:rsidRPr="0033720D">
              <w:rPr>
                <w:snapToGrid/>
                <w:color w:val="000000"/>
                <w:sz w:val="18"/>
                <w:szCs w:val="18"/>
              </w:rPr>
              <w:t>1st Mail</w:t>
            </w:r>
          </w:p>
        </w:tc>
        <w:tc>
          <w:tcPr>
            <w:tcW w:w="1028" w:type="dxa"/>
            <w:tcBorders>
              <w:top w:val="nil"/>
              <w:left w:val="nil"/>
              <w:bottom w:val="single" w:sz="8" w:space="0" w:color="auto"/>
              <w:right w:val="single" w:sz="8" w:space="0" w:color="auto"/>
            </w:tcBorders>
            <w:shd w:val="clear" w:color="000000" w:fill="595959"/>
            <w:noWrap/>
            <w:vAlign w:val="center"/>
            <w:hideMark/>
          </w:tcPr>
          <w:p w:rsidR="00941915" w:rsidRPr="0033720D" w:rsidP="00941915" w14:paraId="3F51323E" w14:textId="77777777">
            <w:pPr>
              <w:widowControl/>
              <w:rPr>
                <w:snapToGrid/>
                <w:color w:val="000000"/>
                <w:sz w:val="18"/>
                <w:szCs w:val="18"/>
              </w:rPr>
            </w:pPr>
            <w:r w:rsidRPr="0033720D">
              <w:rPr>
                <w:snapToGrid/>
                <w:color w:val="000000"/>
                <w:sz w:val="18"/>
                <w:szCs w:val="18"/>
              </w:rPr>
              <w:t> </w:t>
            </w:r>
          </w:p>
        </w:tc>
        <w:tc>
          <w:tcPr>
            <w:tcW w:w="1170" w:type="dxa"/>
            <w:tcBorders>
              <w:top w:val="nil"/>
              <w:left w:val="nil"/>
              <w:bottom w:val="single" w:sz="8" w:space="0" w:color="auto"/>
              <w:right w:val="single" w:sz="8" w:space="0" w:color="auto"/>
            </w:tcBorders>
            <w:shd w:val="clear" w:color="auto" w:fill="D9E1F2"/>
            <w:noWrap/>
            <w:vAlign w:val="center"/>
            <w:hideMark/>
          </w:tcPr>
          <w:p w:rsidR="00941915" w:rsidRPr="0033720D" w:rsidP="00C27A6E" w14:paraId="29014B4B" w14:textId="77ECB26A">
            <w:pPr>
              <w:widowControl/>
              <w:jc w:val="center"/>
              <w:rPr>
                <w:snapToGrid/>
                <w:color w:val="000000"/>
                <w:sz w:val="18"/>
                <w:szCs w:val="18"/>
              </w:rPr>
            </w:pPr>
            <w:r w:rsidRPr="0033720D">
              <w:rPr>
                <w:snapToGrid/>
                <w:color w:val="000000"/>
                <w:sz w:val="18"/>
                <w:szCs w:val="18"/>
              </w:rPr>
              <w:t>2nd Mail</w:t>
            </w:r>
          </w:p>
        </w:tc>
      </w:tr>
      <w:tr w14:paraId="1F88D309" w14:textId="77777777" w:rsidTr="00F6252C">
        <w:tblPrEx>
          <w:tblW w:w="12680" w:type="dxa"/>
          <w:tblLook w:val="04A0"/>
        </w:tblPrEx>
        <w:trPr>
          <w:trHeight w:val="300"/>
        </w:trPr>
        <w:tc>
          <w:tcPr>
            <w:tcW w:w="2060" w:type="dxa"/>
            <w:vMerge/>
            <w:tcBorders>
              <w:top w:val="single" w:sz="8" w:space="0" w:color="auto"/>
              <w:left w:val="single" w:sz="8" w:space="0" w:color="auto"/>
              <w:bottom w:val="single" w:sz="8" w:space="0" w:color="000000"/>
              <w:right w:val="single" w:sz="8" w:space="0" w:color="auto"/>
            </w:tcBorders>
            <w:vAlign w:val="center"/>
            <w:hideMark/>
          </w:tcPr>
          <w:p w:rsidR="00941915" w:rsidRPr="0033720D" w:rsidP="00941915" w14:paraId="13DA931B" w14:textId="77777777">
            <w:pPr>
              <w:widowControl/>
              <w:rPr>
                <w:b/>
                <w:bCs/>
                <w:i/>
                <w:iCs/>
                <w:snapToGrid/>
                <w:color w:val="000000"/>
                <w:sz w:val="20"/>
              </w:rPr>
            </w:pPr>
          </w:p>
        </w:tc>
        <w:tc>
          <w:tcPr>
            <w:tcW w:w="2970" w:type="dxa"/>
            <w:vMerge/>
            <w:tcBorders>
              <w:top w:val="single" w:sz="8" w:space="0" w:color="000000"/>
              <w:left w:val="single" w:sz="8" w:space="0" w:color="auto"/>
              <w:bottom w:val="single" w:sz="8" w:space="0" w:color="000000"/>
              <w:right w:val="single" w:sz="8" w:space="0" w:color="auto"/>
            </w:tcBorders>
            <w:vAlign w:val="center"/>
            <w:hideMark/>
          </w:tcPr>
          <w:p w:rsidR="00941915" w:rsidRPr="002B5E21" w:rsidP="00941915" w14:paraId="434A357F" w14:textId="77777777">
            <w:pPr>
              <w:widowControl/>
              <w:rPr>
                <w:snapToGrid/>
                <w:color w:val="000000"/>
                <w:sz w:val="18"/>
                <w:szCs w:val="18"/>
              </w:rPr>
            </w:pPr>
          </w:p>
        </w:tc>
        <w:tc>
          <w:tcPr>
            <w:tcW w:w="1350" w:type="dxa"/>
            <w:tcBorders>
              <w:top w:val="nil"/>
              <w:left w:val="nil"/>
              <w:bottom w:val="single" w:sz="8" w:space="0" w:color="auto"/>
              <w:right w:val="single" w:sz="8" w:space="0" w:color="auto"/>
            </w:tcBorders>
            <w:shd w:val="clear" w:color="000000" w:fill="FCE4D6"/>
            <w:noWrap/>
            <w:vAlign w:val="center"/>
            <w:hideMark/>
          </w:tcPr>
          <w:p w:rsidR="00941915" w:rsidRPr="0033720D" w:rsidP="00941915" w14:paraId="10F315F1" w14:textId="77777777">
            <w:pPr>
              <w:widowControl/>
              <w:jc w:val="center"/>
              <w:rPr>
                <w:snapToGrid/>
                <w:color w:val="000000"/>
                <w:sz w:val="18"/>
                <w:szCs w:val="18"/>
              </w:rPr>
            </w:pPr>
            <w:r w:rsidRPr="0033720D">
              <w:rPr>
                <w:snapToGrid/>
                <w:color w:val="000000"/>
                <w:sz w:val="18"/>
                <w:szCs w:val="18"/>
              </w:rPr>
              <w:t>Email Activity</w:t>
            </w:r>
          </w:p>
        </w:tc>
        <w:tc>
          <w:tcPr>
            <w:tcW w:w="990" w:type="dxa"/>
            <w:tcBorders>
              <w:top w:val="nil"/>
              <w:left w:val="nil"/>
              <w:bottom w:val="single" w:sz="8" w:space="0" w:color="auto"/>
              <w:right w:val="single" w:sz="8" w:space="0" w:color="auto"/>
            </w:tcBorders>
            <w:shd w:val="clear" w:color="000000" w:fill="FCE4D6"/>
            <w:noWrap/>
            <w:vAlign w:val="center"/>
            <w:hideMark/>
          </w:tcPr>
          <w:p w:rsidR="00941915" w:rsidRPr="0033720D" w:rsidP="00941915" w14:paraId="589D78FE" w14:textId="77777777">
            <w:pPr>
              <w:widowControl/>
              <w:jc w:val="center"/>
              <w:rPr>
                <w:snapToGrid/>
                <w:color w:val="000000"/>
                <w:sz w:val="18"/>
                <w:szCs w:val="18"/>
              </w:rPr>
            </w:pPr>
            <w:r w:rsidRPr="0033720D">
              <w:rPr>
                <w:snapToGrid/>
                <w:color w:val="000000"/>
                <w:sz w:val="18"/>
                <w:szCs w:val="18"/>
              </w:rPr>
              <w:t>1st Email</w:t>
            </w:r>
          </w:p>
        </w:tc>
        <w:tc>
          <w:tcPr>
            <w:tcW w:w="1042" w:type="dxa"/>
            <w:tcBorders>
              <w:top w:val="nil"/>
              <w:left w:val="nil"/>
              <w:bottom w:val="single" w:sz="8" w:space="0" w:color="auto"/>
              <w:right w:val="single" w:sz="8" w:space="0" w:color="auto"/>
            </w:tcBorders>
            <w:shd w:val="clear" w:color="000000" w:fill="FCE4D6"/>
            <w:noWrap/>
            <w:vAlign w:val="center"/>
            <w:hideMark/>
          </w:tcPr>
          <w:p w:rsidR="00941915" w:rsidRPr="0033720D" w:rsidP="00941915" w14:paraId="2C379C30" w14:textId="77777777">
            <w:pPr>
              <w:widowControl/>
              <w:jc w:val="center"/>
              <w:rPr>
                <w:snapToGrid/>
                <w:color w:val="000000"/>
                <w:sz w:val="18"/>
                <w:szCs w:val="18"/>
              </w:rPr>
            </w:pPr>
            <w:r w:rsidRPr="0033720D">
              <w:rPr>
                <w:snapToGrid/>
                <w:color w:val="000000"/>
                <w:sz w:val="18"/>
                <w:szCs w:val="18"/>
              </w:rPr>
              <w:t>2nd Email</w:t>
            </w:r>
          </w:p>
        </w:tc>
        <w:tc>
          <w:tcPr>
            <w:tcW w:w="1028" w:type="dxa"/>
            <w:tcBorders>
              <w:top w:val="nil"/>
              <w:left w:val="nil"/>
              <w:bottom w:val="single" w:sz="8" w:space="0" w:color="auto"/>
              <w:right w:val="single" w:sz="8" w:space="0" w:color="auto"/>
            </w:tcBorders>
            <w:shd w:val="clear" w:color="000000" w:fill="FCE4D6"/>
            <w:noWrap/>
            <w:vAlign w:val="center"/>
            <w:hideMark/>
          </w:tcPr>
          <w:p w:rsidR="00941915" w:rsidRPr="0033720D" w:rsidP="00941915" w14:paraId="6C6FB733" w14:textId="77777777">
            <w:pPr>
              <w:widowControl/>
              <w:jc w:val="center"/>
              <w:rPr>
                <w:snapToGrid/>
                <w:color w:val="000000"/>
                <w:sz w:val="18"/>
                <w:szCs w:val="18"/>
              </w:rPr>
            </w:pPr>
            <w:r w:rsidRPr="0033720D">
              <w:rPr>
                <w:snapToGrid/>
                <w:color w:val="000000"/>
                <w:sz w:val="18"/>
                <w:szCs w:val="18"/>
              </w:rPr>
              <w:t>3rd Email</w:t>
            </w:r>
          </w:p>
        </w:tc>
        <w:tc>
          <w:tcPr>
            <w:tcW w:w="1042" w:type="dxa"/>
            <w:tcBorders>
              <w:top w:val="nil"/>
              <w:left w:val="nil"/>
              <w:bottom w:val="single" w:sz="8" w:space="0" w:color="auto"/>
              <w:right w:val="single" w:sz="8" w:space="0" w:color="auto"/>
            </w:tcBorders>
            <w:shd w:val="clear" w:color="000000" w:fill="595959"/>
            <w:noWrap/>
            <w:vAlign w:val="center"/>
            <w:hideMark/>
          </w:tcPr>
          <w:p w:rsidR="00941915" w:rsidRPr="0033720D" w:rsidP="00941915" w14:paraId="14D41099" w14:textId="77777777">
            <w:pPr>
              <w:widowControl/>
              <w:rPr>
                <w:snapToGrid/>
                <w:color w:val="000000"/>
                <w:sz w:val="18"/>
                <w:szCs w:val="18"/>
              </w:rPr>
            </w:pPr>
            <w:r w:rsidRPr="0033720D">
              <w:rPr>
                <w:snapToGrid/>
                <w:color w:val="000000"/>
                <w:sz w:val="18"/>
                <w:szCs w:val="18"/>
              </w:rPr>
              <w:t> </w:t>
            </w:r>
          </w:p>
        </w:tc>
        <w:tc>
          <w:tcPr>
            <w:tcW w:w="1028" w:type="dxa"/>
            <w:tcBorders>
              <w:top w:val="nil"/>
              <w:left w:val="nil"/>
              <w:bottom w:val="single" w:sz="8" w:space="0" w:color="auto"/>
              <w:right w:val="single" w:sz="8" w:space="0" w:color="auto"/>
            </w:tcBorders>
            <w:shd w:val="clear" w:color="000000" w:fill="595959"/>
            <w:noWrap/>
            <w:vAlign w:val="center"/>
            <w:hideMark/>
          </w:tcPr>
          <w:p w:rsidR="00941915" w:rsidRPr="0033720D" w:rsidP="00941915" w14:paraId="268D74CE" w14:textId="77777777">
            <w:pPr>
              <w:widowControl/>
              <w:rPr>
                <w:snapToGrid/>
                <w:color w:val="000000"/>
                <w:sz w:val="18"/>
                <w:szCs w:val="18"/>
              </w:rPr>
            </w:pPr>
            <w:r w:rsidRPr="0033720D">
              <w:rPr>
                <w:snapToGrid/>
                <w:color w:val="000000"/>
                <w:sz w:val="18"/>
                <w:szCs w:val="18"/>
              </w:rPr>
              <w:t> </w:t>
            </w:r>
          </w:p>
        </w:tc>
        <w:tc>
          <w:tcPr>
            <w:tcW w:w="1170" w:type="dxa"/>
            <w:tcBorders>
              <w:top w:val="nil"/>
              <w:left w:val="nil"/>
              <w:bottom w:val="single" w:sz="8" w:space="0" w:color="auto"/>
              <w:right w:val="single" w:sz="8" w:space="0" w:color="auto"/>
            </w:tcBorders>
            <w:shd w:val="clear" w:color="000000" w:fill="595959"/>
            <w:noWrap/>
            <w:vAlign w:val="center"/>
            <w:hideMark/>
          </w:tcPr>
          <w:p w:rsidR="00941915" w:rsidRPr="0033720D" w:rsidP="00941915" w14:paraId="1BC6D7A8" w14:textId="77777777">
            <w:pPr>
              <w:widowControl/>
              <w:rPr>
                <w:snapToGrid/>
                <w:color w:val="000000"/>
                <w:sz w:val="18"/>
                <w:szCs w:val="18"/>
              </w:rPr>
            </w:pPr>
            <w:r w:rsidRPr="0033720D">
              <w:rPr>
                <w:snapToGrid/>
                <w:color w:val="000000"/>
                <w:sz w:val="18"/>
                <w:szCs w:val="18"/>
              </w:rPr>
              <w:t> </w:t>
            </w:r>
          </w:p>
        </w:tc>
      </w:tr>
      <w:tr w14:paraId="15269147" w14:textId="77777777" w:rsidTr="00F6252C">
        <w:tblPrEx>
          <w:tblW w:w="12680" w:type="dxa"/>
          <w:tblLook w:val="04A0"/>
        </w:tblPrEx>
        <w:trPr>
          <w:trHeight w:val="300"/>
        </w:trPr>
        <w:tc>
          <w:tcPr>
            <w:tcW w:w="2060" w:type="dxa"/>
            <w:vMerge/>
            <w:tcBorders>
              <w:top w:val="single" w:sz="8" w:space="0" w:color="auto"/>
              <w:left w:val="single" w:sz="8" w:space="0" w:color="auto"/>
              <w:bottom w:val="single" w:sz="8" w:space="0" w:color="000000"/>
              <w:right w:val="single" w:sz="8" w:space="0" w:color="auto"/>
            </w:tcBorders>
            <w:vAlign w:val="center"/>
            <w:hideMark/>
          </w:tcPr>
          <w:p w:rsidR="00941915" w:rsidRPr="0033720D" w:rsidP="00941915" w14:paraId="5F14B564" w14:textId="77777777">
            <w:pPr>
              <w:widowControl/>
              <w:rPr>
                <w:b/>
                <w:bCs/>
                <w:i/>
                <w:iCs/>
                <w:snapToGrid/>
                <w:color w:val="000000"/>
                <w:sz w:val="20"/>
              </w:rPr>
            </w:pPr>
          </w:p>
        </w:tc>
        <w:tc>
          <w:tcPr>
            <w:tcW w:w="2970" w:type="dxa"/>
            <w:vMerge/>
            <w:tcBorders>
              <w:top w:val="single" w:sz="8" w:space="0" w:color="000000"/>
              <w:left w:val="single" w:sz="8" w:space="0" w:color="auto"/>
              <w:bottom w:val="single" w:sz="8" w:space="0" w:color="000000"/>
              <w:right w:val="single" w:sz="8" w:space="0" w:color="auto"/>
            </w:tcBorders>
            <w:vAlign w:val="center"/>
            <w:hideMark/>
          </w:tcPr>
          <w:p w:rsidR="00941915" w:rsidRPr="002B5E21" w:rsidP="00941915" w14:paraId="387FB537" w14:textId="77777777">
            <w:pPr>
              <w:widowControl/>
              <w:rPr>
                <w:snapToGrid/>
                <w:color w:val="000000"/>
                <w:sz w:val="18"/>
                <w:szCs w:val="18"/>
              </w:rPr>
            </w:pPr>
          </w:p>
        </w:tc>
        <w:tc>
          <w:tcPr>
            <w:tcW w:w="1350" w:type="dxa"/>
            <w:tcBorders>
              <w:top w:val="nil"/>
              <w:left w:val="nil"/>
              <w:bottom w:val="single" w:sz="8" w:space="0" w:color="auto"/>
              <w:right w:val="single" w:sz="8" w:space="0" w:color="auto"/>
            </w:tcBorders>
            <w:shd w:val="clear" w:color="000000" w:fill="FFF2CC"/>
            <w:noWrap/>
            <w:vAlign w:val="center"/>
            <w:hideMark/>
          </w:tcPr>
          <w:p w:rsidR="00941915" w:rsidRPr="0033720D" w:rsidP="00941915" w14:paraId="1657CA70" w14:textId="77777777">
            <w:pPr>
              <w:widowControl/>
              <w:jc w:val="center"/>
              <w:rPr>
                <w:snapToGrid/>
                <w:color w:val="000000"/>
                <w:sz w:val="18"/>
                <w:szCs w:val="18"/>
              </w:rPr>
            </w:pPr>
            <w:r w:rsidRPr="0033720D">
              <w:rPr>
                <w:snapToGrid/>
                <w:color w:val="000000"/>
                <w:sz w:val="18"/>
                <w:szCs w:val="18"/>
              </w:rPr>
              <w:t>Text Activity</w:t>
            </w:r>
          </w:p>
        </w:tc>
        <w:tc>
          <w:tcPr>
            <w:tcW w:w="990" w:type="dxa"/>
            <w:tcBorders>
              <w:top w:val="nil"/>
              <w:left w:val="nil"/>
              <w:bottom w:val="single" w:sz="8" w:space="0" w:color="auto"/>
              <w:right w:val="single" w:sz="8" w:space="0" w:color="auto"/>
            </w:tcBorders>
            <w:shd w:val="clear" w:color="000000" w:fill="595959"/>
            <w:noWrap/>
            <w:vAlign w:val="center"/>
            <w:hideMark/>
          </w:tcPr>
          <w:p w:rsidR="00941915" w:rsidRPr="0033720D" w:rsidP="00941915" w14:paraId="40FDDACB" w14:textId="77777777">
            <w:pPr>
              <w:widowControl/>
              <w:rPr>
                <w:snapToGrid/>
                <w:color w:val="000000"/>
                <w:sz w:val="18"/>
                <w:szCs w:val="18"/>
              </w:rPr>
            </w:pPr>
            <w:r w:rsidRPr="0033720D">
              <w:rPr>
                <w:snapToGrid/>
                <w:color w:val="000000"/>
                <w:sz w:val="18"/>
                <w:szCs w:val="18"/>
              </w:rPr>
              <w:t> </w:t>
            </w:r>
          </w:p>
        </w:tc>
        <w:tc>
          <w:tcPr>
            <w:tcW w:w="1042" w:type="dxa"/>
            <w:tcBorders>
              <w:top w:val="nil"/>
              <w:left w:val="nil"/>
              <w:bottom w:val="single" w:sz="8" w:space="0" w:color="auto"/>
              <w:right w:val="single" w:sz="8" w:space="0" w:color="auto"/>
            </w:tcBorders>
            <w:shd w:val="clear" w:color="000000" w:fill="595959"/>
            <w:noWrap/>
            <w:vAlign w:val="center"/>
            <w:hideMark/>
          </w:tcPr>
          <w:p w:rsidR="00941915" w:rsidRPr="0033720D" w:rsidP="00941915" w14:paraId="65BF68BF" w14:textId="77777777">
            <w:pPr>
              <w:widowControl/>
              <w:rPr>
                <w:snapToGrid/>
                <w:color w:val="000000"/>
                <w:sz w:val="18"/>
                <w:szCs w:val="18"/>
              </w:rPr>
            </w:pPr>
            <w:r w:rsidRPr="0033720D">
              <w:rPr>
                <w:snapToGrid/>
                <w:color w:val="000000"/>
                <w:sz w:val="18"/>
                <w:szCs w:val="18"/>
              </w:rPr>
              <w:t> </w:t>
            </w:r>
          </w:p>
        </w:tc>
        <w:tc>
          <w:tcPr>
            <w:tcW w:w="1028" w:type="dxa"/>
            <w:tcBorders>
              <w:top w:val="nil"/>
              <w:left w:val="nil"/>
              <w:bottom w:val="single" w:sz="8" w:space="0" w:color="auto"/>
              <w:right w:val="single" w:sz="8" w:space="0" w:color="auto"/>
            </w:tcBorders>
            <w:shd w:val="clear" w:color="000000" w:fill="595959"/>
            <w:noWrap/>
            <w:vAlign w:val="center"/>
            <w:hideMark/>
          </w:tcPr>
          <w:p w:rsidR="00941915" w:rsidRPr="0033720D" w:rsidP="00941915" w14:paraId="7B2260C4" w14:textId="77777777">
            <w:pPr>
              <w:widowControl/>
              <w:jc w:val="center"/>
              <w:rPr>
                <w:snapToGrid/>
                <w:color w:val="000000"/>
                <w:sz w:val="18"/>
                <w:szCs w:val="18"/>
              </w:rPr>
            </w:pPr>
            <w:r w:rsidRPr="0033720D">
              <w:rPr>
                <w:snapToGrid/>
                <w:color w:val="000000"/>
                <w:sz w:val="18"/>
                <w:szCs w:val="18"/>
              </w:rPr>
              <w:t> </w:t>
            </w:r>
          </w:p>
        </w:tc>
        <w:tc>
          <w:tcPr>
            <w:tcW w:w="1042" w:type="dxa"/>
            <w:tcBorders>
              <w:top w:val="nil"/>
              <w:left w:val="nil"/>
              <w:bottom w:val="single" w:sz="8" w:space="0" w:color="auto"/>
              <w:right w:val="single" w:sz="8" w:space="0" w:color="auto"/>
            </w:tcBorders>
            <w:shd w:val="clear" w:color="000000" w:fill="595959"/>
            <w:noWrap/>
            <w:vAlign w:val="center"/>
            <w:hideMark/>
          </w:tcPr>
          <w:p w:rsidR="00941915" w:rsidRPr="0033720D" w:rsidP="00941915" w14:paraId="70E7494B" w14:textId="77777777">
            <w:pPr>
              <w:widowControl/>
              <w:jc w:val="center"/>
              <w:rPr>
                <w:snapToGrid/>
                <w:color w:val="000000"/>
                <w:sz w:val="18"/>
                <w:szCs w:val="18"/>
              </w:rPr>
            </w:pPr>
            <w:r w:rsidRPr="0033720D">
              <w:rPr>
                <w:snapToGrid/>
                <w:color w:val="000000"/>
                <w:sz w:val="18"/>
                <w:szCs w:val="18"/>
              </w:rPr>
              <w:t> </w:t>
            </w:r>
          </w:p>
        </w:tc>
        <w:tc>
          <w:tcPr>
            <w:tcW w:w="1028" w:type="dxa"/>
            <w:tcBorders>
              <w:top w:val="nil"/>
              <w:left w:val="nil"/>
              <w:bottom w:val="single" w:sz="8" w:space="0" w:color="auto"/>
              <w:right w:val="single" w:sz="8" w:space="0" w:color="auto"/>
            </w:tcBorders>
            <w:shd w:val="clear" w:color="000000" w:fill="595959"/>
            <w:noWrap/>
            <w:vAlign w:val="center"/>
            <w:hideMark/>
          </w:tcPr>
          <w:p w:rsidR="00941915" w:rsidRPr="0033720D" w:rsidP="00941915" w14:paraId="73F3B974" w14:textId="77777777">
            <w:pPr>
              <w:widowControl/>
              <w:jc w:val="center"/>
              <w:rPr>
                <w:snapToGrid/>
                <w:color w:val="000000"/>
                <w:sz w:val="18"/>
                <w:szCs w:val="18"/>
              </w:rPr>
            </w:pPr>
            <w:r w:rsidRPr="0033720D">
              <w:rPr>
                <w:snapToGrid/>
                <w:color w:val="000000"/>
                <w:sz w:val="18"/>
                <w:szCs w:val="18"/>
              </w:rPr>
              <w:t> </w:t>
            </w:r>
          </w:p>
        </w:tc>
        <w:tc>
          <w:tcPr>
            <w:tcW w:w="1170" w:type="dxa"/>
            <w:tcBorders>
              <w:top w:val="nil"/>
              <w:left w:val="nil"/>
              <w:bottom w:val="single" w:sz="8" w:space="0" w:color="auto"/>
              <w:right w:val="single" w:sz="8" w:space="0" w:color="auto"/>
            </w:tcBorders>
            <w:shd w:val="clear" w:color="000000" w:fill="595959"/>
            <w:noWrap/>
            <w:vAlign w:val="center"/>
            <w:hideMark/>
          </w:tcPr>
          <w:p w:rsidR="00941915" w:rsidRPr="0033720D" w:rsidP="00941915" w14:paraId="681E970B" w14:textId="77777777">
            <w:pPr>
              <w:widowControl/>
              <w:jc w:val="center"/>
              <w:rPr>
                <w:snapToGrid/>
                <w:color w:val="000000"/>
                <w:sz w:val="18"/>
                <w:szCs w:val="18"/>
              </w:rPr>
            </w:pPr>
            <w:r w:rsidRPr="0033720D">
              <w:rPr>
                <w:snapToGrid/>
                <w:color w:val="000000"/>
                <w:sz w:val="18"/>
                <w:szCs w:val="18"/>
              </w:rPr>
              <w:t> </w:t>
            </w:r>
          </w:p>
        </w:tc>
      </w:tr>
      <w:tr w14:paraId="30375100" w14:textId="77777777" w:rsidTr="00F6252C">
        <w:tblPrEx>
          <w:tblW w:w="12680" w:type="dxa"/>
          <w:tblLook w:val="04A0"/>
        </w:tblPrEx>
        <w:trPr>
          <w:trHeight w:val="300"/>
        </w:trPr>
        <w:tc>
          <w:tcPr>
            <w:tcW w:w="1268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41915" w:rsidRPr="002B5E21" w:rsidP="00941915" w14:paraId="03A0198D" w14:textId="77777777">
            <w:pPr>
              <w:widowControl/>
              <w:rPr>
                <w:snapToGrid/>
                <w:color w:val="000000"/>
                <w:sz w:val="18"/>
                <w:szCs w:val="18"/>
              </w:rPr>
            </w:pPr>
            <w:r w:rsidRPr="002B5E21">
              <w:rPr>
                <w:snapToGrid/>
                <w:color w:val="000000"/>
                <w:sz w:val="18"/>
                <w:szCs w:val="18"/>
              </w:rPr>
              <w:t> </w:t>
            </w:r>
          </w:p>
        </w:tc>
      </w:tr>
      <w:tr w14:paraId="30F6B830" w14:textId="77777777" w:rsidTr="00941915">
        <w:tblPrEx>
          <w:tblW w:w="12680" w:type="dxa"/>
          <w:tblLook w:val="04A0"/>
        </w:tblPrEx>
        <w:trPr>
          <w:trHeight w:val="300"/>
        </w:trPr>
        <w:tc>
          <w:tcPr>
            <w:tcW w:w="2060" w:type="dxa"/>
            <w:vMerge w:val="restart"/>
            <w:tcBorders>
              <w:top w:val="nil"/>
              <w:left w:val="single" w:sz="8" w:space="0" w:color="auto"/>
              <w:bottom w:val="single" w:sz="8" w:space="0" w:color="000000"/>
              <w:right w:val="single" w:sz="8" w:space="0" w:color="auto"/>
            </w:tcBorders>
            <w:shd w:val="clear" w:color="auto" w:fill="auto"/>
            <w:vAlign w:val="center"/>
            <w:hideMark/>
          </w:tcPr>
          <w:p w:rsidR="00941915" w:rsidRPr="0033720D" w:rsidP="00941915" w14:paraId="552B3288" w14:textId="3816CF34">
            <w:pPr>
              <w:widowControl/>
              <w:jc w:val="center"/>
              <w:rPr>
                <w:b/>
                <w:bCs/>
                <w:i/>
                <w:iCs/>
                <w:snapToGrid/>
                <w:color w:val="000000"/>
                <w:sz w:val="20"/>
              </w:rPr>
            </w:pPr>
            <w:r w:rsidRPr="0033720D">
              <w:rPr>
                <w:b/>
                <w:bCs/>
                <w:i/>
                <w:iCs/>
                <w:snapToGrid/>
                <w:color w:val="000000"/>
                <w:sz w:val="20"/>
              </w:rPr>
              <w:t xml:space="preserve">Text </w:t>
            </w:r>
            <w:r>
              <w:rPr>
                <w:b/>
                <w:bCs/>
                <w:i/>
                <w:iCs/>
                <w:snapToGrid/>
                <w:color w:val="000000"/>
                <w:sz w:val="20"/>
              </w:rPr>
              <w:t>Survey</w:t>
            </w:r>
            <w:r w:rsidRPr="0033720D">
              <w:rPr>
                <w:b/>
                <w:bCs/>
                <w:i/>
                <w:iCs/>
                <w:snapToGrid/>
                <w:color w:val="000000"/>
                <w:sz w:val="20"/>
              </w:rPr>
              <w:t xml:space="preserve"> Group</w:t>
            </w:r>
          </w:p>
        </w:tc>
        <w:tc>
          <w:tcPr>
            <w:tcW w:w="29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41915" w:rsidRPr="002B5E21" w:rsidP="00941915" w14:paraId="067168E2" w14:textId="14560C6E">
            <w:pPr>
              <w:widowControl/>
              <w:jc w:val="center"/>
              <w:rPr>
                <w:snapToGrid/>
                <w:color w:val="000000"/>
                <w:sz w:val="18"/>
                <w:szCs w:val="18"/>
              </w:rPr>
            </w:pPr>
            <w:r w:rsidRPr="002B5E21">
              <w:rPr>
                <w:snapToGrid/>
                <w:color w:val="000000"/>
                <w:sz w:val="18"/>
                <w:szCs w:val="18"/>
              </w:rPr>
              <w:t>1,098 public school principals</w:t>
            </w:r>
          </w:p>
          <w:p w:rsidR="00941915" w:rsidRPr="002B5E21" w:rsidP="00941915" w14:paraId="753E7AD2" w14:textId="789DB0A1">
            <w:pPr>
              <w:widowControl/>
              <w:jc w:val="center"/>
              <w:rPr>
                <w:snapToGrid/>
                <w:color w:val="000000"/>
                <w:sz w:val="18"/>
                <w:szCs w:val="18"/>
              </w:rPr>
            </w:pPr>
            <w:r w:rsidRPr="002B5E21">
              <w:rPr>
                <w:snapToGrid/>
                <w:color w:val="000000"/>
                <w:sz w:val="18"/>
                <w:szCs w:val="18"/>
              </w:rPr>
              <w:t>210 private school principals</w:t>
            </w:r>
          </w:p>
        </w:tc>
        <w:tc>
          <w:tcPr>
            <w:tcW w:w="1350" w:type="dxa"/>
            <w:tcBorders>
              <w:top w:val="nil"/>
              <w:left w:val="nil"/>
              <w:bottom w:val="single" w:sz="8" w:space="0" w:color="auto"/>
              <w:right w:val="single" w:sz="8" w:space="0" w:color="auto"/>
            </w:tcBorders>
            <w:shd w:val="clear" w:color="000000" w:fill="D9E1F2"/>
            <w:noWrap/>
            <w:vAlign w:val="center"/>
            <w:hideMark/>
          </w:tcPr>
          <w:p w:rsidR="00941915" w:rsidRPr="0033720D" w:rsidP="00941915" w14:paraId="78FACE4F" w14:textId="77777777">
            <w:pPr>
              <w:widowControl/>
              <w:jc w:val="center"/>
              <w:rPr>
                <w:snapToGrid/>
                <w:color w:val="000000"/>
                <w:sz w:val="18"/>
                <w:szCs w:val="18"/>
              </w:rPr>
            </w:pPr>
            <w:r w:rsidRPr="0033720D">
              <w:rPr>
                <w:snapToGrid/>
                <w:color w:val="000000"/>
                <w:sz w:val="18"/>
                <w:szCs w:val="18"/>
              </w:rPr>
              <w:t>Mail Activity</w:t>
            </w:r>
          </w:p>
        </w:tc>
        <w:tc>
          <w:tcPr>
            <w:tcW w:w="990" w:type="dxa"/>
            <w:tcBorders>
              <w:top w:val="nil"/>
              <w:left w:val="nil"/>
              <w:bottom w:val="single" w:sz="8" w:space="0" w:color="auto"/>
              <w:right w:val="single" w:sz="8" w:space="0" w:color="auto"/>
            </w:tcBorders>
            <w:shd w:val="clear" w:color="000000" w:fill="595959"/>
            <w:noWrap/>
            <w:vAlign w:val="center"/>
            <w:hideMark/>
          </w:tcPr>
          <w:p w:rsidR="00941915" w:rsidRPr="0033720D" w:rsidP="00941915" w14:paraId="48C9AF00" w14:textId="77777777">
            <w:pPr>
              <w:widowControl/>
              <w:jc w:val="center"/>
              <w:rPr>
                <w:snapToGrid/>
                <w:color w:val="000000"/>
                <w:sz w:val="18"/>
                <w:szCs w:val="18"/>
              </w:rPr>
            </w:pPr>
            <w:r w:rsidRPr="0033720D">
              <w:rPr>
                <w:snapToGrid/>
                <w:color w:val="000000"/>
                <w:sz w:val="18"/>
                <w:szCs w:val="18"/>
              </w:rPr>
              <w:t> </w:t>
            </w:r>
          </w:p>
        </w:tc>
        <w:tc>
          <w:tcPr>
            <w:tcW w:w="1042" w:type="dxa"/>
            <w:tcBorders>
              <w:top w:val="nil"/>
              <w:left w:val="nil"/>
              <w:bottom w:val="single" w:sz="8" w:space="0" w:color="auto"/>
              <w:right w:val="single" w:sz="8" w:space="0" w:color="auto"/>
            </w:tcBorders>
            <w:shd w:val="clear" w:color="000000" w:fill="595959"/>
            <w:noWrap/>
            <w:vAlign w:val="center"/>
            <w:hideMark/>
          </w:tcPr>
          <w:p w:rsidR="00941915" w:rsidRPr="0033720D" w:rsidP="00941915" w14:paraId="7C4B680A" w14:textId="77777777">
            <w:pPr>
              <w:widowControl/>
              <w:jc w:val="center"/>
              <w:rPr>
                <w:snapToGrid/>
                <w:color w:val="000000"/>
                <w:sz w:val="18"/>
                <w:szCs w:val="18"/>
              </w:rPr>
            </w:pPr>
            <w:r w:rsidRPr="0033720D">
              <w:rPr>
                <w:snapToGrid/>
                <w:color w:val="000000"/>
                <w:sz w:val="18"/>
                <w:szCs w:val="18"/>
              </w:rPr>
              <w:t> </w:t>
            </w:r>
          </w:p>
        </w:tc>
        <w:tc>
          <w:tcPr>
            <w:tcW w:w="1028" w:type="dxa"/>
            <w:tcBorders>
              <w:top w:val="nil"/>
              <w:left w:val="nil"/>
              <w:bottom w:val="single" w:sz="8" w:space="0" w:color="auto"/>
              <w:right w:val="single" w:sz="8" w:space="0" w:color="auto"/>
            </w:tcBorders>
            <w:shd w:val="clear" w:color="000000" w:fill="595959"/>
            <w:noWrap/>
            <w:vAlign w:val="center"/>
            <w:hideMark/>
          </w:tcPr>
          <w:p w:rsidR="00941915" w:rsidRPr="0033720D" w:rsidP="00941915" w14:paraId="73E34E0D" w14:textId="77777777">
            <w:pPr>
              <w:widowControl/>
              <w:jc w:val="center"/>
              <w:rPr>
                <w:snapToGrid/>
                <w:color w:val="000000"/>
                <w:sz w:val="18"/>
                <w:szCs w:val="18"/>
              </w:rPr>
            </w:pPr>
            <w:r w:rsidRPr="0033720D">
              <w:rPr>
                <w:snapToGrid/>
                <w:color w:val="000000"/>
                <w:sz w:val="18"/>
                <w:szCs w:val="18"/>
              </w:rPr>
              <w:t> </w:t>
            </w:r>
          </w:p>
        </w:tc>
        <w:tc>
          <w:tcPr>
            <w:tcW w:w="1042" w:type="dxa"/>
            <w:tcBorders>
              <w:top w:val="nil"/>
              <w:left w:val="nil"/>
              <w:bottom w:val="single" w:sz="8" w:space="0" w:color="auto"/>
              <w:right w:val="single" w:sz="8" w:space="0" w:color="auto"/>
            </w:tcBorders>
            <w:shd w:val="clear" w:color="000000" w:fill="D9E1F2"/>
            <w:noWrap/>
            <w:vAlign w:val="center"/>
            <w:hideMark/>
          </w:tcPr>
          <w:p w:rsidR="00941915" w:rsidRPr="0033720D" w:rsidP="00941915" w14:paraId="723643D4" w14:textId="77777777">
            <w:pPr>
              <w:widowControl/>
              <w:jc w:val="center"/>
              <w:rPr>
                <w:snapToGrid/>
                <w:color w:val="000000"/>
                <w:sz w:val="18"/>
                <w:szCs w:val="18"/>
              </w:rPr>
            </w:pPr>
            <w:r w:rsidRPr="0033720D">
              <w:rPr>
                <w:snapToGrid/>
                <w:color w:val="000000"/>
                <w:sz w:val="18"/>
                <w:szCs w:val="18"/>
              </w:rPr>
              <w:t>1st Mail</w:t>
            </w:r>
          </w:p>
        </w:tc>
        <w:tc>
          <w:tcPr>
            <w:tcW w:w="1028" w:type="dxa"/>
            <w:tcBorders>
              <w:top w:val="nil"/>
              <w:left w:val="nil"/>
              <w:bottom w:val="single" w:sz="8" w:space="0" w:color="auto"/>
              <w:right w:val="single" w:sz="8" w:space="0" w:color="auto"/>
            </w:tcBorders>
            <w:shd w:val="clear" w:color="000000" w:fill="595959"/>
            <w:noWrap/>
            <w:vAlign w:val="center"/>
            <w:hideMark/>
          </w:tcPr>
          <w:p w:rsidR="00941915" w:rsidRPr="0033720D" w:rsidP="00941915" w14:paraId="26D506A4" w14:textId="77777777">
            <w:pPr>
              <w:widowControl/>
              <w:rPr>
                <w:snapToGrid/>
                <w:color w:val="000000"/>
                <w:sz w:val="18"/>
                <w:szCs w:val="18"/>
              </w:rPr>
            </w:pPr>
            <w:r w:rsidRPr="0033720D">
              <w:rPr>
                <w:snapToGrid/>
                <w:color w:val="000000"/>
                <w:sz w:val="18"/>
                <w:szCs w:val="18"/>
              </w:rPr>
              <w:t> </w:t>
            </w:r>
          </w:p>
        </w:tc>
        <w:tc>
          <w:tcPr>
            <w:tcW w:w="1170" w:type="dxa"/>
            <w:tcBorders>
              <w:top w:val="nil"/>
              <w:left w:val="nil"/>
              <w:bottom w:val="single" w:sz="8" w:space="0" w:color="auto"/>
              <w:right w:val="single" w:sz="8" w:space="0" w:color="auto"/>
            </w:tcBorders>
            <w:shd w:val="clear" w:color="auto" w:fill="D9E1F2"/>
            <w:noWrap/>
            <w:vAlign w:val="center"/>
            <w:hideMark/>
          </w:tcPr>
          <w:p w:rsidR="00941915" w:rsidRPr="0033720D" w:rsidP="00941915" w14:paraId="556C8756" w14:textId="77777777">
            <w:pPr>
              <w:widowControl/>
              <w:jc w:val="center"/>
              <w:rPr>
                <w:snapToGrid/>
                <w:color w:val="000000"/>
                <w:sz w:val="18"/>
                <w:szCs w:val="18"/>
              </w:rPr>
            </w:pPr>
            <w:r w:rsidRPr="0033720D">
              <w:rPr>
                <w:snapToGrid/>
                <w:color w:val="000000"/>
                <w:sz w:val="18"/>
                <w:szCs w:val="18"/>
              </w:rPr>
              <w:t>2nd Mail</w:t>
            </w:r>
          </w:p>
        </w:tc>
      </w:tr>
      <w:tr w14:paraId="20C22936" w14:textId="77777777" w:rsidTr="00F6252C">
        <w:tblPrEx>
          <w:tblW w:w="12680" w:type="dxa"/>
          <w:tblLook w:val="04A0"/>
        </w:tblPrEx>
        <w:trPr>
          <w:trHeight w:val="300"/>
        </w:trPr>
        <w:tc>
          <w:tcPr>
            <w:tcW w:w="2060" w:type="dxa"/>
            <w:vMerge/>
            <w:tcBorders>
              <w:top w:val="nil"/>
              <w:left w:val="single" w:sz="8" w:space="0" w:color="auto"/>
              <w:bottom w:val="single" w:sz="8" w:space="0" w:color="000000"/>
              <w:right w:val="single" w:sz="8" w:space="0" w:color="auto"/>
            </w:tcBorders>
            <w:vAlign w:val="center"/>
            <w:hideMark/>
          </w:tcPr>
          <w:p w:rsidR="00941915" w:rsidRPr="0033720D" w:rsidP="00941915" w14:paraId="0404E65A" w14:textId="77777777">
            <w:pPr>
              <w:widowControl/>
              <w:rPr>
                <w:b/>
                <w:bCs/>
                <w:i/>
                <w:iCs/>
                <w:snapToGrid/>
                <w:color w:val="000000"/>
                <w:sz w:val="20"/>
              </w:rPr>
            </w:pPr>
          </w:p>
        </w:tc>
        <w:tc>
          <w:tcPr>
            <w:tcW w:w="2970" w:type="dxa"/>
            <w:vMerge/>
            <w:tcBorders>
              <w:top w:val="nil"/>
              <w:left w:val="single" w:sz="8" w:space="0" w:color="auto"/>
              <w:bottom w:val="single" w:sz="8" w:space="0" w:color="000000"/>
              <w:right w:val="single" w:sz="8" w:space="0" w:color="auto"/>
            </w:tcBorders>
            <w:vAlign w:val="center"/>
            <w:hideMark/>
          </w:tcPr>
          <w:p w:rsidR="00941915" w:rsidRPr="002B5E21" w:rsidP="00941915" w14:paraId="4B05C729" w14:textId="77777777">
            <w:pPr>
              <w:widowControl/>
              <w:rPr>
                <w:snapToGrid/>
                <w:color w:val="000000"/>
                <w:sz w:val="18"/>
                <w:szCs w:val="18"/>
              </w:rPr>
            </w:pPr>
          </w:p>
        </w:tc>
        <w:tc>
          <w:tcPr>
            <w:tcW w:w="1350" w:type="dxa"/>
            <w:tcBorders>
              <w:top w:val="nil"/>
              <w:left w:val="nil"/>
              <w:bottom w:val="single" w:sz="8" w:space="0" w:color="auto"/>
              <w:right w:val="single" w:sz="8" w:space="0" w:color="auto"/>
            </w:tcBorders>
            <w:shd w:val="clear" w:color="000000" w:fill="FCE4D6"/>
            <w:noWrap/>
            <w:vAlign w:val="center"/>
            <w:hideMark/>
          </w:tcPr>
          <w:p w:rsidR="00941915" w:rsidRPr="0033720D" w:rsidP="00941915" w14:paraId="37B66023" w14:textId="77777777">
            <w:pPr>
              <w:widowControl/>
              <w:jc w:val="center"/>
              <w:rPr>
                <w:snapToGrid/>
                <w:color w:val="000000"/>
                <w:sz w:val="18"/>
                <w:szCs w:val="18"/>
              </w:rPr>
            </w:pPr>
            <w:r w:rsidRPr="0033720D">
              <w:rPr>
                <w:snapToGrid/>
                <w:color w:val="000000"/>
                <w:sz w:val="18"/>
                <w:szCs w:val="18"/>
              </w:rPr>
              <w:t>Email Activity</w:t>
            </w:r>
          </w:p>
        </w:tc>
        <w:tc>
          <w:tcPr>
            <w:tcW w:w="990" w:type="dxa"/>
            <w:tcBorders>
              <w:top w:val="nil"/>
              <w:left w:val="nil"/>
              <w:bottom w:val="single" w:sz="8" w:space="0" w:color="auto"/>
              <w:right w:val="single" w:sz="8" w:space="0" w:color="auto"/>
            </w:tcBorders>
            <w:shd w:val="clear" w:color="000000" w:fill="595959"/>
            <w:noWrap/>
            <w:vAlign w:val="center"/>
            <w:hideMark/>
          </w:tcPr>
          <w:p w:rsidR="00941915" w:rsidRPr="0033720D" w:rsidP="00941915" w14:paraId="6A92FC4C" w14:textId="77777777">
            <w:pPr>
              <w:widowControl/>
              <w:jc w:val="center"/>
              <w:rPr>
                <w:snapToGrid/>
                <w:color w:val="000000"/>
                <w:sz w:val="18"/>
                <w:szCs w:val="18"/>
              </w:rPr>
            </w:pPr>
            <w:r w:rsidRPr="0033720D">
              <w:rPr>
                <w:snapToGrid/>
                <w:color w:val="000000"/>
                <w:sz w:val="18"/>
                <w:szCs w:val="18"/>
              </w:rPr>
              <w:t> </w:t>
            </w:r>
          </w:p>
        </w:tc>
        <w:tc>
          <w:tcPr>
            <w:tcW w:w="1042" w:type="dxa"/>
            <w:tcBorders>
              <w:top w:val="nil"/>
              <w:left w:val="nil"/>
              <w:bottom w:val="single" w:sz="8" w:space="0" w:color="auto"/>
              <w:right w:val="single" w:sz="8" w:space="0" w:color="auto"/>
            </w:tcBorders>
            <w:shd w:val="clear" w:color="000000" w:fill="595959"/>
            <w:noWrap/>
            <w:vAlign w:val="center"/>
            <w:hideMark/>
          </w:tcPr>
          <w:p w:rsidR="00941915" w:rsidRPr="0033720D" w:rsidP="00941915" w14:paraId="23E5EACB" w14:textId="77777777">
            <w:pPr>
              <w:widowControl/>
              <w:jc w:val="center"/>
              <w:rPr>
                <w:snapToGrid/>
                <w:color w:val="000000"/>
                <w:sz w:val="18"/>
                <w:szCs w:val="18"/>
              </w:rPr>
            </w:pPr>
            <w:r w:rsidRPr="0033720D">
              <w:rPr>
                <w:snapToGrid/>
                <w:color w:val="000000"/>
                <w:sz w:val="18"/>
                <w:szCs w:val="18"/>
              </w:rPr>
              <w:t> </w:t>
            </w:r>
          </w:p>
        </w:tc>
        <w:tc>
          <w:tcPr>
            <w:tcW w:w="1028" w:type="dxa"/>
            <w:tcBorders>
              <w:top w:val="nil"/>
              <w:left w:val="nil"/>
              <w:bottom w:val="single" w:sz="8" w:space="0" w:color="auto"/>
              <w:right w:val="single" w:sz="8" w:space="0" w:color="auto"/>
            </w:tcBorders>
            <w:shd w:val="clear" w:color="000000" w:fill="FCE4D6"/>
            <w:noWrap/>
            <w:vAlign w:val="center"/>
            <w:hideMark/>
          </w:tcPr>
          <w:p w:rsidR="00941915" w:rsidRPr="0033720D" w:rsidP="00941915" w14:paraId="466D38E6" w14:textId="77777777">
            <w:pPr>
              <w:widowControl/>
              <w:jc w:val="center"/>
              <w:rPr>
                <w:snapToGrid/>
                <w:color w:val="000000"/>
                <w:sz w:val="18"/>
                <w:szCs w:val="18"/>
              </w:rPr>
            </w:pPr>
            <w:r w:rsidRPr="0033720D">
              <w:rPr>
                <w:snapToGrid/>
                <w:color w:val="000000"/>
                <w:sz w:val="18"/>
                <w:szCs w:val="18"/>
              </w:rPr>
              <w:t>1st Email</w:t>
            </w:r>
          </w:p>
        </w:tc>
        <w:tc>
          <w:tcPr>
            <w:tcW w:w="1042" w:type="dxa"/>
            <w:tcBorders>
              <w:top w:val="nil"/>
              <w:left w:val="nil"/>
              <w:bottom w:val="single" w:sz="8" w:space="0" w:color="auto"/>
              <w:right w:val="single" w:sz="8" w:space="0" w:color="auto"/>
            </w:tcBorders>
            <w:shd w:val="clear" w:color="000000" w:fill="595959"/>
            <w:noWrap/>
            <w:vAlign w:val="center"/>
            <w:hideMark/>
          </w:tcPr>
          <w:p w:rsidR="00941915" w:rsidRPr="0033720D" w:rsidP="00941915" w14:paraId="672CB083" w14:textId="77777777">
            <w:pPr>
              <w:widowControl/>
              <w:jc w:val="center"/>
              <w:rPr>
                <w:snapToGrid/>
                <w:color w:val="000000"/>
                <w:sz w:val="18"/>
                <w:szCs w:val="18"/>
              </w:rPr>
            </w:pPr>
            <w:r w:rsidRPr="0033720D">
              <w:rPr>
                <w:snapToGrid/>
                <w:color w:val="000000"/>
                <w:sz w:val="18"/>
                <w:szCs w:val="18"/>
              </w:rPr>
              <w:t> </w:t>
            </w:r>
          </w:p>
        </w:tc>
        <w:tc>
          <w:tcPr>
            <w:tcW w:w="1028" w:type="dxa"/>
            <w:tcBorders>
              <w:top w:val="nil"/>
              <w:left w:val="nil"/>
              <w:bottom w:val="single" w:sz="8" w:space="0" w:color="auto"/>
              <w:right w:val="single" w:sz="8" w:space="0" w:color="auto"/>
            </w:tcBorders>
            <w:shd w:val="clear" w:color="000000" w:fill="FCE4D6"/>
            <w:noWrap/>
            <w:vAlign w:val="center"/>
            <w:hideMark/>
          </w:tcPr>
          <w:p w:rsidR="00941915" w:rsidRPr="0033720D" w:rsidP="00941915" w14:paraId="387C6D14" w14:textId="77777777">
            <w:pPr>
              <w:widowControl/>
              <w:jc w:val="center"/>
              <w:rPr>
                <w:snapToGrid/>
                <w:color w:val="000000"/>
                <w:sz w:val="18"/>
                <w:szCs w:val="18"/>
              </w:rPr>
            </w:pPr>
            <w:r w:rsidRPr="0033720D">
              <w:rPr>
                <w:snapToGrid/>
                <w:color w:val="000000"/>
                <w:sz w:val="18"/>
                <w:szCs w:val="18"/>
              </w:rPr>
              <w:t>2nd Email</w:t>
            </w:r>
          </w:p>
        </w:tc>
        <w:tc>
          <w:tcPr>
            <w:tcW w:w="1170" w:type="dxa"/>
            <w:tcBorders>
              <w:top w:val="nil"/>
              <w:left w:val="nil"/>
              <w:bottom w:val="single" w:sz="8" w:space="0" w:color="auto"/>
              <w:right w:val="single" w:sz="8" w:space="0" w:color="auto"/>
            </w:tcBorders>
            <w:shd w:val="clear" w:color="000000" w:fill="595959"/>
            <w:noWrap/>
            <w:vAlign w:val="center"/>
            <w:hideMark/>
          </w:tcPr>
          <w:p w:rsidR="00941915" w:rsidRPr="0033720D" w:rsidP="00941915" w14:paraId="187169CA" w14:textId="77777777">
            <w:pPr>
              <w:widowControl/>
              <w:rPr>
                <w:snapToGrid/>
                <w:color w:val="000000"/>
                <w:sz w:val="18"/>
                <w:szCs w:val="18"/>
              </w:rPr>
            </w:pPr>
            <w:r w:rsidRPr="0033720D">
              <w:rPr>
                <w:snapToGrid/>
                <w:color w:val="000000"/>
                <w:sz w:val="18"/>
                <w:szCs w:val="18"/>
              </w:rPr>
              <w:t> </w:t>
            </w:r>
          </w:p>
        </w:tc>
      </w:tr>
      <w:tr w14:paraId="69454C63" w14:textId="77777777" w:rsidTr="00F6252C">
        <w:tblPrEx>
          <w:tblW w:w="12680" w:type="dxa"/>
          <w:tblLook w:val="04A0"/>
        </w:tblPrEx>
        <w:trPr>
          <w:trHeight w:val="300"/>
        </w:trPr>
        <w:tc>
          <w:tcPr>
            <w:tcW w:w="2060" w:type="dxa"/>
            <w:vMerge/>
            <w:tcBorders>
              <w:top w:val="nil"/>
              <w:left w:val="single" w:sz="8" w:space="0" w:color="auto"/>
              <w:bottom w:val="single" w:sz="8" w:space="0" w:color="000000"/>
              <w:right w:val="single" w:sz="8" w:space="0" w:color="auto"/>
            </w:tcBorders>
            <w:vAlign w:val="center"/>
            <w:hideMark/>
          </w:tcPr>
          <w:p w:rsidR="00941915" w:rsidRPr="0033720D" w:rsidP="00941915" w14:paraId="53B3C79F" w14:textId="77777777">
            <w:pPr>
              <w:widowControl/>
              <w:rPr>
                <w:b/>
                <w:bCs/>
                <w:i/>
                <w:iCs/>
                <w:snapToGrid/>
                <w:color w:val="000000"/>
                <w:sz w:val="20"/>
              </w:rPr>
            </w:pPr>
          </w:p>
        </w:tc>
        <w:tc>
          <w:tcPr>
            <w:tcW w:w="2970" w:type="dxa"/>
            <w:vMerge/>
            <w:tcBorders>
              <w:top w:val="nil"/>
              <w:left w:val="single" w:sz="8" w:space="0" w:color="auto"/>
              <w:bottom w:val="single" w:sz="8" w:space="0" w:color="000000"/>
              <w:right w:val="single" w:sz="8" w:space="0" w:color="auto"/>
            </w:tcBorders>
            <w:vAlign w:val="center"/>
            <w:hideMark/>
          </w:tcPr>
          <w:p w:rsidR="00941915" w:rsidRPr="002B5E21" w:rsidP="00941915" w14:paraId="32FDF1C9" w14:textId="77777777">
            <w:pPr>
              <w:widowControl/>
              <w:rPr>
                <w:snapToGrid/>
                <w:color w:val="000000"/>
                <w:sz w:val="18"/>
                <w:szCs w:val="18"/>
              </w:rPr>
            </w:pPr>
          </w:p>
        </w:tc>
        <w:tc>
          <w:tcPr>
            <w:tcW w:w="1350" w:type="dxa"/>
            <w:tcBorders>
              <w:top w:val="nil"/>
              <w:left w:val="nil"/>
              <w:bottom w:val="single" w:sz="8" w:space="0" w:color="auto"/>
              <w:right w:val="single" w:sz="8" w:space="0" w:color="auto"/>
            </w:tcBorders>
            <w:shd w:val="clear" w:color="000000" w:fill="FFF2CC"/>
            <w:noWrap/>
            <w:vAlign w:val="center"/>
            <w:hideMark/>
          </w:tcPr>
          <w:p w:rsidR="00941915" w:rsidRPr="0033720D" w:rsidP="00941915" w14:paraId="53316963" w14:textId="77777777">
            <w:pPr>
              <w:widowControl/>
              <w:jc w:val="center"/>
              <w:rPr>
                <w:snapToGrid/>
                <w:color w:val="000000"/>
                <w:sz w:val="18"/>
                <w:szCs w:val="18"/>
              </w:rPr>
            </w:pPr>
            <w:r w:rsidRPr="0033720D">
              <w:rPr>
                <w:snapToGrid/>
                <w:color w:val="000000"/>
                <w:sz w:val="18"/>
                <w:szCs w:val="18"/>
              </w:rPr>
              <w:t>Text Activity</w:t>
            </w:r>
          </w:p>
        </w:tc>
        <w:tc>
          <w:tcPr>
            <w:tcW w:w="990" w:type="dxa"/>
            <w:tcBorders>
              <w:top w:val="nil"/>
              <w:left w:val="nil"/>
              <w:bottom w:val="single" w:sz="8" w:space="0" w:color="auto"/>
              <w:right w:val="single" w:sz="8" w:space="0" w:color="auto"/>
            </w:tcBorders>
            <w:shd w:val="clear" w:color="000000" w:fill="FFF2CC"/>
            <w:noWrap/>
            <w:vAlign w:val="center"/>
            <w:hideMark/>
          </w:tcPr>
          <w:p w:rsidR="00941915" w:rsidRPr="0033720D" w:rsidP="00941915" w14:paraId="29A4CBBD" w14:textId="77777777">
            <w:pPr>
              <w:widowControl/>
              <w:jc w:val="center"/>
              <w:rPr>
                <w:snapToGrid/>
                <w:color w:val="000000"/>
                <w:sz w:val="18"/>
                <w:szCs w:val="18"/>
              </w:rPr>
            </w:pPr>
            <w:r w:rsidRPr="0033720D">
              <w:rPr>
                <w:snapToGrid/>
                <w:color w:val="000000"/>
                <w:sz w:val="18"/>
                <w:szCs w:val="18"/>
              </w:rPr>
              <w:t>Text 1</w:t>
            </w:r>
          </w:p>
        </w:tc>
        <w:tc>
          <w:tcPr>
            <w:tcW w:w="1042" w:type="dxa"/>
            <w:tcBorders>
              <w:top w:val="nil"/>
              <w:left w:val="nil"/>
              <w:bottom w:val="single" w:sz="8" w:space="0" w:color="auto"/>
              <w:right w:val="single" w:sz="8" w:space="0" w:color="auto"/>
            </w:tcBorders>
            <w:shd w:val="clear" w:color="000000" w:fill="FFF2CC"/>
            <w:noWrap/>
            <w:vAlign w:val="center"/>
            <w:hideMark/>
          </w:tcPr>
          <w:p w:rsidR="00941915" w:rsidRPr="0033720D" w:rsidP="00941915" w14:paraId="3228E428" w14:textId="77777777">
            <w:pPr>
              <w:widowControl/>
              <w:jc w:val="center"/>
              <w:rPr>
                <w:snapToGrid/>
                <w:color w:val="000000"/>
                <w:sz w:val="18"/>
                <w:szCs w:val="18"/>
              </w:rPr>
            </w:pPr>
            <w:r w:rsidRPr="0033720D">
              <w:rPr>
                <w:snapToGrid/>
                <w:color w:val="000000"/>
                <w:sz w:val="18"/>
                <w:szCs w:val="18"/>
              </w:rPr>
              <w:t>Text 2</w:t>
            </w:r>
          </w:p>
        </w:tc>
        <w:tc>
          <w:tcPr>
            <w:tcW w:w="1028" w:type="dxa"/>
            <w:tcBorders>
              <w:top w:val="nil"/>
              <w:left w:val="nil"/>
              <w:bottom w:val="single" w:sz="8" w:space="0" w:color="auto"/>
              <w:right w:val="single" w:sz="8" w:space="0" w:color="auto"/>
            </w:tcBorders>
            <w:shd w:val="clear" w:color="000000" w:fill="595959"/>
            <w:noWrap/>
            <w:vAlign w:val="center"/>
            <w:hideMark/>
          </w:tcPr>
          <w:p w:rsidR="00941915" w:rsidRPr="0033720D" w:rsidP="00941915" w14:paraId="65C5ABD8" w14:textId="77777777">
            <w:pPr>
              <w:widowControl/>
              <w:jc w:val="center"/>
              <w:rPr>
                <w:snapToGrid/>
                <w:color w:val="000000"/>
                <w:sz w:val="18"/>
                <w:szCs w:val="18"/>
              </w:rPr>
            </w:pPr>
            <w:r w:rsidRPr="0033720D">
              <w:rPr>
                <w:snapToGrid/>
                <w:color w:val="000000"/>
                <w:sz w:val="18"/>
                <w:szCs w:val="18"/>
              </w:rPr>
              <w:t> </w:t>
            </w:r>
          </w:p>
        </w:tc>
        <w:tc>
          <w:tcPr>
            <w:tcW w:w="1042" w:type="dxa"/>
            <w:tcBorders>
              <w:top w:val="nil"/>
              <w:left w:val="nil"/>
              <w:bottom w:val="single" w:sz="8" w:space="0" w:color="auto"/>
              <w:right w:val="single" w:sz="8" w:space="0" w:color="auto"/>
            </w:tcBorders>
            <w:shd w:val="clear" w:color="000000" w:fill="595959"/>
            <w:noWrap/>
            <w:vAlign w:val="center"/>
            <w:hideMark/>
          </w:tcPr>
          <w:p w:rsidR="00941915" w:rsidRPr="0033720D" w:rsidP="00941915" w14:paraId="6B5E6B16" w14:textId="77777777">
            <w:pPr>
              <w:widowControl/>
              <w:jc w:val="center"/>
              <w:rPr>
                <w:snapToGrid/>
                <w:color w:val="000000"/>
                <w:sz w:val="18"/>
                <w:szCs w:val="18"/>
              </w:rPr>
            </w:pPr>
            <w:r w:rsidRPr="0033720D">
              <w:rPr>
                <w:snapToGrid/>
                <w:color w:val="000000"/>
                <w:sz w:val="18"/>
                <w:szCs w:val="18"/>
              </w:rPr>
              <w:t> </w:t>
            </w:r>
          </w:p>
        </w:tc>
        <w:tc>
          <w:tcPr>
            <w:tcW w:w="1028" w:type="dxa"/>
            <w:tcBorders>
              <w:top w:val="nil"/>
              <w:left w:val="nil"/>
              <w:bottom w:val="single" w:sz="8" w:space="0" w:color="auto"/>
              <w:right w:val="single" w:sz="8" w:space="0" w:color="auto"/>
            </w:tcBorders>
            <w:shd w:val="clear" w:color="000000" w:fill="595959"/>
            <w:noWrap/>
            <w:vAlign w:val="center"/>
            <w:hideMark/>
          </w:tcPr>
          <w:p w:rsidR="00941915" w:rsidRPr="0033720D" w:rsidP="00941915" w14:paraId="203F213B" w14:textId="77777777">
            <w:pPr>
              <w:widowControl/>
              <w:jc w:val="center"/>
              <w:rPr>
                <w:snapToGrid/>
                <w:color w:val="000000"/>
                <w:sz w:val="18"/>
                <w:szCs w:val="18"/>
              </w:rPr>
            </w:pPr>
            <w:r w:rsidRPr="0033720D">
              <w:rPr>
                <w:snapToGrid/>
                <w:color w:val="000000"/>
                <w:sz w:val="18"/>
                <w:szCs w:val="18"/>
              </w:rPr>
              <w:t> </w:t>
            </w:r>
          </w:p>
        </w:tc>
        <w:tc>
          <w:tcPr>
            <w:tcW w:w="1170" w:type="dxa"/>
            <w:tcBorders>
              <w:top w:val="nil"/>
              <w:left w:val="nil"/>
              <w:bottom w:val="single" w:sz="8" w:space="0" w:color="auto"/>
              <w:right w:val="single" w:sz="8" w:space="0" w:color="auto"/>
            </w:tcBorders>
            <w:shd w:val="clear" w:color="000000" w:fill="595959"/>
            <w:noWrap/>
            <w:vAlign w:val="center"/>
            <w:hideMark/>
          </w:tcPr>
          <w:p w:rsidR="00941915" w:rsidRPr="0033720D" w:rsidP="00941915" w14:paraId="30EAA030" w14:textId="77777777">
            <w:pPr>
              <w:widowControl/>
              <w:jc w:val="center"/>
              <w:rPr>
                <w:snapToGrid/>
                <w:color w:val="000000"/>
                <w:sz w:val="18"/>
                <w:szCs w:val="18"/>
              </w:rPr>
            </w:pPr>
            <w:r w:rsidRPr="0033720D">
              <w:rPr>
                <w:snapToGrid/>
                <w:color w:val="000000"/>
                <w:sz w:val="18"/>
                <w:szCs w:val="18"/>
              </w:rPr>
              <w:t> </w:t>
            </w:r>
          </w:p>
        </w:tc>
      </w:tr>
      <w:tr w14:paraId="0D159167" w14:textId="77777777" w:rsidTr="00F6252C">
        <w:tblPrEx>
          <w:tblW w:w="12680" w:type="dxa"/>
          <w:tblLook w:val="04A0"/>
        </w:tblPrEx>
        <w:trPr>
          <w:trHeight w:val="300"/>
        </w:trPr>
        <w:tc>
          <w:tcPr>
            <w:tcW w:w="1268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41915" w:rsidRPr="002B5E21" w:rsidP="00941915" w14:paraId="22906CD9" w14:textId="77777777">
            <w:pPr>
              <w:widowControl/>
              <w:rPr>
                <w:snapToGrid/>
                <w:color w:val="000000"/>
                <w:sz w:val="18"/>
                <w:szCs w:val="18"/>
              </w:rPr>
            </w:pPr>
            <w:r w:rsidRPr="002B5E21">
              <w:rPr>
                <w:snapToGrid/>
                <w:color w:val="000000"/>
                <w:sz w:val="18"/>
                <w:szCs w:val="18"/>
              </w:rPr>
              <w:t> </w:t>
            </w:r>
          </w:p>
        </w:tc>
      </w:tr>
      <w:tr w14:paraId="7A5F1031" w14:textId="77777777" w:rsidTr="00F6252C">
        <w:tblPrEx>
          <w:tblW w:w="12680" w:type="dxa"/>
          <w:tblLook w:val="04A0"/>
        </w:tblPrEx>
        <w:trPr>
          <w:trHeight w:val="300"/>
        </w:trPr>
        <w:tc>
          <w:tcPr>
            <w:tcW w:w="2060" w:type="dxa"/>
            <w:vMerge w:val="restart"/>
            <w:tcBorders>
              <w:top w:val="nil"/>
              <w:left w:val="single" w:sz="8" w:space="0" w:color="auto"/>
              <w:bottom w:val="single" w:sz="8" w:space="0" w:color="000000"/>
              <w:right w:val="single" w:sz="8" w:space="0" w:color="auto"/>
            </w:tcBorders>
            <w:shd w:val="clear" w:color="auto" w:fill="auto"/>
            <w:vAlign w:val="center"/>
            <w:hideMark/>
          </w:tcPr>
          <w:p w:rsidR="00941915" w:rsidRPr="0033720D" w:rsidP="00941915" w14:paraId="0F77D00C" w14:textId="21891239">
            <w:pPr>
              <w:widowControl/>
              <w:jc w:val="center"/>
              <w:rPr>
                <w:b/>
                <w:bCs/>
                <w:i/>
                <w:iCs/>
                <w:snapToGrid/>
                <w:color w:val="000000"/>
                <w:sz w:val="20"/>
              </w:rPr>
            </w:pPr>
            <w:r w:rsidRPr="0033720D">
              <w:rPr>
                <w:b/>
                <w:bCs/>
                <w:i/>
                <w:iCs/>
                <w:snapToGrid/>
                <w:color w:val="000000"/>
                <w:sz w:val="20"/>
              </w:rPr>
              <w:t>Text</w:t>
            </w:r>
            <w:r>
              <w:rPr>
                <w:b/>
                <w:bCs/>
                <w:i/>
                <w:iCs/>
                <w:snapToGrid/>
                <w:color w:val="000000"/>
                <w:sz w:val="20"/>
              </w:rPr>
              <w:t xml:space="preserve">-to-web </w:t>
            </w:r>
            <w:r w:rsidRPr="0033720D">
              <w:rPr>
                <w:b/>
                <w:bCs/>
                <w:i/>
                <w:iCs/>
                <w:snapToGrid/>
                <w:color w:val="000000"/>
                <w:sz w:val="20"/>
              </w:rPr>
              <w:t>Group</w:t>
            </w:r>
          </w:p>
        </w:tc>
        <w:tc>
          <w:tcPr>
            <w:tcW w:w="29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41915" w:rsidRPr="002B5E21" w:rsidP="00941915" w14:paraId="1B27165C" w14:textId="015251FA">
            <w:pPr>
              <w:widowControl/>
              <w:jc w:val="center"/>
              <w:rPr>
                <w:snapToGrid/>
                <w:color w:val="000000"/>
                <w:sz w:val="18"/>
                <w:szCs w:val="18"/>
              </w:rPr>
            </w:pPr>
            <w:r w:rsidRPr="002B5E21">
              <w:rPr>
                <w:snapToGrid/>
                <w:color w:val="000000"/>
                <w:sz w:val="18"/>
                <w:szCs w:val="18"/>
              </w:rPr>
              <w:t>1,098 public school principals</w:t>
            </w:r>
          </w:p>
          <w:p w:rsidR="00941915" w:rsidRPr="002B5E21" w:rsidP="00941915" w14:paraId="0275159C" w14:textId="6F84729C">
            <w:pPr>
              <w:widowControl/>
              <w:jc w:val="center"/>
              <w:rPr>
                <w:snapToGrid/>
                <w:color w:val="000000"/>
                <w:sz w:val="18"/>
                <w:szCs w:val="18"/>
              </w:rPr>
            </w:pPr>
            <w:r w:rsidRPr="002B5E21">
              <w:rPr>
                <w:snapToGrid/>
                <w:color w:val="000000"/>
                <w:sz w:val="18"/>
                <w:szCs w:val="18"/>
              </w:rPr>
              <w:t>210 private school principals</w:t>
            </w:r>
          </w:p>
        </w:tc>
        <w:tc>
          <w:tcPr>
            <w:tcW w:w="1350" w:type="dxa"/>
            <w:tcBorders>
              <w:top w:val="nil"/>
              <w:left w:val="nil"/>
              <w:bottom w:val="single" w:sz="8" w:space="0" w:color="auto"/>
              <w:right w:val="single" w:sz="8" w:space="0" w:color="auto"/>
            </w:tcBorders>
            <w:shd w:val="clear" w:color="000000" w:fill="D9E1F2"/>
            <w:noWrap/>
            <w:vAlign w:val="center"/>
            <w:hideMark/>
          </w:tcPr>
          <w:p w:rsidR="00941915" w:rsidRPr="0033720D" w:rsidP="00941915" w14:paraId="60CAAC74" w14:textId="77777777">
            <w:pPr>
              <w:widowControl/>
              <w:jc w:val="center"/>
              <w:rPr>
                <w:snapToGrid/>
                <w:color w:val="000000"/>
                <w:sz w:val="18"/>
                <w:szCs w:val="18"/>
              </w:rPr>
            </w:pPr>
            <w:r w:rsidRPr="0033720D">
              <w:rPr>
                <w:snapToGrid/>
                <w:color w:val="000000"/>
                <w:sz w:val="18"/>
                <w:szCs w:val="18"/>
              </w:rPr>
              <w:t>Mail Activity</w:t>
            </w:r>
          </w:p>
        </w:tc>
        <w:tc>
          <w:tcPr>
            <w:tcW w:w="990" w:type="dxa"/>
            <w:tcBorders>
              <w:top w:val="nil"/>
              <w:left w:val="nil"/>
              <w:bottom w:val="single" w:sz="8" w:space="0" w:color="auto"/>
              <w:right w:val="single" w:sz="8" w:space="0" w:color="auto"/>
            </w:tcBorders>
            <w:shd w:val="clear" w:color="000000" w:fill="595959"/>
            <w:noWrap/>
            <w:vAlign w:val="center"/>
            <w:hideMark/>
          </w:tcPr>
          <w:p w:rsidR="00941915" w:rsidRPr="0033720D" w:rsidP="00941915" w14:paraId="5A46D37B" w14:textId="77777777">
            <w:pPr>
              <w:widowControl/>
              <w:jc w:val="center"/>
              <w:rPr>
                <w:snapToGrid/>
                <w:color w:val="000000"/>
                <w:sz w:val="18"/>
                <w:szCs w:val="18"/>
              </w:rPr>
            </w:pPr>
            <w:r w:rsidRPr="0033720D">
              <w:rPr>
                <w:snapToGrid/>
                <w:color w:val="000000"/>
                <w:sz w:val="18"/>
                <w:szCs w:val="18"/>
              </w:rPr>
              <w:t> </w:t>
            </w:r>
          </w:p>
        </w:tc>
        <w:tc>
          <w:tcPr>
            <w:tcW w:w="1042" w:type="dxa"/>
            <w:tcBorders>
              <w:top w:val="nil"/>
              <w:left w:val="nil"/>
              <w:bottom w:val="single" w:sz="8" w:space="0" w:color="auto"/>
              <w:right w:val="single" w:sz="8" w:space="0" w:color="auto"/>
            </w:tcBorders>
            <w:shd w:val="clear" w:color="000000" w:fill="595959"/>
            <w:noWrap/>
            <w:vAlign w:val="center"/>
            <w:hideMark/>
          </w:tcPr>
          <w:p w:rsidR="00941915" w:rsidRPr="0033720D" w:rsidP="00941915" w14:paraId="6A2BF165" w14:textId="77777777">
            <w:pPr>
              <w:widowControl/>
              <w:jc w:val="center"/>
              <w:rPr>
                <w:snapToGrid/>
                <w:color w:val="000000"/>
                <w:sz w:val="18"/>
                <w:szCs w:val="18"/>
              </w:rPr>
            </w:pPr>
            <w:r w:rsidRPr="0033720D">
              <w:rPr>
                <w:snapToGrid/>
                <w:color w:val="000000"/>
                <w:sz w:val="18"/>
                <w:szCs w:val="18"/>
              </w:rPr>
              <w:t> </w:t>
            </w:r>
          </w:p>
        </w:tc>
        <w:tc>
          <w:tcPr>
            <w:tcW w:w="1028" w:type="dxa"/>
            <w:tcBorders>
              <w:top w:val="nil"/>
              <w:left w:val="nil"/>
              <w:bottom w:val="single" w:sz="8" w:space="0" w:color="auto"/>
              <w:right w:val="single" w:sz="8" w:space="0" w:color="auto"/>
            </w:tcBorders>
            <w:shd w:val="clear" w:color="000000" w:fill="595959"/>
            <w:noWrap/>
            <w:vAlign w:val="center"/>
            <w:hideMark/>
          </w:tcPr>
          <w:p w:rsidR="00941915" w:rsidRPr="0033720D" w:rsidP="00941915" w14:paraId="32D8961F" w14:textId="77777777">
            <w:pPr>
              <w:widowControl/>
              <w:jc w:val="center"/>
              <w:rPr>
                <w:snapToGrid/>
                <w:color w:val="000000"/>
                <w:sz w:val="18"/>
                <w:szCs w:val="18"/>
              </w:rPr>
            </w:pPr>
            <w:r w:rsidRPr="0033720D">
              <w:rPr>
                <w:snapToGrid/>
                <w:color w:val="000000"/>
                <w:sz w:val="18"/>
                <w:szCs w:val="18"/>
              </w:rPr>
              <w:t> </w:t>
            </w:r>
          </w:p>
        </w:tc>
        <w:tc>
          <w:tcPr>
            <w:tcW w:w="1042" w:type="dxa"/>
            <w:tcBorders>
              <w:top w:val="nil"/>
              <w:left w:val="nil"/>
              <w:bottom w:val="single" w:sz="8" w:space="0" w:color="auto"/>
              <w:right w:val="single" w:sz="8" w:space="0" w:color="auto"/>
            </w:tcBorders>
            <w:shd w:val="clear" w:color="000000" w:fill="D9E1F2"/>
            <w:noWrap/>
            <w:vAlign w:val="center"/>
            <w:hideMark/>
          </w:tcPr>
          <w:p w:rsidR="00941915" w:rsidRPr="0033720D" w:rsidP="00941915" w14:paraId="3A03E25A" w14:textId="77777777">
            <w:pPr>
              <w:widowControl/>
              <w:jc w:val="center"/>
              <w:rPr>
                <w:snapToGrid/>
                <w:color w:val="000000"/>
                <w:sz w:val="18"/>
                <w:szCs w:val="18"/>
              </w:rPr>
            </w:pPr>
            <w:r w:rsidRPr="0033720D">
              <w:rPr>
                <w:snapToGrid/>
                <w:color w:val="000000"/>
                <w:sz w:val="18"/>
                <w:szCs w:val="18"/>
              </w:rPr>
              <w:t>1st Mail</w:t>
            </w:r>
          </w:p>
        </w:tc>
        <w:tc>
          <w:tcPr>
            <w:tcW w:w="1028" w:type="dxa"/>
            <w:tcBorders>
              <w:top w:val="nil"/>
              <w:left w:val="nil"/>
              <w:bottom w:val="single" w:sz="8" w:space="0" w:color="auto"/>
              <w:right w:val="single" w:sz="8" w:space="0" w:color="auto"/>
            </w:tcBorders>
            <w:shd w:val="clear" w:color="000000" w:fill="595959"/>
            <w:noWrap/>
            <w:vAlign w:val="center"/>
            <w:hideMark/>
          </w:tcPr>
          <w:p w:rsidR="00941915" w:rsidRPr="0033720D" w:rsidP="00941915" w14:paraId="420F6E49" w14:textId="77777777">
            <w:pPr>
              <w:widowControl/>
              <w:rPr>
                <w:snapToGrid/>
                <w:color w:val="000000"/>
                <w:sz w:val="18"/>
                <w:szCs w:val="18"/>
              </w:rPr>
            </w:pPr>
            <w:r w:rsidRPr="0033720D">
              <w:rPr>
                <w:snapToGrid/>
                <w:color w:val="000000"/>
                <w:sz w:val="18"/>
                <w:szCs w:val="18"/>
              </w:rPr>
              <w:t> </w:t>
            </w:r>
          </w:p>
        </w:tc>
        <w:tc>
          <w:tcPr>
            <w:tcW w:w="1170" w:type="dxa"/>
            <w:tcBorders>
              <w:top w:val="nil"/>
              <w:left w:val="nil"/>
              <w:bottom w:val="single" w:sz="8" w:space="0" w:color="auto"/>
              <w:right w:val="single" w:sz="8" w:space="0" w:color="auto"/>
            </w:tcBorders>
            <w:shd w:val="clear" w:color="000000" w:fill="D9E1F2"/>
            <w:noWrap/>
            <w:vAlign w:val="center"/>
            <w:hideMark/>
          </w:tcPr>
          <w:p w:rsidR="00941915" w:rsidRPr="0033720D" w:rsidP="00941915" w14:paraId="6506CD52" w14:textId="77777777">
            <w:pPr>
              <w:widowControl/>
              <w:jc w:val="center"/>
              <w:rPr>
                <w:snapToGrid/>
                <w:color w:val="000000"/>
                <w:sz w:val="18"/>
                <w:szCs w:val="18"/>
              </w:rPr>
            </w:pPr>
            <w:r w:rsidRPr="0033720D">
              <w:rPr>
                <w:snapToGrid/>
                <w:color w:val="000000"/>
                <w:sz w:val="18"/>
                <w:szCs w:val="18"/>
              </w:rPr>
              <w:t>2nd Mail</w:t>
            </w:r>
          </w:p>
        </w:tc>
      </w:tr>
      <w:tr w14:paraId="3AEA46CB" w14:textId="77777777" w:rsidTr="00F6252C">
        <w:tblPrEx>
          <w:tblW w:w="12680" w:type="dxa"/>
          <w:tblLook w:val="04A0"/>
        </w:tblPrEx>
        <w:trPr>
          <w:trHeight w:val="300"/>
        </w:trPr>
        <w:tc>
          <w:tcPr>
            <w:tcW w:w="2060" w:type="dxa"/>
            <w:vMerge/>
            <w:tcBorders>
              <w:top w:val="nil"/>
              <w:left w:val="single" w:sz="8" w:space="0" w:color="auto"/>
              <w:bottom w:val="single" w:sz="8" w:space="0" w:color="000000"/>
              <w:right w:val="single" w:sz="8" w:space="0" w:color="auto"/>
            </w:tcBorders>
            <w:vAlign w:val="center"/>
            <w:hideMark/>
          </w:tcPr>
          <w:p w:rsidR="00941915" w:rsidRPr="0033720D" w:rsidP="00941915" w14:paraId="2BFD107A" w14:textId="77777777">
            <w:pPr>
              <w:widowControl/>
              <w:rPr>
                <w:b/>
                <w:bCs/>
                <w:i/>
                <w:iCs/>
                <w:snapToGrid/>
                <w:color w:val="000000"/>
                <w:sz w:val="20"/>
              </w:rPr>
            </w:pPr>
          </w:p>
        </w:tc>
        <w:tc>
          <w:tcPr>
            <w:tcW w:w="2970" w:type="dxa"/>
            <w:vMerge/>
            <w:tcBorders>
              <w:top w:val="nil"/>
              <w:left w:val="single" w:sz="8" w:space="0" w:color="auto"/>
              <w:bottom w:val="single" w:sz="8" w:space="0" w:color="000000"/>
              <w:right w:val="single" w:sz="8" w:space="0" w:color="auto"/>
            </w:tcBorders>
            <w:vAlign w:val="center"/>
            <w:hideMark/>
          </w:tcPr>
          <w:p w:rsidR="00941915" w:rsidRPr="0033720D" w:rsidP="00941915" w14:paraId="266DE8B8" w14:textId="77777777">
            <w:pPr>
              <w:widowControl/>
              <w:rPr>
                <w:snapToGrid/>
                <w:color w:val="000000"/>
                <w:sz w:val="18"/>
                <w:szCs w:val="18"/>
              </w:rPr>
            </w:pPr>
          </w:p>
        </w:tc>
        <w:tc>
          <w:tcPr>
            <w:tcW w:w="1350" w:type="dxa"/>
            <w:tcBorders>
              <w:top w:val="nil"/>
              <w:left w:val="nil"/>
              <w:bottom w:val="single" w:sz="8" w:space="0" w:color="auto"/>
              <w:right w:val="single" w:sz="8" w:space="0" w:color="auto"/>
            </w:tcBorders>
            <w:shd w:val="clear" w:color="000000" w:fill="FCE4D6"/>
            <w:noWrap/>
            <w:vAlign w:val="center"/>
            <w:hideMark/>
          </w:tcPr>
          <w:p w:rsidR="00941915" w:rsidRPr="0033720D" w:rsidP="00941915" w14:paraId="6185B0DC" w14:textId="77777777">
            <w:pPr>
              <w:widowControl/>
              <w:jc w:val="center"/>
              <w:rPr>
                <w:snapToGrid/>
                <w:color w:val="000000"/>
                <w:sz w:val="18"/>
                <w:szCs w:val="18"/>
              </w:rPr>
            </w:pPr>
            <w:r w:rsidRPr="0033720D">
              <w:rPr>
                <w:snapToGrid/>
                <w:color w:val="000000"/>
                <w:sz w:val="18"/>
                <w:szCs w:val="18"/>
              </w:rPr>
              <w:t>Email Activity</w:t>
            </w:r>
          </w:p>
        </w:tc>
        <w:tc>
          <w:tcPr>
            <w:tcW w:w="990" w:type="dxa"/>
            <w:tcBorders>
              <w:top w:val="nil"/>
              <w:left w:val="nil"/>
              <w:bottom w:val="single" w:sz="8" w:space="0" w:color="auto"/>
              <w:right w:val="single" w:sz="8" w:space="0" w:color="auto"/>
            </w:tcBorders>
            <w:shd w:val="clear" w:color="000000" w:fill="595959"/>
            <w:noWrap/>
            <w:vAlign w:val="center"/>
            <w:hideMark/>
          </w:tcPr>
          <w:p w:rsidR="00941915" w:rsidRPr="0033720D" w:rsidP="00941915" w14:paraId="60DED5D7" w14:textId="77777777">
            <w:pPr>
              <w:widowControl/>
              <w:jc w:val="center"/>
              <w:rPr>
                <w:snapToGrid/>
                <w:color w:val="000000"/>
                <w:sz w:val="18"/>
                <w:szCs w:val="18"/>
              </w:rPr>
            </w:pPr>
            <w:r w:rsidRPr="0033720D">
              <w:rPr>
                <w:snapToGrid/>
                <w:color w:val="000000"/>
                <w:sz w:val="18"/>
                <w:szCs w:val="18"/>
              </w:rPr>
              <w:t> </w:t>
            </w:r>
          </w:p>
        </w:tc>
        <w:tc>
          <w:tcPr>
            <w:tcW w:w="1042" w:type="dxa"/>
            <w:tcBorders>
              <w:top w:val="nil"/>
              <w:left w:val="nil"/>
              <w:bottom w:val="single" w:sz="8" w:space="0" w:color="auto"/>
              <w:right w:val="single" w:sz="8" w:space="0" w:color="auto"/>
            </w:tcBorders>
            <w:shd w:val="clear" w:color="000000" w:fill="595959"/>
            <w:noWrap/>
            <w:vAlign w:val="center"/>
            <w:hideMark/>
          </w:tcPr>
          <w:p w:rsidR="00941915" w:rsidRPr="0033720D" w:rsidP="00941915" w14:paraId="5FBE84DA" w14:textId="77777777">
            <w:pPr>
              <w:widowControl/>
              <w:jc w:val="center"/>
              <w:rPr>
                <w:snapToGrid/>
                <w:color w:val="000000"/>
                <w:sz w:val="18"/>
                <w:szCs w:val="18"/>
              </w:rPr>
            </w:pPr>
            <w:r w:rsidRPr="0033720D">
              <w:rPr>
                <w:snapToGrid/>
                <w:color w:val="000000"/>
                <w:sz w:val="18"/>
                <w:szCs w:val="18"/>
              </w:rPr>
              <w:t> </w:t>
            </w:r>
          </w:p>
        </w:tc>
        <w:tc>
          <w:tcPr>
            <w:tcW w:w="1028" w:type="dxa"/>
            <w:tcBorders>
              <w:top w:val="nil"/>
              <w:left w:val="nil"/>
              <w:bottom w:val="single" w:sz="8" w:space="0" w:color="auto"/>
              <w:right w:val="single" w:sz="8" w:space="0" w:color="auto"/>
            </w:tcBorders>
            <w:shd w:val="clear" w:color="000000" w:fill="FCE4D6"/>
            <w:noWrap/>
            <w:vAlign w:val="center"/>
            <w:hideMark/>
          </w:tcPr>
          <w:p w:rsidR="00941915" w:rsidRPr="0033720D" w:rsidP="00941915" w14:paraId="2AFB80AE" w14:textId="77777777">
            <w:pPr>
              <w:widowControl/>
              <w:jc w:val="center"/>
              <w:rPr>
                <w:snapToGrid/>
                <w:color w:val="000000"/>
                <w:sz w:val="18"/>
                <w:szCs w:val="18"/>
              </w:rPr>
            </w:pPr>
            <w:r w:rsidRPr="0033720D">
              <w:rPr>
                <w:snapToGrid/>
                <w:color w:val="000000"/>
                <w:sz w:val="18"/>
                <w:szCs w:val="18"/>
              </w:rPr>
              <w:t>1st Email</w:t>
            </w:r>
          </w:p>
        </w:tc>
        <w:tc>
          <w:tcPr>
            <w:tcW w:w="1042" w:type="dxa"/>
            <w:tcBorders>
              <w:top w:val="nil"/>
              <w:left w:val="nil"/>
              <w:bottom w:val="single" w:sz="8" w:space="0" w:color="auto"/>
              <w:right w:val="single" w:sz="8" w:space="0" w:color="auto"/>
            </w:tcBorders>
            <w:shd w:val="clear" w:color="000000" w:fill="595959"/>
            <w:noWrap/>
            <w:vAlign w:val="center"/>
            <w:hideMark/>
          </w:tcPr>
          <w:p w:rsidR="00941915" w:rsidRPr="0033720D" w:rsidP="00941915" w14:paraId="0D8452C1" w14:textId="77777777">
            <w:pPr>
              <w:widowControl/>
              <w:jc w:val="center"/>
              <w:rPr>
                <w:snapToGrid/>
                <w:color w:val="000000"/>
                <w:sz w:val="18"/>
                <w:szCs w:val="18"/>
              </w:rPr>
            </w:pPr>
            <w:r w:rsidRPr="0033720D">
              <w:rPr>
                <w:snapToGrid/>
                <w:color w:val="000000"/>
                <w:sz w:val="18"/>
                <w:szCs w:val="18"/>
              </w:rPr>
              <w:t> </w:t>
            </w:r>
          </w:p>
        </w:tc>
        <w:tc>
          <w:tcPr>
            <w:tcW w:w="1028" w:type="dxa"/>
            <w:tcBorders>
              <w:top w:val="nil"/>
              <w:left w:val="nil"/>
              <w:bottom w:val="single" w:sz="8" w:space="0" w:color="auto"/>
              <w:right w:val="single" w:sz="8" w:space="0" w:color="auto"/>
            </w:tcBorders>
            <w:shd w:val="clear" w:color="000000" w:fill="FCE4D6"/>
            <w:noWrap/>
            <w:vAlign w:val="center"/>
            <w:hideMark/>
          </w:tcPr>
          <w:p w:rsidR="00941915" w:rsidRPr="0033720D" w:rsidP="00941915" w14:paraId="28676ACA" w14:textId="77777777">
            <w:pPr>
              <w:widowControl/>
              <w:jc w:val="center"/>
              <w:rPr>
                <w:snapToGrid/>
                <w:color w:val="000000"/>
                <w:sz w:val="18"/>
                <w:szCs w:val="18"/>
              </w:rPr>
            </w:pPr>
            <w:r w:rsidRPr="0033720D">
              <w:rPr>
                <w:snapToGrid/>
                <w:color w:val="000000"/>
                <w:sz w:val="18"/>
                <w:szCs w:val="18"/>
              </w:rPr>
              <w:t>2nd Email</w:t>
            </w:r>
          </w:p>
        </w:tc>
        <w:tc>
          <w:tcPr>
            <w:tcW w:w="1170" w:type="dxa"/>
            <w:tcBorders>
              <w:top w:val="nil"/>
              <w:left w:val="nil"/>
              <w:bottom w:val="single" w:sz="8" w:space="0" w:color="auto"/>
              <w:right w:val="single" w:sz="8" w:space="0" w:color="auto"/>
            </w:tcBorders>
            <w:shd w:val="clear" w:color="000000" w:fill="595959"/>
            <w:noWrap/>
            <w:vAlign w:val="center"/>
            <w:hideMark/>
          </w:tcPr>
          <w:p w:rsidR="00941915" w:rsidRPr="0033720D" w:rsidP="00941915" w14:paraId="22789576" w14:textId="77777777">
            <w:pPr>
              <w:widowControl/>
              <w:rPr>
                <w:snapToGrid/>
                <w:color w:val="000000"/>
                <w:sz w:val="18"/>
                <w:szCs w:val="18"/>
              </w:rPr>
            </w:pPr>
            <w:r w:rsidRPr="0033720D">
              <w:rPr>
                <w:snapToGrid/>
                <w:color w:val="000000"/>
                <w:sz w:val="18"/>
                <w:szCs w:val="18"/>
              </w:rPr>
              <w:t> </w:t>
            </w:r>
          </w:p>
        </w:tc>
      </w:tr>
      <w:tr w14:paraId="6B0A69BF" w14:textId="77777777" w:rsidTr="00F6252C">
        <w:tblPrEx>
          <w:tblW w:w="12680" w:type="dxa"/>
          <w:tblLook w:val="04A0"/>
        </w:tblPrEx>
        <w:trPr>
          <w:trHeight w:val="300"/>
        </w:trPr>
        <w:tc>
          <w:tcPr>
            <w:tcW w:w="2060" w:type="dxa"/>
            <w:vMerge/>
            <w:tcBorders>
              <w:top w:val="nil"/>
              <w:left w:val="single" w:sz="8" w:space="0" w:color="auto"/>
              <w:bottom w:val="single" w:sz="8" w:space="0" w:color="000000"/>
              <w:right w:val="single" w:sz="8" w:space="0" w:color="auto"/>
            </w:tcBorders>
            <w:vAlign w:val="center"/>
            <w:hideMark/>
          </w:tcPr>
          <w:p w:rsidR="00941915" w:rsidRPr="0033720D" w:rsidP="00941915" w14:paraId="48AAB9E1" w14:textId="77777777">
            <w:pPr>
              <w:widowControl/>
              <w:rPr>
                <w:b/>
                <w:bCs/>
                <w:i/>
                <w:iCs/>
                <w:snapToGrid/>
                <w:color w:val="000000"/>
                <w:sz w:val="20"/>
              </w:rPr>
            </w:pPr>
          </w:p>
        </w:tc>
        <w:tc>
          <w:tcPr>
            <w:tcW w:w="2970" w:type="dxa"/>
            <w:vMerge/>
            <w:tcBorders>
              <w:top w:val="nil"/>
              <w:left w:val="single" w:sz="8" w:space="0" w:color="auto"/>
              <w:bottom w:val="single" w:sz="8" w:space="0" w:color="000000"/>
              <w:right w:val="single" w:sz="8" w:space="0" w:color="auto"/>
            </w:tcBorders>
            <w:vAlign w:val="center"/>
            <w:hideMark/>
          </w:tcPr>
          <w:p w:rsidR="00941915" w:rsidRPr="0033720D" w:rsidP="00941915" w14:paraId="58A9C84D" w14:textId="77777777">
            <w:pPr>
              <w:widowControl/>
              <w:rPr>
                <w:snapToGrid/>
                <w:color w:val="000000"/>
                <w:sz w:val="18"/>
                <w:szCs w:val="18"/>
              </w:rPr>
            </w:pPr>
          </w:p>
        </w:tc>
        <w:tc>
          <w:tcPr>
            <w:tcW w:w="1350" w:type="dxa"/>
            <w:tcBorders>
              <w:top w:val="nil"/>
              <w:left w:val="nil"/>
              <w:bottom w:val="single" w:sz="8" w:space="0" w:color="auto"/>
              <w:right w:val="single" w:sz="8" w:space="0" w:color="auto"/>
            </w:tcBorders>
            <w:shd w:val="clear" w:color="000000" w:fill="FFF2CC"/>
            <w:noWrap/>
            <w:vAlign w:val="center"/>
            <w:hideMark/>
          </w:tcPr>
          <w:p w:rsidR="00941915" w:rsidRPr="0033720D" w:rsidP="00941915" w14:paraId="04760A78" w14:textId="77777777">
            <w:pPr>
              <w:widowControl/>
              <w:jc w:val="center"/>
              <w:rPr>
                <w:snapToGrid/>
                <w:color w:val="000000"/>
                <w:sz w:val="18"/>
                <w:szCs w:val="18"/>
              </w:rPr>
            </w:pPr>
            <w:r w:rsidRPr="0033720D">
              <w:rPr>
                <w:snapToGrid/>
                <w:color w:val="000000"/>
                <w:sz w:val="18"/>
                <w:szCs w:val="18"/>
              </w:rPr>
              <w:t>Text Activity</w:t>
            </w:r>
          </w:p>
        </w:tc>
        <w:tc>
          <w:tcPr>
            <w:tcW w:w="990" w:type="dxa"/>
            <w:tcBorders>
              <w:top w:val="nil"/>
              <w:left w:val="nil"/>
              <w:bottom w:val="single" w:sz="8" w:space="0" w:color="auto"/>
              <w:right w:val="single" w:sz="8" w:space="0" w:color="auto"/>
            </w:tcBorders>
            <w:shd w:val="clear" w:color="000000" w:fill="FFF2CC"/>
            <w:noWrap/>
            <w:vAlign w:val="center"/>
            <w:hideMark/>
          </w:tcPr>
          <w:p w:rsidR="00941915" w:rsidRPr="0033720D" w:rsidP="00941915" w14:paraId="3F7C3E90" w14:textId="77777777">
            <w:pPr>
              <w:widowControl/>
              <w:jc w:val="center"/>
              <w:rPr>
                <w:snapToGrid/>
                <w:color w:val="000000"/>
                <w:sz w:val="18"/>
                <w:szCs w:val="18"/>
              </w:rPr>
            </w:pPr>
            <w:r w:rsidRPr="0033720D">
              <w:rPr>
                <w:snapToGrid/>
                <w:color w:val="000000"/>
                <w:sz w:val="18"/>
                <w:szCs w:val="18"/>
              </w:rPr>
              <w:t>Text 1</w:t>
            </w:r>
          </w:p>
        </w:tc>
        <w:tc>
          <w:tcPr>
            <w:tcW w:w="1042" w:type="dxa"/>
            <w:tcBorders>
              <w:top w:val="nil"/>
              <w:left w:val="nil"/>
              <w:bottom w:val="single" w:sz="8" w:space="0" w:color="auto"/>
              <w:right w:val="single" w:sz="8" w:space="0" w:color="auto"/>
            </w:tcBorders>
            <w:shd w:val="clear" w:color="000000" w:fill="FFF2CC"/>
            <w:noWrap/>
            <w:vAlign w:val="center"/>
            <w:hideMark/>
          </w:tcPr>
          <w:p w:rsidR="00941915" w:rsidRPr="0033720D" w:rsidP="00941915" w14:paraId="1C78F128" w14:textId="77777777">
            <w:pPr>
              <w:widowControl/>
              <w:jc w:val="center"/>
              <w:rPr>
                <w:snapToGrid/>
                <w:color w:val="000000"/>
                <w:sz w:val="18"/>
                <w:szCs w:val="18"/>
              </w:rPr>
            </w:pPr>
            <w:r w:rsidRPr="0033720D">
              <w:rPr>
                <w:snapToGrid/>
                <w:color w:val="000000"/>
                <w:sz w:val="18"/>
                <w:szCs w:val="18"/>
              </w:rPr>
              <w:t>Text 2</w:t>
            </w:r>
          </w:p>
        </w:tc>
        <w:tc>
          <w:tcPr>
            <w:tcW w:w="1028" w:type="dxa"/>
            <w:tcBorders>
              <w:top w:val="nil"/>
              <w:left w:val="nil"/>
              <w:bottom w:val="single" w:sz="8" w:space="0" w:color="auto"/>
              <w:right w:val="single" w:sz="8" w:space="0" w:color="auto"/>
            </w:tcBorders>
            <w:shd w:val="clear" w:color="000000" w:fill="595959"/>
            <w:noWrap/>
            <w:vAlign w:val="center"/>
            <w:hideMark/>
          </w:tcPr>
          <w:p w:rsidR="00941915" w:rsidRPr="0033720D" w:rsidP="00941915" w14:paraId="66C85303" w14:textId="77777777">
            <w:pPr>
              <w:widowControl/>
              <w:jc w:val="center"/>
              <w:rPr>
                <w:snapToGrid/>
                <w:color w:val="000000"/>
                <w:sz w:val="18"/>
                <w:szCs w:val="18"/>
              </w:rPr>
            </w:pPr>
            <w:r w:rsidRPr="0033720D">
              <w:rPr>
                <w:snapToGrid/>
                <w:color w:val="000000"/>
                <w:sz w:val="18"/>
                <w:szCs w:val="18"/>
              </w:rPr>
              <w:t> </w:t>
            </w:r>
          </w:p>
        </w:tc>
        <w:tc>
          <w:tcPr>
            <w:tcW w:w="1042" w:type="dxa"/>
            <w:tcBorders>
              <w:top w:val="nil"/>
              <w:left w:val="nil"/>
              <w:bottom w:val="single" w:sz="8" w:space="0" w:color="auto"/>
              <w:right w:val="single" w:sz="8" w:space="0" w:color="auto"/>
            </w:tcBorders>
            <w:shd w:val="clear" w:color="000000" w:fill="595959"/>
            <w:noWrap/>
            <w:vAlign w:val="center"/>
            <w:hideMark/>
          </w:tcPr>
          <w:p w:rsidR="00941915" w:rsidRPr="0033720D" w:rsidP="00941915" w14:paraId="2E257EDF" w14:textId="77777777">
            <w:pPr>
              <w:widowControl/>
              <w:jc w:val="center"/>
              <w:rPr>
                <w:snapToGrid/>
                <w:color w:val="000000"/>
                <w:sz w:val="18"/>
                <w:szCs w:val="18"/>
              </w:rPr>
            </w:pPr>
            <w:r w:rsidRPr="0033720D">
              <w:rPr>
                <w:snapToGrid/>
                <w:color w:val="000000"/>
                <w:sz w:val="18"/>
                <w:szCs w:val="18"/>
              </w:rPr>
              <w:t> </w:t>
            </w:r>
          </w:p>
        </w:tc>
        <w:tc>
          <w:tcPr>
            <w:tcW w:w="1028" w:type="dxa"/>
            <w:tcBorders>
              <w:top w:val="nil"/>
              <w:left w:val="nil"/>
              <w:bottom w:val="single" w:sz="8" w:space="0" w:color="auto"/>
              <w:right w:val="single" w:sz="8" w:space="0" w:color="auto"/>
            </w:tcBorders>
            <w:shd w:val="clear" w:color="000000" w:fill="595959"/>
            <w:noWrap/>
            <w:vAlign w:val="center"/>
            <w:hideMark/>
          </w:tcPr>
          <w:p w:rsidR="00941915" w:rsidRPr="0033720D" w:rsidP="00941915" w14:paraId="6F80F040" w14:textId="77777777">
            <w:pPr>
              <w:widowControl/>
              <w:jc w:val="center"/>
              <w:rPr>
                <w:snapToGrid/>
                <w:color w:val="000000"/>
                <w:sz w:val="18"/>
                <w:szCs w:val="18"/>
              </w:rPr>
            </w:pPr>
            <w:r w:rsidRPr="0033720D">
              <w:rPr>
                <w:snapToGrid/>
                <w:color w:val="000000"/>
                <w:sz w:val="18"/>
                <w:szCs w:val="18"/>
              </w:rPr>
              <w:t> </w:t>
            </w:r>
          </w:p>
        </w:tc>
        <w:tc>
          <w:tcPr>
            <w:tcW w:w="1170" w:type="dxa"/>
            <w:tcBorders>
              <w:top w:val="nil"/>
              <w:left w:val="nil"/>
              <w:bottom w:val="single" w:sz="8" w:space="0" w:color="auto"/>
              <w:right w:val="single" w:sz="8" w:space="0" w:color="auto"/>
            </w:tcBorders>
            <w:shd w:val="clear" w:color="000000" w:fill="595959"/>
            <w:noWrap/>
            <w:vAlign w:val="center"/>
            <w:hideMark/>
          </w:tcPr>
          <w:p w:rsidR="00941915" w:rsidRPr="0033720D" w:rsidP="00941915" w14:paraId="408DACC7" w14:textId="77777777">
            <w:pPr>
              <w:widowControl/>
              <w:jc w:val="center"/>
              <w:rPr>
                <w:snapToGrid/>
                <w:color w:val="000000"/>
                <w:sz w:val="18"/>
                <w:szCs w:val="18"/>
              </w:rPr>
            </w:pPr>
            <w:r w:rsidRPr="0033720D">
              <w:rPr>
                <w:snapToGrid/>
                <w:color w:val="000000"/>
                <w:sz w:val="18"/>
                <w:szCs w:val="18"/>
              </w:rPr>
              <w:t> </w:t>
            </w:r>
          </w:p>
        </w:tc>
      </w:tr>
    </w:tbl>
    <w:p w:rsidR="00565B11" w:rsidRPr="005323D0" w:rsidP="005323D0" w14:paraId="3AAA7482" w14:textId="0E046630">
      <w:pPr>
        <w:sectPr w:rsidSect="000A5104">
          <w:pgSz w:w="15840" w:h="12240" w:orient="landscape" w:code="1"/>
          <w:pgMar w:top="1008" w:right="1008" w:bottom="1008" w:left="432" w:header="432" w:footer="432" w:gutter="0"/>
          <w:cols w:space="720"/>
          <w:titlePg/>
          <w:docGrid w:linePitch="326"/>
        </w:sectPr>
      </w:pPr>
    </w:p>
    <w:p w:rsidR="0068547B" w:rsidRPr="008B2D43" w:rsidP="0068547B" w14:paraId="4FE3ADA7" w14:textId="77777777">
      <w:pPr>
        <w:pStyle w:val="L1-FlLSp12"/>
        <w:spacing w:after="120" w:line="240" w:lineRule="auto"/>
        <w:ind w:right="-43"/>
        <w:rPr>
          <w:rFonts w:ascii="Times New Roman" w:hAnsi="Times New Roman"/>
          <w:b/>
          <w:sz w:val="22"/>
          <w:szCs w:val="22"/>
        </w:rPr>
      </w:pPr>
      <w:bookmarkStart w:id="51" w:name="_Toc57039289"/>
      <w:r w:rsidRPr="008B2D43">
        <w:rPr>
          <w:rFonts w:ascii="Times New Roman" w:hAnsi="Times New Roman"/>
          <w:sz w:val="22"/>
          <w:szCs w:val="22"/>
        </w:rPr>
        <w:t>Following data collection, analyses will be conducted at the treatment level (experimental group vs. control). The analyses examined include:</w:t>
      </w:r>
    </w:p>
    <w:p w:rsidR="0068547B" w:rsidRPr="008B2D43" w:rsidP="0068547B" w14:paraId="6C89BCCD" w14:textId="77777777">
      <w:pPr>
        <w:pStyle w:val="ListParagraph"/>
        <w:numPr>
          <w:ilvl w:val="0"/>
          <w:numId w:val="28"/>
        </w:numPr>
        <w:tabs>
          <w:tab w:val="left" w:pos="360"/>
          <w:tab w:val="left" w:pos="1080"/>
        </w:tabs>
        <w:ind w:left="900"/>
        <w:rPr>
          <w:rFonts w:ascii="Times New Roman" w:hAnsi="Times New Roman"/>
        </w:rPr>
      </w:pPr>
      <w:r w:rsidRPr="008B2D43">
        <w:rPr>
          <w:rFonts w:ascii="Times New Roman" w:hAnsi="Times New Roman"/>
        </w:rPr>
        <w:t>Response rate;</w:t>
      </w:r>
    </w:p>
    <w:p w:rsidR="0068547B" w:rsidRPr="008B2D43" w:rsidP="0068547B" w14:paraId="7B1CFC34" w14:textId="77777777">
      <w:pPr>
        <w:pStyle w:val="ListParagraph"/>
        <w:numPr>
          <w:ilvl w:val="0"/>
          <w:numId w:val="28"/>
        </w:numPr>
        <w:tabs>
          <w:tab w:val="left" w:pos="360"/>
          <w:tab w:val="left" w:pos="1080"/>
        </w:tabs>
        <w:ind w:left="900"/>
        <w:rPr>
          <w:rFonts w:ascii="Times New Roman" w:hAnsi="Times New Roman"/>
        </w:rPr>
      </w:pPr>
      <w:r w:rsidRPr="008B2D43">
        <w:rPr>
          <w:rFonts w:ascii="Times New Roman" w:hAnsi="Times New Roman"/>
        </w:rPr>
        <w:t>R-Indicators;</w:t>
      </w:r>
    </w:p>
    <w:p w:rsidR="0068547B" w:rsidRPr="008B2D43" w:rsidP="0068547B" w14:paraId="22046149" w14:textId="77777777">
      <w:pPr>
        <w:pStyle w:val="ListParagraph"/>
        <w:numPr>
          <w:ilvl w:val="0"/>
          <w:numId w:val="28"/>
        </w:numPr>
        <w:tabs>
          <w:tab w:val="left" w:pos="360"/>
          <w:tab w:val="left" w:pos="1080"/>
        </w:tabs>
        <w:ind w:left="900"/>
        <w:rPr>
          <w:rFonts w:ascii="Times New Roman" w:hAnsi="Times New Roman"/>
        </w:rPr>
      </w:pPr>
      <w:r w:rsidRPr="008B2D43">
        <w:rPr>
          <w:rFonts w:ascii="Times New Roman" w:hAnsi="Times New Roman"/>
        </w:rPr>
        <w:t>Average number of contacts; and</w:t>
      </w:r>
    </w:p>
    <w:p w:rsidR="00597521" w:rsidRPr="00805E5F" w:rsidP="00805E5F" w14:paraId="1B0B37E7" w14:textId="0568E6DF">
      <w:pPr>
        <w:pStyle w:val="ListParagraph"/>
        <w:numPr>
          <w:ilvl w:val="0"/>
          <w:numId w:val="28"/>
        </w:numPr>
        <w:tabs>
          <w:tab w:val="left" w:pos="360"/>
          <w:tab w:val="left" w:pos="1080"/>
        </w:tabs>
        <w:spacing w:after="120"/>
        <w:ind w:left="907"/>
      </w:pPr>
      <w:r w:rsidRPr="008B2D43">
        <w:rPr>
          <w:rFonts w:ascii="Times New Roman" w:hAnsi="Times New Roman"/>
        </w:rPr>
        <w:t>Median d</w:t>
      </w:r>
      <w:r w:rsidRPr="008B2D43" w:rsidR="0068547B">
        <w:rPr>
          <w:rFonts w:ascii="Times New Roman" w:hAnsi="Times New Roman"/>
        </w:rPr>
        <w:t>ays to respond.</w:t>
      </w:r>
    </w:p>
    <w:p w:rsidR="0068547B" w:rsidRPr="008B2D43" w:rsidP="0068547B" w14:paraId="7BE6B488" w14:textId="6FAA86F8">
      <w:pPr>
        <w:tabs>
          <w:tab w:val="left" w:pos="360"/>
        </w:tabs>
        <w:spacing w:after="120"/>
        <w:rPr>
          <w:sz w:val="22"/>
          <w:szCs w:val="22"/>
        </w:rPr>
      </w:pPr>
      <w:r w:rsidRPr="008B2D43">
        <w:rPr>
          <w:sz w:val="22"/>
          <w:szCs w:val="22"/>
        </w:rPr>
        <w:t>The response rate will be calculated for each treatment group and selected demographic domains</w:t>
      </w:r>
      <w:r w:rsidRPr="008B2D43">
        <w:rPr>
          <w:sz w:val="22"/>
          <w:szCs w:val="22"/>
        </w:rPr>
        <w:t xml:space="preserve"> </w:t>
      </w:r>
      <w:r w:rsidRPr="008B2D43">
        <w:rPr>
          <w:sz w:val="22"/>
          <w:szCs w:val="22"/>
        </w:rPr>
        <w:t>and compared using significance tests for differences. To account for confounding variables, a model-based approach will also be calculated to determine what effect the</w:t>
      </w:r>
      <w:r w:rsidRPr="008B2D43" w:rsidR="00C31F23">
        <w:rPr>
          <w:sz w:val="22"/>
          <w:szCs w:val="22"/>
        </w:rPr>
        <w:t xml:space="preserve"> text message(s)</w:t>
      </w:r>
      <w:r w:rsidRPr="008B2D43">
        <w:rPr>
          <w:sz w:val="22"/>
          <w:szCs w:val="22"/>
        </w:rPr>
        <w:t xml:space="preserve"> had on a case’s likelihood to respond, given that case’s unique characteristics.</w:t>
      </w:r>
    </w:p>
    <w:p w:rsidR="00265A44" w:rsidRPr="008B2D43" w:rsidP="0068547B" w14:paraId="09BB1E1C" w14:textId="2DB2FB47">
      <w:pPr>
        <w:tabs>
          <w:tab w:val="left" w:pos="360"/>
        </w:tabs>
        <w:spacing w:after="120"/>
        <w:rPr>
          <w:sz w:val="22"/>
          <w:szCs w:val="22"/>
        </w:rPr>
      </w:pPr>
      <w:r w:rsidRPr="008B2D43">
        <w:rPr>
          <w:sz w:val="22"/>
          <w:szCs w:val="22"/>
        </w:rPr>
        <w:t>Given the project sample sizes in the table above, a statistically significant difference between the</w:t>
      </w:r>
      <w:r w:rsidR="0014235C">
        <w:rPr>
          <w:sz w:val="22"/>
          <w:szCs w:val="22"/>
        </w:rPr>
        <w:t xml:space="preserve"> no text message group with personal email </w:t>
      </w:r>
      <w:r w:rsidR="00805E5F">
        <w:rPr>
          <w:sz w:val="22"/>
          <w:szCs w:val="22"/>
        </w:rPr>
        <w:t xml:space="preserve">available </w:t>
      </w:r>
      <w:r w:rsidRPr="008B2D43" w:rsidR="00805E5F">
        <w:rPr>
          <w:sz w:val="22"/>
          <w:szCs w:val="22"/>
        </w:rPr>
        <w:t>and</w:t>
      </w:r>
      <w:r w:rsidRPr="008B2D43">
        <w:rPr>
          <w:sz w:val="22"/>
          <w:szCs w:val="22"/>
        </w:rPr>
        <w:t xml:space="preserve"> any of the other </w:t>
      </w:r>
      <w:r w:rsidRPr="008B2D43" w:rsidR="006724E9">
        <w:rPr>
          <w:sz w:val="22"/>
          <w:szCs w:val="22"/>
        </w:rPr>
        <w:t xml:space="preserve">two </w:t>
      </w:r>
      <w:r w:rsidRPr="008B2D43">
        <w:rPr>
          <w:sz w:val="22"/>
          <w:szCs w:val="22"/>
        </w:rPr>
        <w:t>treatment groups will be found if the response rates between the two groups differ by</w:t>
      </w:r>
      <w:r w:rsidRPr="008B2D43" w:rsidR="00B96790">
        <w:rPr>
          <w:sz w:val="22"/>
          <w:szCs w:val="22"/>
        </w:rPr>
        <w:t>:</w:t>
      </w:r>
    </w:p>
    <w:p w:rsidR="00B96790" w:rsidRPr="008B2D43" w:rsidP="00B96790" w14:paraId="5A871A55" w14:textId="6FD80060">
      <w:pPr>
        <w:pStyle w:val="ListParagraph"/>
        <w:numPr>
          <w:ilvl w:val="0"/>
          <w:numId w:val="29"/>
        </w:numPr>
        <w:tabs>
          <w:tab w:val="left" w:pos="360"/>
        </w:tabs>
        <w:spacing w:after="120"/>
        <w:rPr>
          <w:rFonts w:ascii="Times New Roman" w:hAnsi="Times New Roman"/>
        </w:rPr>
      </w:pPr>
      <w:r>
        <w:rPr>
          <w:rFonts w:ascii="Times New Roman" w:hAnsi="Times New Roman"/>
        </w:rPr>
        <w:t>6.64</w:t>
      </w:r>
      <w:r w:rsidRPr="008B2D43">
        <w:rPr>
          <w:rFonts w:ascii="Times New Roman" w:hAnsi="Times New Roman"/>
        </w:rPr>
        <w:t>% for public school principals</w:t>
      </w:r>
      <w:r w:rsidRPr="008B2D43" w:rsidR="00597521">
        <w:rPr>
          <w:rFonts w:ascii="Times New Roman" w:hAnsi="Times New Roman"/>
        </w:rPr>
        <w:t xml:space="preserve"> (PFS)</w:t>
      </w:r>
    </w:p>
    <w:p w:rsidR="00B96790" w:rsidRPr="008B2D43" w:rsidP="00B96790" w14:paraId="40C7EEAA" w14:textId="7A9F5E95">
      <w:pPr>
        <w:pStyle w:val="ListParagraph"/>
        <w:numPr>
          <w:ilvl w:val="0"/>
          <w:numId w:val="29"/>
        </w:numPr>
        <w:tabs>
          <w:tab w:val="left" w:pos="360"/>
        </w:tabs>
        <w:spacing w:after="120"/>
      </w:pPr>
      <w:r w:rsidRPr="008B2D43">
        <w:rPr>
          <w:rFonts w:ascii="Times New Roman" w:hAnsi="Times New Roman"/>
        </w:rPr>
        <w:t>1</w:t>
      </w:r>
      <w:r w:rsidR="004378F9">
        <w:rPr>
          <w:rFonts w:ascii="Times New Roman" w:hAnsi="Times New Roman"/>
        </w:rPr>
        <w:t>5.25</w:t>
      </w:r>
      <w:r w:rsidRPr="008B2D43">
        <w:rPr>
          <w:rFonts w:ascii="Times New Roman" w:hAnsi="Times New Roman"/>
        </w:rPr>
        <w:t>% for private school principals</w:t>
      </w:r>
      <w:r w:rsidRPr="008B2D43" w:rsidR="00597521">
        <w:rPr>
          <w:rFonts w:ascii="Times New Roman" w:hAnsi="Times New Roman"/>
        </w:rPr>
        <w:t xml:space="preserve"> (PFS)</w:t>
      </w:r>
    </w:p>
    <w:p w:rsidR="00265A44" w:rsidRPr="008B2D43" w:rsidP="00B96790" w14:paraId="34D551AD" w14:textId="207BB2A7">
      <w:pPr>
        <w:pStyle w:val="ListParagraph"/>
        <w:numPr>
          <w:ilvl w:val="0"/>
          <w:numId w:val="29"/>
        </w:numPr>
        <w:tabs>
          <w:tab w:val="left" w:pos="360"/>
        </w:tabs>
        <w:spacing w:after="120"/>
      </w:pPr>
      <w:r w:rsidRPr="008B2D43">
        <w:rPr>
          <w:rFonts w:ascii="Times New Roman" w:hAnsi="Times New Roman"/>
        </w:rPr>
        <w:t>6.</w:t>
      </w:r>
      <w:r w:rsidR="004378F9">
        <w:rPr>
          <w:rFonts w:ascii="Times New Roman" w:hAnsi="Times New Roman"/>
        </w:rPr>
        <w:t>09</w:t>
      </w:r>
      <w:r w:rsidRPr="008B2D43">
        <w:rPr>
          <w:rFonts w:ascii="Times New Roman" w:hAnsi="Times New Roman"/>
        </w:rPr>
        <w:t>% for all school principals (PFS)</w:t>
      </w:r>
    </w:p>
    <w:p w:rsidR="0068547B" w:rsidRPr="008B2D43" w:rsidP="0068547B" w14:paraId="529A98DE" w14:textId="77777777">
      <w:pPr>
        <w:tabs>
          <w:tab w:val="left" w:pos="360"/>
        </w:tabs>
        <w:spacing w:after="120"/>
        <w:rPr>
          <w:sz w:val="22"/>
          <w:szCs w:val="22"/>
        </w:rPr>
      </w:pPr>
      <w:r w:rsidRPr="008B2D43">
        <w:rPr>
          <w:sz w:val="22"/>
          <w:szCs w:val="22"/>
        </w:rPr>
        <w:t>R-indicators will be used to determine the overall balance of the respondent population, as well as within each experimental group. R-indicators will be calculated for the full sample, as well as variable-level and category-level partial R-indicators to determine which characteristics specifically are contributing to imbalance within the respondent population.</w:t>
      </w:r>
    </w:p>
    <w:p w:rsidR="0068547B" w:rsidP="0068547B" w14:paraId="0FE76181" w14:textId="26854E3B">
      <w:pPr>
        <w:tabs>
          <w:tab w:val="left" w:pos="360"/>
        </w:tabs>
        <w:spacing w:after="120"/>
        <w:rPr>
          <w:sz w:val="22"/>
          <w:szCs w:val="22"/>
        </w:rPr>
      </w:pPr>
      <w:r w:rsidRPr="008B2D43">
        <w:rPr>
          <w:sz w:val="22"/>
          <w:szCs w:val="22"/>
        </w:rPr>
        <w:t xml:space="preserve">The average number of contacts and </w:t>
      </w:r>
      <w:r w:rsidRPr="008B2D43" w:rsidR="00265A44">
        <w:rPr>
          <w:sz w:val="22"/>
          <w:szCs w:val="22"/>
        </w:rPr>
        <w:t>median</w:t>
      </w:r>
      <w:r w:rsidRPr="008B2D43">
        <w:rPr>
          <w:sz w:val="22"/>
          <w:szCs w:val="22"/>
        </w:rPr>
        <w:t xml:space="preserve"> days to respond across the experimental groups will be used as a proxy for timeliness of response. A reduction in the average number of contacts could be used to justify the use of one type of contact strategy over another. If cases within the experimental group receiving text messages respond in a more timely fashion, this could reduce the number of cases included in follow-up operations, allowing finite resources, to be spread across fewer cases.</w:t>
      </w:r>
    </w:p>
    <w:p w:rsidR="00805E5F" w:rsidP="00805E5F" w14:paraId="16166E7A" w14:textId="77777777">
      <w:pPr>
        <w:pStyle w:val="Heading2"/>
        <w:spacing w:after="240"/>
      </w:pPr>
      <w:bookmarkStart w:id="52" w:name="_Toc187144077"/>
      <w:r w:rsidRPr="00805E5F">
        <w:t>B.4.2 Testing the impact of updated SPD 15</w:t>
      </w:r>
      <w:bookmarkEnd w:id="52"/>
    </w:p>
    <w:p w:rsidR="002736DD" w:rsidP="008417FB" w14:paraId="368A4F94" w14:textId="77777777">
      <w:pPr>
        <w:rPr>
          <w:sz w:val="22"/>
          <w:szCs w:val="22"/>
        </w:rPr>
      </w:pPr>
      <w:r w:rsidRPr="00805E5F">
        <w:rPr>
          <w:sz w:val="22"/>
          <w:szCs w:val="22"/>
        </w:rPr>
        <w:t xml:space="preserve">As noted in A.7, </w:t>
      </w:r>
      <w:bookmarkEnd w:id="51"/>
      <w:r w:rsidR="008417FB">
        <w:rPr>
          <w:sz w:val="22"/>
          <w:szCs w:val="22"/>
        </w:rPr>
        <w:t>t</w:t>
      </w:r>
      <w:r w:rsidRPr="008417FB" w:rsidR="008417FB">
        <w:rPr>
          <w:sz w:val="22"/>
          <w:szCs w:val="22"/>
        </w:rPr>
        <w:t xml:space="preserve">he NTPS collects data on teachers’ race and ethnicity. In order to minimize burden, the TFS does not typically include questions where respondents’ answers are unlikely to have changed since they completed the NTPS during the previous school year. </w:t>
      </w:r>
      <w:r w:rsidRPr="002736DD">
        <w:rPr>
          <w:sz w:val="22"/>
          <w:szCs w:val="22"/>
        </w:rPr>
        <w:t>The 2023-24 NTPS and earlier collections asked about race and ethnicity as defined at the time of collection.</w:t>
      </w:r>
    </w:p>
    <w:p w:rsidR="002736DD" w:rsidP="008417FB" w14:paraId="0AB2D3E6" w14:textId="77777777">
      <w:pPr>
        <w:rPr>
          <w:sz w:val="22"/>
          <w:szCs w:val="22"/>
        </w:rPr>
      </w:pPr>
    </w:p>
    <w:p w:rsidR="009A7AA7" w:rsidP="008417FB" w14:paraId="42157FEC" w14:textId="77777777">
      <w:pPr>
        <w:rPr>
          <w:sz w:val="22"/>
          <w:szCs w:val="22"/>
        </w:rPr>
      </w:pPr>
      <w:r w:rsidRPr="009A7AA7">
        <w:rPr>
          <w:sz w:val="22"/>
          <w:szCs w:val="22"/>
        </w:rPr>
        <w:t xml:space="preserve">In March 2024, the Office of Management and Budget (OMB) announced revisions to Statistical Policy Directive No. 15: Standards for Maintaining, Collecting, and Presenting Federal Data on Race and Ethnicity (SPD 15) and published the revised SPD15 standard in the Federal Register (89 FR 22182). </w:t>
      </w:r>
    </w:p>
    <w:p w:rsidR="009A7AA7" w:rsidP="008417FB" w14:paraId="2654EC80" w14:textId="77777777">
      <w:pPr>
        <w:rPr>
          <w:sz w:val="22"/>
          <w:szCs w:val="22"/>
        </w:rPr>
      </w:pPr>
    </w:p>
    <w:p w:rsidR="008417FB" w:rsidP="008417FB" w14:paraId="66C89BF9" w14:textId="5B2D176D">
      <w:pPr>
        <w:rPr>
          <w:sz w:val="22"/>
          <w:szCs w:val="22"/>
        </w:rPr>
      </w:pPr>
      <w:r w:rsidRPr="00C46258">
        <w:rPr>
          <w:sz w:val="22"/>
          <w:szCs w:val="22"/>
        </w:rPr>
        <w:t xml:space="preserve">For the 2024-25 TFS, we will include the updated SPD 15 question on race and ethnicity. Specifically, as seen in Appendix B, the 2024-25 TFS will be using Figure 2 (89 FR 22194). The TFS race and ethnicity question will allow us to empirically measure how respondents answer the older and updated versions, and it will serve as a bridge in order to analyze trends in teachers’ race and ethnicity before and after the updated SPD 15 is added to the next NTPS collection. The TFS race and ethnicity question will solely be used for this empirical purpose; that is, the question(s) are not for production and will not be used to produce official statistics. The vast majority of TFS and NTPS respondents answer the surveys via the web instrument, and Figure 2 has better usability for web and mobile users than Figure 1 (89 FR 22193). In specific, on the 2023-24 NTPS, 87-89 percent of responses on the principal and school questionnaires, respectfully, came from the web and 94 percent of responses came from the web on the 2021-22 TFS.  </w:t>
      </w:r>
      <w:r w:rsidRPr="00C46258">
        <w:rPr>
          <w:sz w:val="22"/>
          <w:szCs w:val="22"/>
        </w:rPr>
        <w:t>Further, because this is an addition to a previous data collection and we are not recalculating burden for this collection, Figure 2 has the advantage of providing exactly the level of data that will be of use for preliminary bridging calculations while not increasing burden to respondents through use of the more complex and potentially confusing Figure 1.</w:t>
      </w:r>
    </w:p>
    <w:p w:rsidR="00C46258" w:rsidRPr="008417FB" w:rsidP="008417FB" w14:paraId="0A7F0534" w14:textId="77777777">
      <w:pPr>
        <w:rPr>
          <w:sz w:val="22"/>
          <w:szCs w:val="22"/>
        </w:rPr>
      </w:pPr>
    </w:p>
    <w:p w:rsidR="008417FB" w:rsidRPr="008417FB" w:rsidP="008417FB" w14:paraId="39148B21" w14:textId="77777777">
      <w:pPr>
        <w:rPr>
          <w:sz w:val="22"/>
          <w:szCs w:val="22"/>
        </w:rPr>
      </w:pPr>
      <w:r w:rsidRPr="008417FB">
        <w:rPr>
          <w:sz w:val="22"/>
          <w:szCs w:val="22"/>
        </w:rPr>
        <w:t>Note that when asking about race, the NTPS has previously listed response options in descending order of prevalence, rather than alphabetically. For the 2024-25 TFS, we plan to randomly assign teachers to either view the response options in alphabetical order or by descending prevalence. This will allow us to compare how teachers answer the older and updated versions, as well as whether this differs by the order in which response options are presented.</w:t>
      </w:r>
    </w:p>
    <w:p w:rsidR="009C5CA9" w:rsidRPr="00DC7187" w:rsidP="008417FB" w14:paraId="75353AE9" w14:textId="642A4B80">
      <w:pPr>
        <w:tabs>
          <w:tab w:val="left" w:pos="360"/>
        </w:tabs>
        <w:spacing w:after="240"/>
        <w:rPr>
          <w:sz w:val="22"/>
          <w:szCs w:val="18"/>
        </w:rPr>
      </w:pPr>
    </w:p>
    <w:p w:rsidR="0045667D" w:rsidRPr="00DC7187" w:rsidP="0045667D" w14:paraId="057AB892" w14:textId="77777777">
      <w:pPr>
        <w:pStyle w:val="Heading1"/>
        <w:keepNext w:val="0"/>
        <w:spacing w:after="120"/>
        <w:rPr>
          <w:sz w:val="22"/>
          <w:szCs w:val="22"/>
        </w:rPr>
      </w:pPr>
      <w:bookmarkStart w:id="53" w:name="_Toc57039290"/>
      <w:bookmarkStart w:id="54" w:name="_Toc187144078"/>
      <w:r w:rsidRPr="00DC7187">
        <w:rPr>
          <w:sz w:val="22"/>
          <w:szCs w:val="22"/>
        </w:rPr>
        <w:t>B.5</w:t>
      </w:r>
      <w:r w:rsidRPr="00DC7187">
        <w:rPr>
          <w:sz w:val="22"/>
          <w:szCs w:val="22"/>
        </w:rPr>
        <w:tab/>
        <w:t>Reviewing Statisticians</w:t>
      </w:r>
      <w:bookmarkEnd w:id="53"/>
      <w:bookmarkEnd w:id="54"/>
    </w:p>
    <w:p w:rsidR="0045667D" w:rsidRPr="00DC7187" w:rsidP="008A0E27" w14:paraId="4739DCDE" w14:textId="4227139D">
      <w:pPr>
        <w:rPr>
          <w:color w:val="000000"/>
          <w:sz w:val="22"/>
          <w:szCs w:val="22"/>
        </w:rPr>
      </w:pPr>
      <w:bookmarkStart w:id="55" w:name="_Toc57039291"/>
      <w:bookmarkStart w:id="56" w:name="_Toc57039420"/>
      <w:r>
        <w:rPr>
          <w:color w:val="000000"/>
          <w:sz w:val="22"/>
          <w:szCs w:val="22"/>
        </w:rPr>
        <w:t xml:space="preserve">Jinhee Hong </w:t>
      </w:r>
      <w:r w:rsidRPr="00DC7187">
        <w:rPr>
          <w:color w:val="000000"/>
          <w:sz w:val="22"/>
          <w:szCs w:val="22"/>
        </w:rPr>
        <w:t xml:space="preserve">and Alfred Meier of the U.S. Census Bureau, </w:t>
      </w:r>
      <w:r>
        <w:rPr>
          <w:color w:val="000000"/>
          <w:sz w:val="22"/>
          <w:szCs w:val="22"/>
        </w:rPr>
        <w:t>Carol Wan</w:t>
      </w:r>
      <w:r w:rsidR="00545594">
        <w:rPr>
          <w:color w:val="000000"/>
          <w:sz w:val="22"/>
          <w:szCs w:val="22"/>
        </w:rPr>
        <w:t xml:space="preserve"> and Alex McMillan</w:t>
      </w:r>
      <w:r w:rsidRPr="00DC7187">
        <w:rPr>
          <w:color w:val="000000"/>
          <w:sz w:val="22"/>
          <w:szCs w:val="22"/>
        </w:rPr>
        <w:t xml:space="preserve"> of </w:t>
      </w:r>
      <w:r>
        <w:rPr>
          <w:color w:val="000000"/>
          <w:sz w:val="22"/>
          <w:szCs w:val="22"/>
        </w:rPr>
        <w:t>the American Institute for Research (AIR)</w:t>
      </w:r>
      <w:r w:rsidRPr="00DC7187">
        <w:rPr>
          <w:color w:val="000000"/>
          <w:sz w:val="22"/>
          <w:szCs w:val="22"/>
        </w:rPr>
        <w:t>, and Andy Zukerberg, Maura Spiegelman, and Julia Merlin of NCES reviewed and approved the TFS and PFS sample design and related matters for statistical quality, feasibility, and suitability to the overall objectives of the survey.</w:t>
      </w:r>
      <w:bookmarkEnd w:id="55"/>
      <w:bookmarkEnd w:id="56"/>
    </w:p>
    <w:sectPr w:rsidSect="000A5104">
      <w:pgSz w:w="12240" w:h="15840" w:code="1"/>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659FB" w14:paraId="0B152D6C" w14:textId="77777777">
      <w:pPr>
        <w:spacing w:line="20" w:lineRule="exact"/>
      </w:pPr>
    </w:p>
  </w:endnote>
  <w:endnote w:type="continuationSeparator" w:id="1">
    <w:p w:rsidR="00B659FB" w14:paraId="250BDDD0" w14:textId="77777777">
      <w:r>
        <w:t xml:space="preserve"> </w:t>
      </w:r>
    </w:p>
  </w:endnote>
  <w:endnote w:type="continuationNotice" w:id="2">
    <w:p w:rsidR="00B659FB" w14:paraId="3932D210"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man-WP">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21E8" w14:paraId="703C25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1655496"/>
      <w:docPartObj>
        <w:docPartGallery w:val="Page Numbers (Bottom of Page)"/>
        <w:docPartUnique/>
      </w:docPartObj>
    </w:sdtPr>
    <w:sdtEndPr>
      <w:rPr>
        <w:noProof/>
      </w:rPr>
    </w:sdtEndPr>
    <w:sdtContent>
      <w:p w:rsidR="008460FD" w14:paraId="379D6B6E" w14:textId="07C165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460FD" w:rsidP="00D85DB4" w14:paraId="4572C66C" w14:textId="52198202">
    <w:pPr>
      <w:pStyle w:val="Footer"/>
      <w:tabs>
        <w:tab w:val="left" w:pos="3750"/>
        <w:tab w:val="clear" w:pos="4320"/>
        <w:tab w:val="clear"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6551215"/>
      <w:docPartObj>
        <w:docPartGallery w:val="Page Numbers (Bottom of Page)"/>
        <w:docPartUnique/>
      </w:docPartObj>
    </w:sdtPr>
    <w:sdtEndPr>
      <w:rPr>
        <w:noProof/>
      </w:rPr>
    </w:sdtEndPr>
    <w:sdtContent>
      <w:p w:rsidR="008460FD" w14:paraId="186B65E9" w14:textId="5EDA5C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460FD" w14:paraId="1F9464C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659FB" w14:paraId="395EB3C1" w14:textId="77777777">
      <w:r>
        <w:separator/>
      </w:r>
    </w:p>
  </w:footnote>
  <w:footnote w:type="continuationSeparator" w:id="1">
    <w:p w:rsidR="00B659FB" w14:paraId="2C715D18" w14:textId="77777777">
      <w:r>
        <w:continuationSeparator/>
      </w:r>
    </w:p>
  </w:footnote>
  <w:footnote w:type="continuationNotice" w:id="2">
    <w:p w:rsidR="00B659FB" w14:paraId="5823579C" w14:textId="77777777"/>
  </w:footnote>
  <w:footnote w:id="3">
    <w:p w:rsidR="00675CC0" w:rsidRPr="00955661" w:rsidP="00675CC0" w14:paraId="39B367BE" w14:textId="11560FAC">
      <w:pPr>
        <w:pStyle w:val="NormalWeb"/>
        <w:shd w:val="clear" w:color="auto" w:fill="FFFFFF"/>
        <w:ind w:right="54"/>
        <w:rPr>
          <w:sz w:val="20"/>
          <w:szCs w:val="20"/>
        </w:rPr>
      </w:pPr>
      <w:r w:rsidRPr="00C631B6">
        <w:rPr>
          <w:rStyle w:val="FootnoteReference"/>
          <w:sz w:val="20"/>
          <w:szCs w:val="20"/>
        </w:rPr>
        <w:footnoteRef/>
      </w:r>
      <w:r w:rsidRPr="00C631B6">
        <w:rPr>
          <w:sz w:val="20"/>
          <w:szCs w:val="20"/>
        </w:rPr>
        <w:t xml:space="preserve"> </w:t>
      </w:r>
      <w:r w:rsidRPr="00825C36" w:rsidR="00846F4C">
        <w:rPr>
          <w:rFonts w:cstheme="minorHAnsi"/>
          <w:sz w:val="20"/>
          <w:szCs w:val="20"/>
        </w:rPr>
        <w:t>E</w:t>
      </w:r>
      <w:r w:rsidRPr="00825C36" w:rsidR="00846F4C">
        <w:rPr>
          <w:sz w:val="20"/>
          <w:szCs w:val="20"/>
        </w:rPr>
        <w:t>lementary: school offers at least one of grades K to 4, and the number of elementary grades is greater than or equal to the number of middle grades; Middle: school offers at least one of grades 5 to 8, and the number of middle grades is greater than the number of elementary or secondary grades; Secondary/high: schools offer at least one of grades 9 to 11, with or without grade 12, and the number of secondary/high grades is greater than or equal to the number of middle grades; Combined/other – school includes all other combinations of grades, includes K–12 schools.</w:t>
      </w:r>
    </w:p>
  </w:footnote>
  <w:footnote w:id="4">
    <w:p w:rsidR="001721E8" w:rsidRPr="001721E8" w14:paraId="273FD166" w14:textId="2ED6CA27">
      <w:pPr>
        <w:pStyle w:val="FootnoteText"/>
        <w:rPr>
          <w:sz w:val="20"/>
        </w:rPr>
      </w:pPr>
      <w:r w:rsidRPr="001721E8">
        <w:rPr>
          <w:rStyle w:val="FootnoteReference"/>
          <w:sz w:val="20"/>
        </w:rPr>
        <w:footnoteRef/>
      </w:r>
      <w:r w:rsidRPr="001721E8">
        <w:rPr>
          <w:sz w:val="20"/>
        </w:rPr>
        <w:t xml:space="preserve"> Nonresponding movers</w:t>
      </w:r>
      <w:r w:rsidR="007219CA">
        <w:rPr>
          <w:sz w:val="20"/>
        </w:rPr>
        <w:t xml:space="preserve">, leavers, and </w:t>
      </w:r>
      <w:r w:rsidR="009A4471">
        <w:rPr>
          <w:sz w:val="20"/>
        </w:rPr>
        <w:t xml:space="preserve">unknown </w:t>
      </w:r>
      <w:r w:rsidR="007219CA">
        <w:rPr>
          <w:sz w:val="20"/>
        </w:rPr>
        <w:t>teachers</w:t>
      </w:r>
      <w:r w:rsidRPr="001721E8">
        <w:rPr>
          <w:sz w:val="20"/>
        </w:rPr>
        <w:t xml:space="preserve"> will be</w:t>
      </w:r>
      <w:r>
        <w:rPr>
          <w:sz w:val="20"/>
        </w:rPr>
        <w:t xml:space="preserve"> added to</w:t>
      </w:r>
      <w:r w:rsidR="007219CA">
        <w:rPr>
          <w:sz w:val="20"/>
        </w:rPr>
        <w:t xml:space="preserve"> the main</w:t>
      </w:r>
      <w:r>
        <w:rPr>
          <w:sz w:val="20"/>
        </w:rPr>
        <w:t xml:space="preserve"> TFS</w:t>
      </w:r>
      <w:r w:rsidR="007219CA">
        <w:rPr>
          <w:sz w:val="20"/>
        </w:rPr>
        <w:t xml:space="preserve"> contact operations</w:t>
      </w:r>
      <w:r>
        <w:rPr>
          <w:sz w:val="20"/>
        </w:rPr>
        <w:t xml:space="preserve"> in January 2025. They will receive all contacts described in this section, but the email number references for movers and leavers are advance</w:t>
      </w:r>
      <w:r w:rsidR="00C242D9">
        <w:rPr>
          <w:sz w:val="20"/>
        </w:rPr>
        <w:t>d</w:t>
      </w:r>
      <w:r>
        <w:rPr>
          <w:sz w:val="20"/>
        </w:rPr>
        <w:t xml:space="preserve"> by two. That is, these teachers </w:t>
      </w:r>
      <w:r w:rsidR="009E2C58">
        <w:rPr>
          <w:sz w:val="20"/>
        </w:rPr>
        <w:t xml:space="preserve">will </w:t>
      </w:r>
      <w:r>
        <w:rPr>
          <w:sz w:val="20"/>
        </w:rPr>
        <w:t xml:space="preserve">receive their third email through the tenth email rather than </w:t>
      </w:r>
      <w:r w:rsidR="009371B2">
        <w:rPr>
          <w:sz w:val="20"/>
        </w:rPr>
        <w:t xml:space="preserve">their </w:t>
      </w:r>
      <w:r>
        <w:rPr>
          <w:sz w:val="20"/>
        </w:rPr>
        <w:t xml:space="preserve">initial through eighth email, since </w:t>
      </w:r>
      <w:r w:rsidR="007219CA">
        <w:rPr>
          <w:sz w:val="20"/>
        </w:rPr>
        <w:t>these teachers</w:t>
      </w:r>
      <w:r>
        <w:rPr>
          <w:sz w:val="20"/>
        </w:rPr>
        <w:t xml:space="preserve"> </w:t>
      </w:r>
      <w:r w:rsidR="009371B2">
        <w:rPr>
          <w:sz w:val="20"/>
        </w:rPr>
        <w:t xml:space="preserve">will </w:t>
      </w:r>
      <w:r>
        <w:rPr>
          <w:sz w:val="20"/>
        </w:rPr>
        <w:t xml:space="preserve">have already received two contacts by email during the early </w:t>
      </w:r>
      <w:r w:rsidR="007219CA">
        <w:rPr>
          <w:sz w:val="20"/>
        </w:rPr>
        <w:t>contact</w:t>
      </w:r>
      <w:r>
        <w:rPr>
          <w:sz w:val="20"/>
        </w:rPr>
        <w:t xml:space="preserve"> operations. </w:t>
      </w:r>
    </w:p>
  </w:footnote>
  <w:footnote w:id="5">
    <w:p w:rsidR="00D305D8" w:rsidRPr="00D305D8" w14:paraId="370D30C2" w14:textId="4686DDA8">
      <w:pPr>
        <w:pStyle w:val="FootnoteText"/>
        <w:rPr>
          <w:sz w:val="20"/>
        </w:rPr>
      </w:pPr>
      <w:r>
        <w:rPr>
          <w:rStyle w:val="FootnoteReference"/>
        </w:rPr>
        <w:footnoteRef/>
      </w:r>
      <w:r>
        <w:t xml:space="preserve"> </w:t>
      </w:r>
      <w:r w:rsidRPr="00D305D8">
        <w:rPr>
          <w:sz w:val="20"/>
        </w:rPr>
        <w:t>In order to adhere to the necessary guidelines for texting per the Census Bureau’s Policy office, the 2023-24 NTPS Principal Questionnaires include</w:t>
      </w:r>
      <w:r>
        <w:rPr>
          <w:sz w:val="20"/>
        </w:rPr>
        <w:t>d</w:t>
      </w:r>
      <w:r w:rsidRPr="00D305D8">
        <w:rPr>
          <w:sz w:val="20"/>
        </w:rPr>
        <w:t xml:space="preserve"> a checkbox for opting out of contact by text message in the future alongside the respondent’s cell phone number.</w:t>
      </w:r>
    </w:p>
  </w:footnote>
  <w:footnote w:id="6">
    <w:p w:rsidR="00B91F6F" w:rsidP="00391A24" w14:paraId="35AAEA3B" w14:textId="0A2F3735">
      <w:pPr>
        <w:pStyle w:val="FootnoteText"/>
      </w:pPr>
      <w:r>
        <w:rPr>
          <w:rStyle w:val="FootnoteReference"/>
        </w:rPr>
        <w:footnoteRef/>
      </w:r>
      <w:r>
        <w:t xml:space="preserve"> </w:t>
      </w:r>
      <w:r w:rsidRPr="00C5235A">
        <w:rPr>
          <w:sz w:val="20"/>
        </w:rPr>
        <w:t>The “</w:t>
      </w:r>
      <w:r>
        <w:rPr>
          <w:sz w:val="20"/>
        </w:rPr>
        <w:t>C</w:t>
      </w:r>
      <w:r w:rsidRPr="00C5235A">
        <w:rPr>
          <w:sz w:val="20"/>
        </w:rPr>
        <w:t>” version is for public schools; the “</w:t>
      </w:r>
      <w:r>
        <w:rPr>
          <w:sz w:val="20"/>
        </w:rPr>
        <w:t>D</w:t>
      </w:r>
      <w:r w:rsidRPr="00C5235A">
        <w:rPr>
          <w:sz w:val="20"/>
        </w:rPr>
        <w:t>” version is for private schools.</w:t>
      </w:r>
    </w:p>
  </w:footnote>
  <w:footnote w:id="7">
    <w:p w:rsidR="00B91F6F" w:rsidP="00B91F6F" w14:paraId="78E89C91" w14:textId="77777777">
      <w:pPr>
        <w:pStyle w:val="FootnoteText"/>
      </w:pPr>
      <w:r w:rsidRPr="00C5235A">
        <w:rPr>
          <w:rStyle w:val="FootnoteReference"/>
        </w:rPr>
        <w:footnoteRef/>
      </w:r>
      <w:r w:rsidRPr="00C5235A">
        <w:t xml:space="preserve"> </w:t>
      </w:r>
      <w:r w:rsidRPr="00C5235A">
        <w:rPr>
          <w:sz w:val="20"/>
        </w:rPr>
        <w:t>The “A” version is for public schools; the “B” version is for private schools.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21E8" w14:paraId="555927A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21E8" w14:paraId="7FA088F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21E8" w14:paraId="64C822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87AE8D90"/>
    <w:lvl w:ilvl="0">
      <w:start w:val="1"/>
      <w:numFmt w:val="bullet"/>
      <w:pStyle w:val="ListBullet21"/>
      <w:lvlText w:val=""/>
      <w:lvlJc w:val="left"/>
      <w:pPr>
        <w:tabs>
          <w:tab w:val="num" w:pos="360"/>
        </w:tabs>
        <w:ind w:left="360" w:hanging="360"/>
      </w:pPr>
      <w:rPr>
        <w:rFonts w:ascii="Symbol" w:hAnsi="Symbol" w:hint="default"/>
      </w:rPr>
    </w:lvl>
  </w:abstractNum>
  <w:abstractNum w:abstractNumId="1">
    <w:nsid w:val="00000001"/>
    <w:multiLevelType w:val="singleLevel"/>
    <w:tmpl w:val="00000000"/>
    <w:lvl w:ilvl="0">
      <w:start w:val="1"/>
      <w:numFmt w:val="decimal"/>
      <w:pStyle w:val="1"/>
      <w:lvlText w:val="%1."/>
      <w:lvlJc w:val="left"/>
      <w:pPr>
        <w:tabs>
          <w:tab w:val="num" w:pos="1440"/>
        </w:tabs>
      </w:pPr>
    </w:lvl>
  </w:abstractNum>
  <w:abstractNum w:abstractNumId="2">
    <w:nsid w:val="01960B7B"/>
    <w:multiLevelType w:val="hybridMultilevel"/>
    <w:tmpl w:val="AB8E08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4F7349B"/>
    <w:multiLevelType w:val="hybridMultilevel"/>
    <w:tmpl w:val="B51A1440"/>
    <w:lvl w:ilvl="0">
      <w:start w:val="1"/>
      <w:numFmt w:val="bullet"/>
      <w:lvlText w:val=""/>
      <w:lvlJc w:val="left"/>
      <w:pPr>
        <w:tabs>
          <w:tab w:val="num" w:pos="1080"/>
        </w:tabs>
        <w:ind w:left="1080" w:hanging="360"/>
      </w:pPr>
      <w:rPr>
        <w:rFonts w:ascii="Symbol" w:hAnsi="Symbol" w:hint="default"/>
        <w:sz w:val="22"/>
        <w:szCs w:val="22"/>
      </w:rPr>
    </w:lvl>
    <w:lvl w:ilvl="1" w:tentative="1">
      <w:start w:val="1"/>
      <w:numFmt w:val="bullet"/>
      <w:pStyle w:val="ESHeading2"/>
      <w:lvlText w:val="o"/>
      <w:lvlJc w:val="left"/>
      <w:pPr>
        <w:tabs>
          <w:tab w:val="num" w:pos="1440"/>
        </w:tabs>
        <w:ind w:left="1440" w:hanging="360"/>
      </w:pPr>
      <w:rPr>
        <w:rFonts w:ascii="Courier New" w:hAnsi="Courier New" w:cs="Arial Unicode MS" w:hint="default"/>
      </w:rPr>
    </w:lvl>
    <w:lvl w:ilvl="2" w:tentative="1">
      <w:start w:val="1"/>
      <w:numFmt w:val="bullet"/>
      <w:pStyle w:val="ESHeading3"/>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Unicode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Unicode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74C28BF"/>
    <w:multiLevelType w:val="hybridMultilevel"/>
    <w:tmpl w:val="0C627E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9C917C5"/>
    <w:multiLevelType w:val="hybridMultilevel"/>
    <w:tmpl w:val="E404F9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331764"/>
    <w:multiLevelType w:val="hybridMultilevel"/>
    <w:tmpl w:val="3AD0C6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FA43B55"/>
    <w:multiLevelType w:val="hybridMultilevel"/>
    <w:tmpl w:val="D2C2E058"/>
    <w:lvl w:ilvl="0">
      <w:start w:val="1"/>
      <w:numFmt w:val="bullet"/>
      <w:lvlText w:val=""/>
      <w:lvlJc w:val="left"/>
      <w:pPr>
        <w:ind w:left="786" w:hanging="360"/>
      </w:pPr>
      <w:rPr>
        <w:rFonts w:ascii="Symbol" w:hAnsi="Symbol"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8">
    <w:nsid w:val="14A2381D"/>
    <w:multiLevelType w:val="singleLevel"/>
    <w:tmpl w:val="18802C70"/>
    <w:lvl w:ilvl="0">
      <w:start w:val="1"/>
      <w:numFmt w:val="upperLetter"/>
      <w:pStyle w:val="Heading31"/>
      <w:lvlText w:val="%1."/>
      <w:lvlJc w:val="left"/>
      <w:pPr>
        <w:tabs>
          <w:tab w:val="num" w:pos="360"/>
        </w:tabs>
        <w:ind w:left="360" w:hanging="360"/>
      </w:pPr>
    </w:lvl>
  </w:abstractNum>
  <w:abstractNum w:abstractNumId="9">
    <w:nsid w:val="18134069"/>
    <w:multiLevelType w:val="hybridMultilevel"/>
    <w:tmpl w:val="E404F9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8664732"/>
    <w:multiLevelType w:val="hybridMultilevel"/>
    <w:tmpl w:val="3580F87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B291ADB"/>
    <w:multiLevelType w:val="multilevel"/>
    <w:tmpl w:val="095A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4F1E63"/>
    <w:multiLevelType w:val="hybridMultilevel"/>
    <w:tmpl w:val="F402B93A"/>
    <w:lvl w:ilvl="0">
      <w:start w:val="1"/>
      <w:numFmt w:val="bullet"/>
      <w:pStyle w:val="bullets"/>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564147F"/>
    <w:multiLevelType w:val="hybridMultilevel"/>
    <w:tmpl w:val="F5F0C2C0"/>
    <w:lvl w:ilvl="0">
      <w:start w:val="1"/>
      <w:numFmt w:val="bullet"/>
      <w:pStyle w:val="Quick1"/>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25C356AB"/>
    <w:multiLevelType w:val="hybridMultilevel"/>
    <w:tmpl w:val="A64401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6147436"/>
    <w:multiLevelType w:val="hybridMultilevel"/>
    <w:tmpl w:val="61FC8754"/>
    <w:lvl w:ilvl="0">
      <w:start w:val="1"/>
      <w:numFmt w:val="decimal"/>
      <w:pStyle w:val="Style2"/>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285E6381"/>
    <w:multiLevelType w:val="hybridMultilevel"/>
    <w:tmpl w:val="B07CFF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B464A11"/>
    <w:multiLevelType w:val="hybridMultilevel"/>
    <w:tmpl w:val="B07CFF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D09610C"/>
    <w:multiLevelType w:val="multilevel"/>
    <w:tmpl w:val="3580FA18"/>
    <w:lvl w:ilvl="0">
      <w:start w:val="1"/>
      <w:numFmt w:val="decimal"/>
      <w:pStyle w:val="bulletround"/>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07F2418"/>
    <w:multiLevelType w:val="hybridMultilevel"/>
    <w:tmpl w:val="B07CFF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9C90CF9"/>
    <w:multiLevelType w:val="hybridMultilevel"/>
    <w:tmpl w:val="BCB4E5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9E701AD"/>
    <w:multiLevelType w:val="hybridMultilevel"/>
    <w:tmpl w:val="8A0C91E0"/>
    <w:lvl w:ilvl="0">
      <w:start w:val="1"/>
      <w:numFmt w:val="decimal"/>
      <w:lvlText w:val="%1."/>
      <w:lvlJc w:val="left"/>
      <w:pPr>
        <w:ind w:left="720" w:hanging="360"/>
      </w:pPr>
      <w:rPr>
        <w:rFonts w:ascii="Garamond" w:eastAsia="Times New Roman" w:hAnsi="Garamond" w:cs="Estrangelo Edessa"/>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C0539CD"/>
    <w:multiLevelType w:val="hybridMultilevel"/>
    <w:tmpl w:val="55F400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E046961"/>
    <w:multiLevelType w:val="hybridMultilevel"/>
    <w:tmpl w:val="012AFF7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7E02FE3"/>
    <w:multiLevelType w:val="singleLevel"/>
    <w:tmpl w:val="A1585D68"/>
    <w:lvl w:ilvl="0">
      <w:start w:val="1"/>
      <w:numFmt w:val="lowerLetter"/>
      <w:pStyle w:val="Bullet1"/>
      <w:lvlText w:val="(%1)"/>
      <w:lvlJc w:val="left"/>
      <w:pPr>
        <w:tabs>
          <w:tab w:val="num" w:pos="834"/>
        </w:tabs>
        <w:ind w:left="834" w:hanging="360"/>
      </w:pPr>
      <w:rPr>
        <w:rFonts w:hint="default"/>
      </w:rPr>
    </w:lvl>
  </w:abstractNum>
  <w:abstractNum w:abstractNumId="25">
    <w:nsid w:val="48FA6B1C"/>
    <w:multiLevelType w:val="hybridMultilevel"/>
    <w:tmpl w:val="D1C652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9906308"/>
    <w:multiLevelType w:val="multilevel"/>
    <w:tmpl w:val="A83237D6"/>
    <w:styleLink w:val="AppxCaptions"/>
    <w:lvl w:ilvl="0">
      <w:start w:val="1"/>
      <w:numFmt w:val="upperLetter"/>
      <w:pStyle w:val="AppxTitle"/>
      <w:suff w:val="space"/>
      <w:lvlText w:val="Appendix %1."/>
      <w:lvlJc w:val="left"/>
      <w:pPr>
        <w:ind w:left="0" w:firstLine="0"/>
      </w:pPr>
      <w:rPr>
        <w:rFonts w:asciiTheme="majorHAnsi" w:hAnsiTheme="majorHAnsi" w:hint="default"/>
        <w:b/>
        <w:i w:val="0"/>
        <w:color w:val="4F81BD" w:themeColor="accent1"/>
        <w:sz w:val="44"/>
      </w:rPr>
    </w:lvl>
    <w:lvl w:ilvl="1">
      <w:start w:val="1"/>
      <w:numFmt w:val="decimal"/>
      <w:pStyle w:val="AppxExhibitTitle"/>
      <w:suff w:val="space"/>
      <w:lvlText w:val="Exhibit %1–%2."/>
      <w:lvlJc w:val="left"/>
      <w:pPr>
        <w:ind w:left="0" w:firstLine="0"/>
      </w:pPr>
      <w:rPr>
        <w:rFonts w:asciiTheme="majorHAnsi" w:hAnsiTheme="majorHAnsi" w:hint="default"/>
        <w:b/>
        <w:i w:val="0"/>
        <w:sz w:val="24"/>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27">
    <w:nsid w:val="4B485681"/>
    <w:multiLevelType w:val="singleLevel"/>
    <w:tmpl w:val="0409000F"/>
    <w:lvl w:ilvl="0">
      <w:start w:val="1"/>
      <w:numFmt w:val="decimal"/>
      <w:pStyle w:val="ListBullet2"/>
      <w:lvlText w:val="%1."/>
      <w:lvlJc w:val="left"/>
      <w:pPr>
        <w:tabs>
          <w:tab w:val="num" w:pos="360"/>
        </w:tabs>
        <w:ind w:left="360" w:hanging="360"/>
      </w:pPr>
    </w:lvl>
  </w:abstractNum>
  <w:abstractNum w:abstractNumId="28">
    <w:nsid w:val="4EF254AB"/>
    <w:multiLevelType w:val="hybridMultilevel"/>
    <w:tmpl w:val="74DE02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F9123EE"/>
    <w:multiLevelType w:val="hybridMultilevel"/>
    <w:tmpl w:val="235CE46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6107659"/>
    <w:multiLevelType w:val="hybridMultilevel"/>
    <w:tmpl w:val="7C4A868C"/>
    <w:lvl w:ilvl="0">
      <w:start w:val="1"/>
      <w:numFmt w:val="decimal"/>
      <w:lvlText w:val="%1."/>
      <w:lvlJc w:val="left"/>
      <w:pPr>
        <w:ind w:left="9720" w:hanging="360"/>
      </w:pPr>
      <w:rPr>
        <w:rFonts w:ascii="Garamond" w:eastAsia="Times New Roman" w:hAnsi="Garamond" w:cs="Estrangelo Edessa"/>
        <w:b/>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6375063"/>
    <w:multiLevelType w:val="hybridMultilevel"/>
    <w:tmpl w:val="53AEAE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C765530"/>
    <w:multiLevelType w:val="hybridMultilevel"/>
    <w:tmpl w:val="725EFC9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F725D6A"/>
    <w:multiLevelType w:val="singleLevel"/>
    <w:tmpl w:val="0409000F"/>
    <w:lvl w:ilvl="0">
      <w:start w:val="1"/>
      <w:numFmt w:val="decimal"/>
      <w:pStyle w:val="Number1"/>
      <w:lvlText w:val="%1."/>
      <w:lvlJc w:val="left"/>
      <w:pPr>
        <w:tabs>
          <w:tab w:val="num" w:pos="360"/>
        </w:tabs>
        <w:ind w:left="360" w:hanging="360"/>
      </w:pPr>
    </w:lvl>
  </w:abstractNum>
  <w:abstractNum w:abstractNumId="34">
    <w:nsid w:val="64931C0A"/>
    <w:multiLevelType w:val="hybridMultilevel"/>
    <w:tmpl w:val="D24C5C82"/>
    <w:lvl w:ilvl="0">
      <w:start w:val="1"/>
      <w:numFmt w:val="upperRoman"/>
      <w:pStyle w:val="QuickA"/>
      <w:lvlText w:val="%1."/>
      <w:lvlJc w:val="left"/>
      <w:pPr>
        <w:tabs>
          <w:tab w:val="num" w:pos="1080"/>
        </w:tabs>
        <w:ind w:left="1080" w:hanging="720"/>
      </w:pPr>
      <w:rPr>
        <w:rFonts w:hint="default"/>
      </w:rPr>
    </w:lvl>
    <w:lvl w:ilvl="1">
      <w:start w:val="5"/>
      <w:numFmt w:val="upperRoman"/>
      <w:lvlText w:val="%2."/>
      <w:lvlJc w:val="left"/>
      <w:pPr>
        <w:tabs>
          <w:tab w:val="num" w:pos="1440"/>
        </w:tabs>
        <w:ind w:left="1440" w:hanging="360"/>
      </w:pPr>
      <w:rPr>
        <w:rFonts w:ascii="Times New Roman" w:hAnsi="Times New Roman" w:hint="default"/>
        <w:b w:val="0"/>
        <w:i w:val="0"/>
        <w:color w:val="auto"/>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60946FC"/>
    <w:multiLevelType w:val="multilevel"/>
    <w:tmpl w:val="A83237D6"/>
    <w:numStyleLink w:val="AppxCaptions"/>
  </w:abstractNum>
  <w:abstractNum w:abstractNumId="36">
    <w:nsid w:val="6664638E"/>
    <w:multiLevelType w:val="hybridMultilevel"/>
    <w:tmpl w:val="F10ABA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956456E"/>
    <w:multiLevelType w:val="hybridMultilevel"/>
    <w:tmpl w:val="896C6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B8E7DB2"/>
    <w:multiLevelType w:val="hybridMultilevel"/>
    <w:tmpl w:val="E404F9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B950E9A"/>
    <w:multiLevelType w:val="hybridMultilevel"/>
    <w:tmpl w:val="D3FAC0D0"/>
    <w:lvl w:ilvl="0">
      <w:start w:val="1"/>
      <w:numFmt w:val="decimal"/>
      <w:lvlText w:val="%1."/>
      <w:lvlJc w:val="left"/>
      <w:pPr>
        <w:ind w:left="720" w:hanging="360"/>
      </w:pPr>
      <w:rPr>
        <w:rFonts w:hint="default"/>
      </w:rPr>
    </w:lvl>
    <w:lvl w:ilvl="1">
      <w:start w:val="3"/>
      <w:numFmt w:val="bullet"/>
      <w:lvlText w:val="•"/>
      <w:lvlJc w:val="left"/>
      <w:pPr>
        <w:ind w:left="1440" w:hanging="360"/>
      </w:pPr>
      <w:rPr>
        <w:rFonts w:ascii="Calibri" w:hAnsi="Calibri" w:eastAsiaTheme="minorHAns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1F21C92"/>
    <w:multiLevelType w:val="hybridMultilevel"/>
    <w:tmpl w:val="F0A0BB7E"/>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7220731F"/>
    <w:multiLevelType w:val="hybridMultilevel"/>
    <w:tmpl w:val="725EFC9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2811E73"/>
    <w:multiLevelType w:val="hybridMultilevel"/>
    <w:tmpl w:val="9E6C274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3">
    <w:nsid w:val="74D026F6"/>
    <w:multiLevelType w:val="hybridMultilevel"/>
    <w:tmpl w:val="B07CFF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5051455"/>
    <w:multiLevelType w:val="multilevel"/>
    <w:tmpl w:val="81B4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2110419">
    <w:abstractNumId w:val="18"/>
  </w:num>
  <w:num w:numId="2" w16cid:durableId="1366564955">
    <w:abstractNumId w:val="27"/>
  </w:num>
  <w:num w:numId="3" w16cid:durableId="1866167051">
    <w:abstractNumId w:val="33"/>
  </w:num>
  <w:num w:numId="4" w16cid:durableId="1994794695">
    <w:abstractNumId w:val="24"/>
  </w:num>
  <w:num w:numId="5" w16cid:durableId="1613517942">
    <w:abstractNumId w:val="34"/>
  </w:num>
  <w:num w:numId="6" w16cid:durableId="994336024">
    <w:abstractNumId w:val="13"/>
  </w:num>
  <w:num w:numId="7" w16cid:durableId="1686519357">
    <w:abstractNumId w:val="12"/>
  </w:num>
  <w:num w:numId="8" w16cid:durableId="185826192">
    <w:abstractNumId w:val="8"/>
  </w:num>
  <w:num w:numId="9" w16cid:durableId="1970742225">
    <w:abstractNumId w:val="3"/>
  </w:num>
  <w:num w:numId="10" w16cid:durableId="820803694">
    <w:abstractNumId w:val="0"/>
  </w:num>
  <w:num w:numId="11" w16cid:durableId="153569045">
    <w:abstractNumId w:val="15"/>
  </w:num>
  <w:num w:numId="12" w16cid:durableId="344669601">
    <w:abstractNumId w:val="1"/>
    <w:lvlOverride w:ilvl="0">
      <w:lvl w:ilvl="0">
        <w:start w:val="1"/>
        <w:numFmt w:val="decimal"/>
        <w:pStyle w:val="1"/>
        <w:lvlText w:val="%1."/>
        <w:lvlJc w:val="left"/>
      </w:lvl>
    </w:lvlOverride>
  </w:num>
  <w:num w:numId="13" w16cid:durableId="1483232354">
    <w:abstractNumId w:val="10"/>
  </w:num>
  <w:num w:numId="14" w16cid:durableId="1467504848">
    <w:abstractNumId w:val="40"/>
  </w:num>
  <w:num w:numId="15" w16cid:durableId="417293166">
    <w:abstractNumId w:val="28"/>
  </w:num>
  <w:num w:numId="16" w16cid:durableId="709307359">
    <w:abstractNumId w:val="22"/>
  </w:num>
  <w:num w:numId="17" w16cid:durableId="411440364">
    <w:abstractNumId w:val="38"/>
  </w:num>
  <w:num w:numId="18" w16cid:durableId="1917518326">
    <w:abstractNumId w:val="21"/>
  </w:num>
  <w:num w:numId="19" w16cid:durableId="970750244">
    <w:abstractNumId w:val="4"/>
  </w:num>
  <w:num w:numId="20" w16cid:durableId="633406774">
    <w:abstractNumId w:val="20"/>
  </w:num>
  <w:num w:numId="21" w16cid:durableId="735200259">
    <w:abstractNumId w:val="5"/>
  </w:num>
  <w:num w:numId="22" w16cid:durableId="946548906">
    <w:abstractNumId w:val="9"/>
  </w:num>
  <w:num w:numId="23" w16cid:durableId="2094277989">
    <w:abstractNumId w:val="14"/>
  </w:num>
  <w:num w:numId="24" w16cid:durableId="58096556">
    <w:abstractNumId w:val="36"/>
  </w:num>
  <w:num w:numId="25" w16cid:durableId="1675109279">
    <w:abstractNumId w:val="19"/>
  </w:num>
  <w:num w:numId="26" w16cid:durableId="1256937250">
    <w:abstractNumId w:val="37"/>
  </w:num>
  <w:num w:numId="27" w16cid:durableId="943339399">
    <w:abstractNumId w:val="41"/>
  </w:num>
  <w:num w:numId="28" w16cid:durableId="1447499550">
    <w:abstractNumId w:val="29"/>
  </w:num>
  <w:num w:numId="29" w16cid:durableId="695347902">
    <w:abstractNumId w:val="7"/>
  </w:num>
  <w:num w:numId="30" w16cid:durableId="117189229">
    <w:abstractNumId w:val="31"/>
  </w:num>
  <w:num w:numId="31" w16cid:durableId="642660731">
    <w:abstractNumId w:val="42"/>
  </w:num>
  <w:num w:numId="32" w16cid:durableId="297611500">
    <w:abstractNumId w:val="11"/>
  </w:num>
  <w:num w:numId="33" w16cid:durableId="1410150074">
    <w:abstractNumId w:val="2"/>
  </w:num>
  <w:num w:numId="34" w16cid:durableId="1297948145">
    <w:abstractNumId w:val="23"/>
  </w:num>
  <w:num w:numId="35" w16cid:durableId="1229879261">
    <w:abstractNumId w:val="39"/>
  </w:num>
  <w:num w:numId="36" w16cid:durableId="661467993">
    <w:abstractNumId w:val="44"/>
  </w:num>
  <w:num w:numId="37" w16cid:durableId="272591062">
    <w:abstractNumId w:val="6"/>
  </w:num>
  <w:num w:numId="38" w16cid:durableId="1032026791">
    <w:abstractNumId w:val="43"/>
  </w:num>
  <w:num w:numId="39" w16cid:durableId="1671447593">
    <w:abstractNumId w:val="32"/>
  </w:num>
  <w:num w:numId="40" w16cid:durableId="1000621631">
    <w:abstractNumId w:val="17"/>
  </w:num>
  <w:num w:numId="41" w16cid:durableId="554781672">
    <w:abstractNumId w:val="25"/>
  </w:num>
  <w:num w:numId="42" w16cid:durableId="504562744">
    <w:abstractNumId w:val="16"/>
  </w:num>
  <w:num w:numId="43" w16cid:durableId="1164082971">
    <w:abstractNumId w:val="30"/>
  </w:num>
  <w:num w:numId="44" w16cid:durableId="2129351232">
    <w:abstractNumId w:val="26"/>
  </w:num>
  <w:num w:numId="45" w16cid:durableId="903950603">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32"/>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A0"/>
    <w:rsid w:val="00000A0C"/>
    <w:rsid w:val="00001737"/>
    <w:rsid w:val="00003CE6"/>
    <w:rsid w:val="00004222"/>
    <w:rsid w:val="00005380"/>
    <w:rsid w:val="000065A9"/>
    <w:rsid w:val="0000701C"/>
    <w:rsid w:val="00007769"/>
    <w:rsid w:val="00007C69"/>
    <w:rsid w:val="000150A5"/>
    <w:rsid w:val="00017F37"/>
    <w:rsid w:val="000224F6"/>
    <w:rsid w:val="00023F7D"/>
    <w:rsid w:val="00031CAD"/>
    <w:rsid w:val="0003278D"/>
    <w:rsid w:val="00034B75"/>
    <w:rsid w:val="00036017"/>
    <w:rsid w:val="00036626"/>
    <w:rsid w:val="00042BD8"/>
    <w:rsid w:val="00044115"/>
    <w:rsid w:val="0004465E"/>
    <w:rsid w:val="00045B43"/>
    <w:rsid w:val="00047B72"/>
    <w:rsid w:val="00050739"/>
    <w:rsid w:val="00051450"/>
    <w:rsid w:val="00051EE2"/>
    <w:rsid w:val="000524BE"/>
    <w:rsid w:val="00054198"/>
    <w:rsid w:val="0005566F"/>
    <w:rsid w:val="000579FC"/>
    <w:rsid w:val="00060296"/>
    <w:rsid w:val="0006139F"/>
    <w:rsid w:val="000615AD"/>
    <w:rsid w:val="00061648"/>
    <w:rsid w:val="00062FD7"/>
    <w:rsid w:val="00064253"/>
    <w:rsid w:val="000642FE"/>
    <w:rsid w:val="00065724"/>
    <w:rsid w:val="0006587E"/>
    <w:rsid w:val="00075240"/>
    <w:rsid w:val="00075C01"/>
    <w:rsid w:val="000777A3"/>
    <w:rsid w:val="0008055F"/>
    <w:rsid w:val="00080AC7"/>
    <w:rsid w:val="00080C09"/>
    <w:rsid w:val="00082C43"/>
    <w:rsid w:val="00084255"/>
    <w:rsid w:val="00084E5E"/>
    <w:rsid w:val="0008641A"/>
    <w:rsid w:val="0008739B"/>
    <w:rsid w:val="00095818"/>
    <w:rsid w:val="00095A53"/>
    <w:rsid w:val="000A0C93"/>
    <w:rsid w:val="000A1ED4"/>
    <w:rsid w:val="000A2B54"/>
    <w:rsid w:val="000A2CD9"/>
    <w:rsid w:val="000A3550"/>
    <w:rsid w:val="000A4130"/>
    <w:rsid w:val="000A4409"/>
    <w:rsid w:val="000A5104"/>
    <w:rsid w:val="000A53CD"/>
    <w:rsid w:val="000A6943"/>
    <w:rsid w:val="000A6FC0"/>
    <w:rsid w:val="000A763E"/>
    <w:rsid w:val="000A7904"/>
    <w:rsid w:val="000B093B"/>
    <w:rsid w:val="000B11EA"/>
    <w:rsid w:val="000B202A"/>
    <w:rsid w:val="000B6262"/>
    <w:rsid w:val="000B67D9"/>
    <w:rsid w:val="000C0B50"/>
    <w:rsid w:val="000C195E"/>
    <w:rsid w:val="000C1CFC"/>
    <w:rsid w:val="000C21F8"/>
    <w:rsid w:val="000C2B78"/>
    <w:rsid w:val="000C5FF9"/>
    <w:rsid w:val="000C639F"/>
    <w:rsid w:val="000D1457"/>
    <w:rsid w:val="000D2BF7"/>
    <w:rsid w:val="000D2FCA"/>
    <w:rsid w:val="000D3F93"/>
    <w:rsid w:val="000D51F5"/>
    <w:rsid w:val="000D543E"/>
    <w:rsid w:val="000D6735"/>
    <w:rsid w:val="000D7734"/>
    <w:rsid w:val="000D7B48"/>
    <w:rsid w:val="000E15F1"/>
    <w:rsid w:val="000E3411"/>
    <w:rsid w:val="000E481C"/>
    <w:rsid w:val="000E4829"/>
    <w:rsid w:val="000E623F"/>
    <w:rsid w:val="000E7E27"/>
    <w:rsid w:val="000F0EEF"/>
    <w:rsid w:val="000F2235"/>
    <w:rsid w:val="000F2322"/>
    <w:rsid w:val="000F3EBC"/>
    <w:rsid w:val="000F41D7"/>
    <w:rsid w:val="000F5613"/>
    <w:rsid w:val="000F5A2F"/>
    <w:rsid w:val="000F6D47"/>
    <w:rsid w:val="000F7557"/>
    <w:rsid w:val="00101E5A"/>
    <w:rsid w:val="00103F49"/>
    <w:rsid w:val="00105620"/>
    <w:rsid w:val="001060B1"/>
    <w:rsid w:val="00106849"/>
    <w:rsid w:val="0010737A"/>
    <w:rsid w:val="001075EA"/>
    <w:rsid w:val="00110AF9"/>
    <w:rsid w:val="00110F21"/>
    <w:rsid w:val="00112233"/>
    <w:rsid w:val="00112895"/>
    <w:rsid w:val="00112CC5"/>
    <w:rsid w:val="001137A6"/>
    <w:rsid w:val="00113C85"/>
    <w:rsid w:val="001146C5"/>
    <w:rsid w:val="00115AF4"/>
    <w:rsid w:val="00115C9B"/>
    <w:rsid w:val="00117471"/>
    <w:rsid w:val="00121CFB"/>
    <w:rsid w:val="00125D4C"/>
    <w:rsid w:val="0012669D"/>
    <w:rsid w:val="00127224"/>
    <w:rsid w:val="001331A2"/>
    <w:rsid w:val="0013442C"/>
    <w:rsid w:val="0014081A"/>
    <w:rsid w:val="00141ACC"/>
    <w:rsid w:val="0014235C"/>
    <w:rsid w:val="00143825"/>
    <w:rsid w:val="001469D0"/>
    <w:rsid w:val="00147259"/>
    <w:rsid w:val="00147A11"/>
    <w:rsid w:val="00147ECE"/>
    <w:rsid w:val="00150110"/>
    <w:rsid w:val="0015266A"/>
    <w:rsid w:val="00153157"/>
    <w:rsid w:val="001536EE"/>
    <w:rsid w:val="0015537F"/>
    <w:rsid w:val="00162AFA"/>
    <w:rsid w:val="00163F69"/>
    <w:rsid w:val="00166623"/>
    <w:rsid w:val="00167F9E"/>
    <w:rsid w:val="0017025A"/>
    <w:rsid w:val="001721E8"/>
    <w:rsid w:val="001724ED"/>
    <w:rsid w:val="00172662"/>
    <w:rsid w:val="00172815"/>
    <w:rsid w:val="00172E98"/>
    <w:rsid w:val="00173EFB"/>
    <w:rsid w:val="00174394"/>
    <w:rsid w:val="0017461F"/>
    <w:rsid w:val="00175048"/>
    <w:rsid w:val="00175332"/>
    <w:rsid w:val="00175A4F"/>
    <w:rsid w:val="00175D6F"/>
    <w:rsid w:val="0017732E"/>
    <w:rsid w:val="00180811"/>
    <w:rsid w:val="001811A3"/>
    <w:rsid w:val="00182346"/>
    <w:rsid w:val="00182684"/>
    <w:rsid w:val="00182B59"/>
    <w:rsid w:val="00182F6C"/>
    <w:rsid w:val="00183202"/>
    <w:rsid w:val="00183233"/>
    <w:rsid w:val="00183E44"/>
    <w:rsid w:val="0018446A"/>
    <w:rsid w:val="00185847"/>
    <w:rsid w:val="001865E8"/>
    <w:rsid w:val="001874E7"/>
    <w:rsid w:val="0018781F"/>
    <w:rsid w:val="00190A31"/>
    <w:rsid w:val="00190CAC"/>
    <w:rsid w:val="00191DFF"/>
    <w:rsid w:val="00191FC4"/>
    <w:rsid w:val="00192B8D"/>
    <w:rsid w:val="001932FE"/>
    <w:rsid w:val="001933F2"/>
    <w:rsid w:val="00193912"/>
    <w:rsid w:val="00193D54"/>
    <w:rsid w:val="001952AF"/>
    <w:rsid w:val="001954EE"/>
    <w:rsid w:val="00196316"/>
    <w:rsid w:val="001966CF"/>
    <w:rsid w:val="00196986"/>
    <w:rsid w:val="001A1479"/>
    <w:rsid w:val="001A216B"/>
    <w:rsid w:val="001A26F0"/>
    <w:rsid w:val="001A29C8"/>
    <w:rsid w:val="001A314F"/>
    <w:rsid w:val="001A3582"/>
    <w:rsid w:val="001A556C"/>
    <w:rsid w:val="001B00C4"/>
    <w:rsid w:val="001B2B73"/>
    <w:rsid w:val="001B5B74"/>
    <w:rsid w:val="001B6426"/>
    <w:rsid w:val="001B78A9"/>
    <w:rsid w:val="001B7AFB"/>
    <w:rsid w:val="001C1F3D"/>
    <w:rsid w:val="001C50CB"/>
    <w:rsid w:val="001C6D41"/>
    <w:rsid w:val="001C7C0C"/>
    <w:rsid w:val="001D0B07"/>
    <w:rsid w:val="001D23D1"/>
    <w:rsid w:val="001D2BD7"/>
    <w:rsid w:val="001D4BBF"/>
    <w:rsid w:val="001D5372"/>
    <w:rsid w:val="001D5404"/>
    <w:rsid w:val="001D7424"/>
    <w:rsid w:val="001D761B"/>
    <w:rsid w:val="001D7E72"/>
    <w:rsid w:val="001E6787"/>
    <w:rsid w:val="001E75B9"/>
    <w:rsid w:val="001F0C69"/>
    <w:rsid w:val="001F1177"/>
    <w:rsid w:val="001F2275"/>
    <w:rsid w:val="001F2575"/>
    <w:rsid w:val="001F25B8"/>
    <w:rsid w:val="001F2C53"/>
    <w:rsid w:val="001F4E67"/>
    <w:rsid w:val="001F5458"/>
    <w:rsid w:val="001F673D"/>
    <w:rsid w:val="00201FB7"/>
    <w:rsid w:val="00203B3C"/>
    <w:rsid w:val="00206AF4"/>
    <w:rsid w:val="00207E8C"/>
    <w:rsid w:val="00210B9F"/>
    <w:rsid w:val="00210DBF"/>
    <w:rsid w:val="002135BE"/>
    <w:rsid w:val="0021630B"/>
    <w:rsid w:val="002166A3"/>
    <w:rsid w:val="00216A68"/>
    <w:rsid w:val="00217640"/>
    <w:rsid w:val="00220A7F"/>
    <w:rsid w:val="002212AA"/>
    <w:rsid w:val="00221C1F"/>
    <w:rsid w:val="00222E7A"/>
    <w:rsid w:val="002230A4"/>
    <w:rsid w:val="00223503"/>
    <w:rsid w:val="00223A7E"/>
    <w:rsid w:val="00225F70"/>
    <w:rsid w:val="00226601"/>
    <w:rsid w:val="00226CC3"/>
    <w:rsid w:val="00233132"/>
    <w:rsid w:val="0023771F"/>
    <w:rsid w:val="00237FDA"/>
    <w:rsid w:val="0024088D"/>
    <w:rsid w:val="00241F29"/>
    <w:rsid w:val="002438BE"/>
    <w:rsid w:val="0024402D"/>
    <w:rsid w:val="00245C50"/>
    <w:rsid w:val="002469F5"/>
    <w:rsid w:val="00247523"/>
    <w:rsid w:val="00253EBD"/>
    <w:rsid w:val="00253F91"/>
    <w:rsid w:val="0025526B"/>
    <w:rsid w:val="00256772"/>
    <w:rsid w:val="0026011C"/>
    <w:rsid w:val="0026336E"/>
    <w:rsid w:val="00263E97"/>
    <w:rsid w:val="002645D2"/>
    <w:rsid w:val="00265A44"/>
    <w:rsid w:val="00265EC6"/>
    <w:rsid w:val="00266490"/>
    <w:rsid w:val="00272E91"/>
    <w:rsid w:val="002736DD"/>
    <w:rsid w:val="002737D8"/>
    <w:rsid w:val="00273926"/>
    <w:rsid w:val="0027442D"/>
    <w:rsid w:val="002747F7"/>
    <w:rsid w:val="002770AD"/>
    <w:rsid w:val="002809F5"/>
    <w:rsid w:val="00280B1B"/>
    <w:rsid w:val="002837D1"/>
    <w:rsid w:val="00284D01"/>
    <w:rsid w:val="00286414"/>
    <w:rsid w:val="00287983"/>
    <w:rsid w:val="002913C1"/>
    <w:rsid w:val="00291823"/>
    <w:rsid w:val="00292F56"/>
    <w:rsid w:val="00293328"/>
    <w:rsid w:val="00294AF3"/>
    <w:rsid w:val="00295E70"/>
    <w:rsid w:val="00296161"/>
    <w:rsid w:val="00296A08"/>
    <w:rsid w:val="002974F5"/>
    <w:rsid w:val="002A3548"/>
    <w:rsid w:val="002A5323"/>
    <w:rsid w:val="002A6889"/>
    <w:rsid w:val="002B059B"/>
    <w:rsid w:val="002B25E7"/>
    <w:rsid w:val="002B2A80"/>
    <w:rsid w:val="002B2EE2"/>
    <w:rsid w:val="002B3C51"/>
    <w:rsid w:val="002B49D0"/>
    <w:rsid w:val="002B4B64"/>
    <w:rsid w:val="002B5D63"/>
    <w:rsid w:val="002B5E21"/>
    <w:rsid w:val="002B6433"/>
    <w:rsid w:val="002B6BA0"/>
    <w:rsid w:val="002B7CE1"/>
    <w:rsid w:val="002C10EB"/>
    <w:rsid w:val="002C2B88"/>
    <w:rsid w:val="002C2EBD"/>
    <w:rsid w:val="002C3A40"/>
    <w:rsid w:val="002C3DC5"/>
    <w:rsid w:val="002C46FB"/>
    <w:rsid w:val="002C7A98"/>
    <w:rsid w:val="002D0424"/>
    <w:rsid w:val="002D2767"/>
    <w:rsid w:val="002D2AC6"/>
    <w:rsid w:val="002D2F2A"/>
    <w:rsid w:val="002D47C0"/>
    <w:rsid w:val="002D786B"/>
    <w:rsid w:val="002D78E9"/>
    <w:rsid w:val="002D7950"/>
    <w:rsid w:val="002E08C4"/>
    <w:rsid w:val="002E0E01"/>
    <w:rsid w:val="002E1B06"/>
    <w:rsid w:val="002E1C2E"/>
    <w:rsid w:val="002E2184"/>
    <w:rsid w:val="002E23F6"/>
    <w:rsid w:val="002E5EF3"/>
    <w:rsid w:val="002E5F85"/>
    <w:rsid w:val="002E6D6B"/>
    <w:rsid w:val="002F0BE2"/>
    <w:rsid w:val="002F0F2D"/>
    <w:rsid w:val="002F25AA"/>
    <w:rsid w:val="002F3291"/>
    <w:rsid w:val="002F3A61"/>
    <w:rsid w:val="002F5497"/>
    <w:rsid w:val="002F580A"/>
    <w:rsid w:val="002F6BFA"/>
    <w:rsid w:val="002F70C0"/>
    <w:rsid w:val="003006DB"/>
    <w:rsid w:val="0030155D"/>
    <w:rsid w:val="00301D09"/>
    <w:rsid w:val="003035FD"/>
    <w:rsid w:val="00303DB4"/>
    <w:rsid w:val="0030625C"/>
    <w:rsid w:val="003077FC"/>
    <w:rsid w:val="003111E8"/>
    <w:rsid w:val="003116DA"/>
    <w:rsid w:val="00311BA6"/>
    <w:rsid w:val="003124A1"/>
    <w:rsid w:val="00313333"/>
    <w:rsid w:val="00313B63"/>
    <w:rsid w:val="00314AC8"/>
    <w:rsid w:val="00315145"/>
    <w:rsid w:val="003152CA"/>
    <w:rsid w:val="003171A7"/>
    <w:rsid w:val="003178F8"/>
    <w:rsid w:val="00317B5B"/>
    <w:rsid w:val="003218FC"/>
    <w:rsid w:val="0032236A"/>
    <w:rsid w:val="003226D5"/>
    <w:rsid w:val="00324CF8"/>
    <w:rsid w:val="00325393"/>
    <w:rsid w:val="00325BB8"/>
    <w:rsid w:val="0033120B"/>
    <w:rsid w:val="00331787"/>
    <w:rsid w:val="00331799"/>
    <w:rsid w:val="00332527"/>
    <w:rsid w:val="003335E2"/>
    <w:rsid w:val="00334949"/>
    <w:rsid w:val="00334CD5"/>
    <w:rsid w:val="00334EC2"/>
    <w:rsid w:val="0033720D"/>
    <w:rsid w:val="00340093"/>
    <w:rsid w:val="00341E37"/>
    <w:rsid w:val="003421CA"/>
    <w:rsid w:val="003424E8"/>
    <w:rsid w:val="00342802"/>
    <w:rsid w:val="003428A4"/>
    <w:rsid w:val="00343F9F"/>
    <w:rsid w:val="003446BA"/>
    <w:rsid w:val="0034478D"/>
    <w:rsid w:val="0034648C"/>
    <w:rsid w:val="00346557"/>
    <w:rsid w:val="00346D8B"/>
    <w:rsid w:val="003521E9"/>
    <w:rsid w:val="00353163"/>
    <w:rsid w:val="0035574B"/>
    <w:rsid w:val="003557B1"/>
    <w:rsid w:val="00356C30"/>
    <w:rsid w:val="003628A1"/>
    <w:rsid w:val="00365A9E"/>
    <w:rsid w:val="00366191"/>
    <w:rsid w:val="00367802"/>
    <w:rsid w:val="00371658"/>
    <w:rsid w:val="0037245B"/>
    <w:rsid w:val="00373EAD"/>
    <w:rsid w:val="00376190"/>
    <w:rsid w:val="00376FC0"/>
    <w:rsid w:val="003772C5"/>
    <w:rsid w:val="00381B0B"/>
    <w:rsid w:val="00385160"/>
    <w:rsid w:val="003876F7"/>
    <w:rsid w:val="003917DF"/>
    <w:rsid w:val="00391A24"/>
    <w:rsid w:val="00393E41"/>
    <w:rsid w:val="00396E2C"/>
    <w:rsid w:val="00397ED0"/>
    <w:rsid w:val="003A1052"/>
    <w:rsid w:val="003A4461"/>
    <w:rsid w:val="003A57EF"/>
    <w:rsid w:val="003A5BD6"/>
    <w:rsid w:val="003A5C36"/>
    <w:rsid w:val="003A6CFA"/>
    <w:rsid w:val="003A72F9"/>
    <w:rsid w:val="003B03F9"/>
    <w:rsid w:val="003B0522"/>
    <w:rsid w:val="003B2ACD"/>
    <w:rsid w:val="003B3B16"/>
    <w:rsid w:val="003B5D65"/>
    <w:rsid w:val="003C01BA"/>
    <w:rsid w:val="003C1A93"/>
    <w:rsid w:val="003C2D43"/>
    <w:rsid w:val="003C37AD"/>
    <w:rsid w:val="003C5F4E"/>
    <w:rsid w:val="003C63A6"/>
    <w:rsid w:val="003C6DE6"/>
    <w:rsid w:val="003C7693"/>
    <w:rsid w:val="003D0403"/>
    <w:rsid w:val="003D283B"/>
    <w:rsid w:val="003D5725"/>
    <w:rsid w:val="003D6671"/>
    <w:rsid w:val="003D6755"/>
    <w:rsid w:val="003E2A56"/>
    <w:rsid w:val="003E2F18"/>
    <w:rsid w:val="003E35C4"/>
    <w:rsid w:val="003E369E"/>
    <w:rsid w:val="003E4532"/>
    <w:rsid w:val="003E46CD"/>
    <w:rsid w:val="003F2171"/>
    <w:rsid w:val="003F30DE"/>
    <w:rsid w:val="003F51A1"/>
    <w:rsid w:val="003F6B29"/>
    <w:rsid w:val="003F70E1"/>
    <w:rsid w:val="003F767C"/>
    <w:rsid w:val="00400057"/>
    <w:rsid w:val="004001BE"/>
    <w:rsid w:val="00400615"/>
    <w:rsid w:val="00401582"/>
    <w:rsid w:val="00401D22"/>
    <w:rsid w:val="00402B42"/>
    <w:rsid w:val="004036B2"/>
    <w:rsid w:val="00403853"/>
    <w:rsid w:val="00403B6B"/>
    <w:rsid w:val="00403FA5"/>
    <w:rsid w:val="00404F55"/>
    <w:rsid w:val="00405369"/>
    <w:rsid w:val="00410424"/>
    <w:rsid w:val="00411557"/>
    <w:rsid w:val="00413758"/>
    <w:rsid w:val="00417D64"/>
    <w:rsid w:val="004202A1"/>
    <w:rsid w:val="004205FE"/>
    <w:rsid w:val="00420BDD"/>
    <w:rsid w:val="00423398"/>
    <w:rsid w:val="00427E49"/>
    <w:rsid w:val="00430478"/>
    <w:rsid w:val="004306E2"/>
    <w:rsid w:val="0043080B"/>
    <w:rsid w:val="00430FD0"/>
    <w:rsid w:val="00432642"/>
    <w:rsid w:val="0043431C"/>
    <w:rsid w:val="00434B1B"/>
    <w:rsid w:val="00434CD2"/>
    <w:rsid w:val="004378F9"/>
    <w:rsid w:val="0044140F"/>
    <w:rsid w:val="0044162E"/>
    <w:rsid w:val="00441A03"/>
    <w:rsid w:val="00441FBF"/>
    <w:rsid w:val="0044213B"/>
    <w:rsid w:val="00442364"/>
    <w:rsid w:val="004424F8"/>
    <w:rsid w:val="00445257"/>
    <w:rsid w:val="004460FB"/>
    <w:rsid w:val="00450005"/>
    <w:rsid w:val="00450A45"/>
    <w:rsid w:val="004515A6"/>
    <w:rsid w:val="0045186B"/>
    <w:rsid w:val="00452E0C"/>
    <w:rsid w:val="00452FDB"/>
    <w:rsid w:val="0045562D"/>
    <w:rsid w:val="00455888"/>
    <w:rsid w:val="004560F0"/>
    <w:rsid w:val="004563B6"/>
    <w:rsid w:val="0045667D"/>
    <w:rsid w:val="00456745"/>
    <w:rsid w:val="00461F4B"/>
    <w:rsid w:val="00462070"/>
    <w:rsid w:val="00463E34"/>
    <w:rsid w:val="00464F7C"/>
    <w:rsid w:val="004653A6"/>
    <w:rsid w:val="0046609B"/>
    <w:rsid w:val="00466624"/>
    <w:rsid w:val="00471A7E"/>
    <w:rsid w:val="004745AA"/>
    <w:rsid w:val="00482FFF"/>
    <w:rsid w:val="00483A16"/>
    <w:rsid w:val="00483F04"/>
    <w:rsid w:val="0048591F"/>
    <w:rsid w:val="00486921"/>
    <w:rsid w:val="00487196"/>
    <w:rsid w:val="00487B95"/>
    <w:rsid w:val="00493120"/>
    <w:rsid w:val="00493AE5"/>
    <w:rsid w:val="0049648B"/>
    <w:rsid w:val="00497EA7"/>
    <w:rsid w:val="004A2158"/>
    <w:rsid w:val="004A2A8E"/>
    <w:rsid w:val="004A2CFD"/>
    <w:rsid w:val="004A3E27"/>
    <w:rsid w:val="004A3E29"/>
    <w:rsid w:val="004A4401"/>
    <w:rsid w:val="004A65DF"/>
    <w:rsid w:val="004A7100"/>
    <w:rsid w:val="004A77B3"/>
    <w:rsid w:val="004B0A26"/>
    <w:rsid w:val="004B1228"/>
    <w:rsid w:val="004B181D"/>
    <w:rsid w:val="004B19D1"/>
    <w:rsid w:val="004C00EE"/>
    <w:rsid w:val="004C0621"/>
    <w:rsid w:val="004C079A"/>
    <w:rsid w:val="004C0C65"/>
    <w:rsid w:val="004C4F17"/>
    <w:rsid w:val="004C5C49"/>
    <w:rsid w:val="004C61C4"/>
    <w:rsid w:val="004D061B"/>
    <w:rsid w:val="004D13B1"/>
    <w:rsid w:val="004D1924"/>
    <w:rsid w:val="004D1EED"/>
    <w:rsid w:val="004D3CD6"/>
    <w:rsid w:val="004D468F"/>
    <w:rsid w:val="004D525F"/>
    <w:rsid w:val="004D5C83"/>
    <w:rsid w:val="004D7CE3"/>
    <w:rsid w:val="004E1629"/>
    <w:rsid w:val="004E17B8"/>
    <w:rsid w:val="004E1AF8"/>
    <w:rsid w:val="004E247B"/>
    <w:rsid w:val="004E2E91"/>
    <w:rsid w:val="004E2F15"/>
    <w:rsid w:val="004E74EA"/>
    <w:rsid w:val="004F01E5"/>
    <w:rsid w:val="004F13C6"/>
    <w:rsid w:val="004F2876"/>
    <w:rsid w:val="004F29F7"/>
    <w:rsid w:val="004F484C"/>
    <w:rsid w:val="004F5167"/>
    <w:rsid w:val="004F6B7C"/>
    <w:rsid w:val="0050079D"/>
    <w:rsid w:val="005034AD"/>
    <w:rsid w:val="0050390C"/>
    <w:rsid w:val="00505BEF"/>
    <w:rsid w:val="00505C2D"/>
    <w:rsid w:val="00506253"/>
    <w:rsid w:val="00506E2E"/>
    <w:rsid w:val="00507723"/>
    <w:rsid w:val="00510009"/>
    <w:rsid w:val="005107FD"/>
    <w:rsid w:val="00512EC9"/>
    <w:rsid w:val="00513672"/>
    <w:rsid w:val="00514774"/>
    <w:rsid w:val="0051611C"/>
    <w:rsid w:val="005173E2"/>
    <w:rsid w:val="00521277"/>
    <w:rsid w:val="005229DD"/>
    <w:rsid w:val="00524061"/>
    <w:rsid w:val="00524F21"/>
    <w:rsid w:val="00527DE8"/>
    <w:rsid w:val="0053022B"/>
    <w:rsid w:val="00530F72"/>
    <w:rsid w:val="005318EA"/>
    <w:rsid w:val="005323D0"/>
    <w:rsid w:val="005347BB"/>
    <w:rsid w:val="00540E04"/>
    <w:rsid w:val="00540FAB"/>
    <w:rsid w:val="0054318E"/>
    <w:rsid w:val="00545594"/>
    <w:rsid w:val="005463D9"/>
    <w:rsid w:val="00546950"/>
    <w:rsid w:val="005469D1"/>
    <w:rsid w:val="00546AFC"/>
    <w:rsid w:val="00546CA3"/>
    <w:rsid w:val="00547BFC"/>
    <w:rsid w:val="0055003B"/>
    <w:rsid w:val="00552443"/>
    <w:rsid w:val="00552526"/>
    <w:rsid w:val="00553F58"/>
    <w:rsid w:val="005542CD"/>
    <w:rsid w:val="00555F31"/>
    <w:rsid w:val="00556B41"/>
    <w:rsid w:val="00560162"/>
    <w:rsid w:val="005628A4"/>
    <w:rsid w:val="005629E3"/>
    <w:rsid w:val="00562A3A"/>
    <w:rsid w:val="00563242"/>
    <w:rsid w:val="00564F17"/>
    <w:rsid w:val="00564F80"/>
    <w:rsid w:val="005652D3"/>
    <w:rsid w:val="00565A9A"/>
    <w:rsid w:val="00565B11"/>
    <w:rsid w:val="005672C9"/>
    <w:rsid w:val="0057032A"/>
    <w:rsid w:val="005708B6"/>
    <w:rsid w:val="00571AD4"/>
    <w:rsid w:val="00576969"/>
    <w:rsid w:val="005773F2"/>
    <w:rsid w:val="00577719"/>
    <w:rsid w:val="005807E0"/>
    <w:rsid w:val="00581AE7"/>
    <w:rsid w:val="00581B4E"/>
    <w:rsid w:val="00581F1E"/>
    <w:rsid w:val="00582762"/>
    <w:rsid w:val="005909AA"/>
    <w:rsid w:val="0059301B"/>
    <w:rsid w:val="00593D17"/>
    <w:rsid w:val="005942C3"/>
    <w:rsid w:val="00594CF2"/>
    <w:rsid w:val="005958D6"/>
    <w:rsid w:val="00597521"/>
    <w:rsid w:val="005A0056"/>
    <w:rsid w:val="005A0DFB"/>
    <w:rsid w:val="005A3687"/>
    <w:rsid w:val="005A6B12"/>
    <w:rsid w:val="005B4862"/>
    <w:rsid w:val="005B57B9"/>
    <w:rsid w:val="005B6DD1"/>
    <w:rsid w:val="005B7E10"/>
    <w:rsid w:val="005C00CD"/>
    <w:rsid w:val="005C015B"/>
    <w:rsid w:val="005C1110"/>
    <w:rsid w:val="005C42C2"/>
    <w:rsid w:val="005C47C1"/>
    <w:rsid w:val="005C47C9"/>
    <w:rsid w:val="005C56C8"/>
    <w:rsid w:val="005D01E8"/>
    <w:rsid w:val="005D0F04"/>
    <w:rsid w:val="005D1223"/>
    <w:rsid w:val="005D22A0"/>
    <w:rsid w:val="005D2D2D"/>
    <w:rsid w:val="005D4062"/>
    <w:rsid w:val="005D4229"/>
    <w:rsid w:val="005D52CC"/>
    <w:rsid w:val="005D5802"/>
    <w:rsid w:val="005D5F57"/>
    <w:rsid w:val="005D6E25"/>
    <w:rsid w:val="005D7842"/>
    <w:rsid w:val="005D7A19"/>
    <w:rsid w:val="005E0A5B"/>
    <w:rsid w:val="005E14D4"/>
    <w:rsid w:val="005E2BE2"/>
    <w:rsid w:val="005E3CAC"/>
    <w:rsid w:val="005E40AA"/>
    <w:rsid w:val="005E5217"/>
    <w:rsid w:val="005F37AD"/>
    <w:rsid w:val="005F5670"/>
    <w:rsid w:val="005F5FAE"/>
    <w:rsid w:val="005F6234"/>
    <w:rsid w:val="005F794F"/>
    <w:rsid w:val="005F7B56"/>
    <w:rsid w:val="00601797"/>
    <w:rsid w:val="00602103"/>
    <w:rsid w:val="0060216B"/>
    <w:rsid w:val="00602482"/>
    <w:rsid w:val="00602587"/>
    <w:rsid w:val="00602601"/>
    <w:rsid w:val="00602E0E"/>
    <w:rsid w:val="00603155"/>
    <w:rsid w:val="0060353E"/>
    <w:rsid w:val="00603FAA"/>
    <w:rsid w:val="006051A4"/>
    <w:rsid w:val="006067D1"/>
    <w:rsid w:val="00607576"/>
    <w:rsid w:val="00607C56"/>
    <w:rsid w:val="006117EA"/>
    <w:rsid w:val="00611C21"/>
    <w:rsid w:val="0061213A"/>
    <w:rsid w:val="00615A17"/>
    <w:rsid w:val="0061661E"/>
    <w:rsid w:val="006174DE"/>
    <w:rsid w:val="00617DB5"/>
    <w:rsid w:val="006204F4"/>
    <w:rsid w:val="00621B26"/>
    <w:rsid w:val="0062297F"/>
    <w:rsid w:val="00623556"/>
    <w:rsid w:val="00625831"/>
    <w:rsid w:val="00626215"/>
    <w:rsid w:val="00626847"/>
    <w:rsid w:val="00626A38"/>
    <w:rsid w:val="00627881"/>
    <w:rsid w:val="006314B1"/>
    <w:rsid w:val="0063229B"/>
    <w:rsid w:val="00633CFF"/>
    <w:rsid w:val="00634193"/>
    <w:rsid w:val="00634F35"/>
    <w:rsid w:val="00637C9F"/>
    <w:rsid w:val="00640087"/>
    <w:rsid w:val="00642675"/>
    <w:rsid w:val="006426A4"/>
    <w:rsid w:val="0064390D"/>
    <w:rsid w:val="00643AE0"/>
    <w:rsid w:val="00643BB0"/>
    <w:rsid w:val="006442BB"/>
    <w:rsid w:val="00644EE3"/>
    <w:rsid w:val="00645F51"/>
    <w:rsid w:val="00645F66"/>
    <w:rsid w:val="006512A7"/>
    <w:rsid w:val="00652157"/>
    <w:rsid w:val="00652C9B"/>
    <w:rsid w:val="006618C4"/>
    <w:rsid w:val="006621A9"/>
    <w:rsid w:val="0066300D"/>
    <w:rsid w:val="0066359E"/>
    <w:rsid w:val="006635D1"/>
    <w:rsid w:val="00670D5C"/>
    <w:rsid w:val="006711D7"/>
    <w:rsid w:val="006724E9"/>
    <w:rsid w:val="00672ED3"/>
    <w:rsid w:val="0067344B"/>
    <w:rsid w:val="00673539"/>
    <w:rsid w:val="00673FDA"/>
    <w:rsid w:val="00674949"/>
    <w:rsid w:val="00674F40"/>
    <w:rsid w:val="00675263"/>
    <w:rsid w:val="00675CC0"/>
    <w:rsid w:val="006776EC"/>
    <w:rsid w:val="00680201"/>
    <w:rsid w:val="00680D71"/>
    <w:rsid w:val="00681115"/>
    <w:rsid w:val="00681C29"/>
    <w:rsid w:val="0068547B"/>
    <w:rsid w:val="0068601B"/>
    <w:rsid w:val="00687E58"/>
    <w:rsid w:val="00692764"/>
    <w:rsid w:val="0069418F"/>
    <w:rsid w:val="00694C91"/>
    <w:rsid w:val="00695266"/>
    <w:rsid w:val="006A0CDC"/>
    <w:rsid w:val="006A4485"/>
    <w:rsid w:val="006A5667"/>
    <w:rsid w:val="006A5765"/>
    <w:rsid w:val="006A640B"/>
    <w:rsid w:val="006A65F6"/>
    <w:rsid w:val="006A6C5C"/>
    <w:rsid w:val="006B1419"/>
    <w:rsid w:val="006B2FB4"/>
    <w:rsid w:val="006B601D"/>
    <w:rsid w:val="006B7099"/>
    <w:rsid w:val="006C11F9"/>
    <w:rsid w:val="006C1D73"/>
    <w:rsid w:val="006C24F9"/>
    <w:rsid w:val="006C32DE"/>
    <w:rsid w:val="006C3381"/>
    <w:rsid w:val="006C4B97"/>
    <w:rsid w:val="006C4C65"/>
    <w:rsid w:val="006C6050"/>
    <w:rsid w:val="006C7573"/>
    <w:rsid w:val="006C7FB9"/>
    <w:rsid w:val="006D21FF"/>
    <w:rsid w:val="006D2B05"/>
    <w:rsid w:val="006D3626"/>
    <w:rsid w:val="006D46CA"/>
    <w:rsid w:val="006D6527"/>
    <w:rsid w:val="006D79AD"/>
    <w:rsid w:val="006E2D7D"/>
    <w:rsid w:val="006E3A9D"/>
    <w:rsid w:val="006E3DC5"/>
    <w:rsid w:val="006E580C"/>
    <w:rsid w:val="006E6501"/>
    <w:rsid w:val="006E73CC"/>
    <w:rsid w:val="006E750B"/>
    <w:rsid w:val="006F1005"/>
    <w:rsid w:val="006F1BD6"/>
    <w:rsid w:val="006F2185"/>
    <w:rsid w:val="006F38A8"/>
    <w:rsid w:val="006F405F"/>
    <w:rsid w:val="006F5367"/>
    <w:rsid w:val="006F63D5"/>
    <w:rsid w:val="006F69FF"/>
    <w:rsid w:val="006F6B36"/>
    <w:rsid w:val="006F6C6A"/>
    <w:rsid w:val="006F6DA5"/>
    <w:rsid w:val="006F6E1E"/>
    <w:rsid w:val="006F7762"/>
    <w:rsid w:val="006F7F8F"/>
    <w:rsid w:val="007003DB"/>
    <w:rsid w:val="00701146"/>
    <w:rsid w:val="00704006"/>
    <w:rsid w:val="007045AD"/>
    <w:rsid w:val="00704703"/>
    <w:rsid w:val="007048FD"/>
    <w:rsid w:val="007065ED"/>
    <w:rsid w:val="00706E6C"/>
    <w:rsid w:val="0071149B"/>
    <w:rsid w:val="00712B5A"/>
    <w:rsid w:val="00712C8C"/>
    <w:rsid w:val="00713AE4"/>
    <w:rsid w:val="007145CB"/>
    <w:rsid w:val="00714A95"/>
    <w:rsid w:val="007168EB"/>
    <w:rsid w:val="007172A1"/>
    <w:rsid w:val="00720533"/>
    <w:rsid w:val="007209CC"/>
    <w:rsid w:val="007219CA"/>
    <w:rsid w:val="00722182"/>
    <w:rsid w:val="00722646"/>
    <w:rsid w:val="007235C6"/>
    <w:rsid w:val="007304C3"/>
    <w:rsid w:val="007306CB"/>
    <w:rsid w:val="007319DF"/>
    <w:rsid w:val="007345E0"/>
    <w:rsid w:val="00734E11"/>
    <w:rsid w:val="00734EFD"/>
    <w:rsid w:val="007351D7"/>
    <w:rsid w:val="00735D4E"/>
    <w:rsid w:val="007368B3"/>
    <w:rsid w:val="00737E0C"/>
    <w:rsid w:val="00737E7D"/>
    <w:rsid w:val="007410FF"/>
    <w:rsid w:val="0074223A"/>
    <w:rsid w:val="0074245D"/>
    <w:rsid w:val="00743B5E"/>
    <w:rsid w:val="00743DEC"/>
    <w:rsid w:val="00750B13"/>
    <w:rsid w:val="007538F9"/>
    <w:rsid w:val="00757B21"/>
    <w:rsid w:val="00757EC6"/>
    <w:rsid w:val="007607EE"/>
    <w:rsid w:val="007613E6"/>
    <w:rsid w:val="00762341"/>
    <w:rsid w:val="007627D9"/>
    <w:rsid w:val="007651AA"/>
    <w:rsid w:val="0076522E"/>
    <w:rsid w:val="0076545C"/>
    <w:rsid w:val="00765FDF"/>
    <w:rsid w:val="007662AF"/>
    <w:rsid w:val="0076707F"/>
    <w:rsid w:val="00767188"/>
    <w:rsid w:val="00767FC1"/>
    <w:rsid w:val="007715DB"/>
    <w:rsid w:val="007722D6"/>
    <w:rsid w:val="00772FF4"/>
    <w:rsid w:val="00773B1D"/>
    <w:rsid w:val="00774A2F"/>
    <w:rsid w:val="00776F6E"/>
    <w:rsid w:val="00777A15"/>
    <w:rsid w:val="0078000B"/>
    <w:rsid w:val="00781DA7"/>
    <w:rsid w:val="0078203D"/>
    <w:rsid w:val="00783D2A"/>
    <w:rsid w:val="0078454E"/>
    <w:rsid w:val="0078465C"/>
    <w:rsid w:val="0078502F"/>
    <w:rsid w:val="007859DD"/>
    <w:rsid w:val="00785A3B"/>
    <w:rsid w:val="00787548"/>
    <w:rsid w:val="00790A20"/>
    <w:rsid w:val="00791A8F"/>
    <w:rsid w:val="00794F85"/>
    <w:rsid w:val="0079655F"/>
    <w:rsid w:val="00796677"/>
    <w:rsid w:val="007A0069"/>
    <w:rsid w:val="007A10C5"/>
    <w:rsid w:val="007A2126"/>
    <w:rsid w:val="007A2C2B"/>
    <w:rsid w:val="007A2EDA"/>
    <w:rsid w:val="007A3089"/>
    <w:rsid w:val="007A3161"/>
    <w:rsid w:val="007A4B70"/>
    <w:rsid w:val="007A5F39"/>
    <w:rsid w:val="007B20FF"/>
    <w:rsid w:val="007B36B8"/>
    <w:rsid w:val="007B5198"/>
    <w:rsid w:val="007B7317"/>
    <w:rsid w:val="007B781F"/>
    <w:rsid w:val="007B7A5E"/>
    <w:rsid w:val="007B7BC3"/>
    <w:rsid w:val="007C014F"/>
    <w:rsid w:val="007C1523"/>
    <w:rsid w:val="007C2CF4"/>
    <w:rsid w:val="007C4393"/>
    <w:rsid w:val="007C4C07"/>
    <w:rsid w:val="007C7E1F"/>
    <w:rsid w:val="007D184D"/>
    <w:rsid w:val="007D23E2"/>
    <w:rsid w:val="007D25C2"/>
    <w:rsid w:val="007D2B7A"/>
    <w:rsid w:val="007D3092"/>
    <w:rsid w:val="007D3AAD"/>
    <w:rsid w:val="007D4C97"/>
    <w:rsid w:val="007D5999"/>
    <w:rsid w:val="007D6809"/>
    <w:rsid w:val="007D701E"/>
    <w:rsid w:val="007D7D6F"/>
    <w:rsid w:val="007E5074"/>
    <w:rsid w:val="007E5E7C"/>
    <w:rsid w:val="007E747C"/>
    <w:rsid w:val="007F08A4"/>
    <w:rsid w:val="007F0C3C"/>
    <w:rsid w:val="007F1E24"/>
    <w:rsid w:val="007F231F"/>
    <w:rsid w:val="007F51DA"/>
    <w:rsid w:val="007F54DF"/>
    <w:rsid w:val="008025B7"/>
    <w:rsid w:val="0080335D"/>
    <w:rsid w:val="0080479F"/>
    <w:rsid w:val="00805E5F"/>
    <w:rsid w:val="00805F2B"/>
    <w:rsid w:val="00806310"/>
    <w:rsid w:val="008072E2"/>
    <w:rsid w:val="00810456"/>
    <w:rsid w:val="00810C29"/>
    <w:rsid w:val="00811A9D"/>
    <w:rsid w:val="00811B97"/>
    <w:rsid w:val="0081219E"/>
    <w:rsid w:val="0081336D"/>
    <w:rsid w:val="00815D24"/>
    <w:rsid w:val="008163F0"/>
    <w:rsid w:val="008165FA"/>
    <w:rsid w:val="00822D73"/>
    <w:rsid w:val="008248D7"/>
    <w:rsid w:val="00824B8B"/>
    <w:rsid w:val="00825C36"/>
    <w:rsid w:val="00825F33"/>
    <w:rsid w:val="008268D0"/>
    <w:rsid w:val="00827C7D"/>
    <w:rsid w:val="00831416"/>
    <w:rsid w:val="00837F1F"/>
    <w:rsid w:val="00841292"/>
    <w:rsid w:val="008417FB"/>
    <w:rsid w:val="00841FC7"/>
    <w:rsid w:val="008422BE"/>
    <w:rsid w:val="00842380"/>
    <w:rsid w:val="008423DD"/>
    <w:rsid w:val="008424BA"/>
    <w:rsid w:val="0084444A"/>
    <w:rsid w:val="008450A6"/>
    <w:rsid w:val="008460FD"/>
    <w:rsid w:val="00846F4C"/>
    <w:rsid w:val="00851111"/>
    <w:rsid w:val="00851183"/>
    <w:rsid w:val="00852FDB"/>
    <w:rsid w:val="0085410C"/>
    <w:rsid w:val="0085679C"/>
    <w:rsid w:val="008616D0"/>
    <w:rsid w:val="008624F6"/>
    <w:rsid w:val="008647A4"/>
    <w:rsid w:val="00865337"/>
    <w:rsid w:val="00867B7C"/>
    <w:rsid w:val="00870BC9"/>
    <w:rsid w:val="00870DE2"/>
    <w:rsid w:val="008720E1"/>
    <w:rsid w:val="008736C2"/>
    <w:rsid w:val="0087567C"/>
    <w:rsid w:val="0087686B"/>
    <w:rsid w:val="008775A1"/>
    <w:rsid w:val="008806C0"/>
    <w:rsid w:val="00881FC1"/>
    <w:rsid w:val="00883BB7"/>
    <w:rsid w:val="0088434F"/>
    <w:rsid w:val="00884EEE"/>
    <w:rsid w:val="0088647E"/>
    <w:rsid w:val="00891DF6"/>
    <w:rsid w:val="0089223D"/>
    <w:rsid w:val="00892DD2"/>
    <w:rsid w:val="008938DF"/>
    <w:rsid w:val="00893979"/>
    <w:rsid w:val="00896B69"/>
    <w:rsid w:val="0089700B"/>
    <w:rsid w:val="008A0E27"/>
    <w:rsid w:val="008A30D9"/>
    <w:rsid w:val="008A4656"/>
    <w:rsid w:val="008A4ECA"/>
    <w:rsid w:val="008A722E"/>
    <w:rsid w:val="008B00EB"/>
    <w:rsid w:val="008B2D43"/>
    <w:rsid w:val="008B36C8"/>
    <w:rsid w:val="008B4CE6"/>
    <w:rsid w:val="008B57B1"/>
    <w:rsid w:val="008B5B06"/>
    <w:rsid w:val="008B62C8"/>
    <w:rsid w:val="008B67DC"/>
    <w:rsid w:val="008B7A26"/>
    <w:rsid w:val="008C0926"/>
    <w:rsid w:val="008C1CD6"/>
    <w:rsid w:val="008C4398"/>
    <w:rsid w:val="008C6835"/>
    <w:rsid w:val="008C7B87"/>
    <w:rsid w:val="008D138C"/>
    <w:rsid w:val="008D1645"/>
    <w:rsid w:val="008D1B11"/>
    <w:rsid w:val="008D1D86"/>
    <w:rsid w:val="008D1F61"/>
    <w:rsid w:val="008D21C2"/>
    <w:rsid w:val="008D481D"/>
    <w:rsid w:val="008D626B"/>
    <w:rsid w:val="008D6DE4"/>
    <w:rsid w:val="008D7833"/>
    <w:rsid w:val="008E007E"/>
    <w:rsid w:val="008E0EA8"/>
    <w:rsid w:val="008E1004"/>
    <w:rsid w:val="008E1219"/>
    <w:rsid w:val="008E37EA"/>
    <w:rsid w:val="008E4D6C"/>
    <w:rsid w:val="008E6A50"/>
    <w:rsid w:val="008E7579"/>
    <w:rsid w:val="008F16C2"/>
    <w:rsid w:val="008F43F4"/>
    <w:rsid w:val="008F4EFF"/>
    <w:rsid w:val="008F5217"/>
    <w:rsid w:val="008F62C0"/>
    <w:rsid w:val="008F6999"/>
    <w:rsid w:val="008F75FF"/>
    <w:rsid w:val="00900A58"/>
    <w:rsid w:val="00900E0C"/>
    <w:rsid w:val="00901D76"/>
    <w:rsid w:val="00904028"/>
    <w:rsid w:val="009045D9"/>
    <w:rsid w:val="00904CC5"/>
    <w:rsid w:val="00904DE5"/>
    <w:rsid w:val="00906E9E"/>
    <w:rsid w:val="009070CD"/>
    <w:rsid w:val="00907A49"/>
    <w:rsid w:val="00910C12"/>
    <w:rsid w:val="009118FA"/>
    <w:rsid w:val="00915842"/>
    <w:rsid w:val="009174D1"/>
    <w:rsid w:val="00921807"/>
    <w:rsid w:val="0092332F"/>
    <w:rsid w:val="00923439"/>
    <w:rsid w:val="009246C7"/>
    <w:rsid w:val="0092600F"/>
    <w:rsid w:val="00926D00"/>
    <w:rsid w:val="00930B14"/>
    <w:rsid w:val="00931FB6"/>
    <w:rsid w:val="00933147"/>
    <w:rsid w:val="00933382"/>
    <w:rsid w:val="00933B4B"/>
    <w:rsid w:val="009371B2"/>
    <w:rsid w:val="00941229"/>
    <w:rsid w:val="00941915"/>
    <w:rsid w:val="00941B2A"/>
    <w:rsid w:val="009443EA"/>
    <w:rsid w:val="0094448A"/>
    <w:rsid w:val="0094585F"/>
    <w:rsid w:val="00945966"/>
    <w:rsid w:val="00945B0D"/>
    <w:rsid w:val="00946189"/>
    <w:rsid w:val="00946A92"/>
    <w:rsid w:val="00946CF5"/>
    <w:rsid w:val="00951B11"/>
    <w:rsid w:val="0095244E"/>
    <w:rsid w:val="00955661"/>
    <w:rsid w:val="00955AD8"/>
    <w:rsid w:val="00960907"/>
    <w:rsid w:val="00961663"/>
    <w:rsid w:val="00962BC1"/>
    <w:rsid w:val="00963144"/>
    <w:rsid w:val="00963DE3"/>
    <w:rsid w:val="0096492A"/>
    <w:rsid w:val="0096629E"/>
    <w:rsid w:val="009662D1"/>
    <w:rsid w:val="009664BB"/>
    <w:rsid w:val="009665FE"/>
    <w:rsid w:val="00967705"/>
    <w:rsid w:val="00967985"/>
    <w:rsid w:val="00971874"/>
    <w:rsid w:val="00971887"/>
    <w:rsid w:val="0097188C"/>
    <w:rsid w:val="00971B6A"/>
    <w:rsid w:val="00972006"/>
    <w:rsid w:val="009736E7"/>
    <w:rsid w:val="00976EE9"/>
    <w:rsid w:val="00980134"/>
    <w:rsid w:val="0098326B"/>
    <w:rsid w:val="00984BAA"/>
    <w:rsid w:val="009859AF"/>
    <w:rsid w:val="0098633C"/>
    <w:rsid w:val="0098653A"/>
    <w:rsid w:val="0098677D"/>
    <w:rsid w:val="00996020"/>
    <w:rsid w:val="009960F0"/>
    <w:rsid w:val="00996555"/>
    <w:rsid w:val="009A10D5"/>
    <w:rsid w:val="009A1A0D"/>
    <w:rsid w:val="009A1E7A"/>
    <w:rsid w:val="009A2053"/>
    <w:rsid w:val="009A4471"/>
    <w:rsid w:val="009A6017"/>
    <w:rsid w:val="009A61F8"/>
    <w:rsid w:val="009A6800"/>
    <w:rsid w:val="009A7AA7"/>
    <w:rsid w:val="009B11C6"/>
    <w:rsid w:val="009B1CEB"/>
    <w:rsid w:val="009B32AE"/>
    <w:rsid w:val="009B3B0A"/>
    <w:rsid w:val="009B4F72"/>
    <w:rsid w:val="009B5111"/>
    <w:rsid w:val="009B54FA"/>
    <w:rsid w:val="009B6765"/>
    <w:rsid w:val="009B769B"/>
    <w:rsid w:val="009C0FFB"/>
    <w:rsid w:val="009C1D39"/>
    <w:rsid w:val="009C2FAB"/>
    <w:rsid w:val="009C47F8"/>
    <w:rsid w:val="009C5CA9"/>
    <w:rsid w:val="009C79C2"/>
    <w:rsid w:val="009C7B08"/>
    <w:rsid w:val="009D0A47"/>
    <w:rsid w:val="009D0CC7"/>
    <w:rsid w:val="009D0E24"/>
    <w:rsid w:val="009D10F6"/>
    <w:rsid w:val="009D1212"/>
    <w:rsid w:val="009D1E0A"/>
    <w:rsid w:val="009D315D"/>
    <w:rsid w:val="009D347E"/>
    <w:rsid w:val="009D49C3"/>
    <w:rsid w:val="009D4E20"/>
    <w:rsid w:val="009D5814"/>
    <w:rsid w:val="009D5BFA"/>
    <w:rsid w:val="009E01C0"/>
    <w:rsid w:val="009E0859"/>
    <w:rsid w:val="009E0D7C"/>
    <w:rsid w:val="009E2284"/>
    <w:rsid w:val="009E2C58"/>
    <w:rsid w:val="009E4266"/>
    <w:rsid w:val="009E634E"/>
    <w:rsid w:val="009E643D"/>
    <w:rsid w:val="009F143B"/>
    <w:rsid w:val="009F5373"/>
    <w:rsid w:val="009F5943"/>
    <w:rsid w:val="009F6C98"/>
    <w:rsid w:val="00A01DD1"/>
    <w:rsid w:val="00A026D4"/>
    <w:rsid w:val="00A04230"/>
    <w:rsid w:val="00A04EC6"/>
    <w:rsid w:val="00A05F7D"/>
    <w:rsid w:val="00A063A7"/>
    <w:rsid w:val="00A06C73"/>
    <w:rsid w:val="00A06D25"/>
    <w:rsid w:val="00A07655"/>
    <w:rsid w:val="00A10C36"/>
    <w:rsid w:val="00A12194"/>
    <w:rsid w:val="00A12339"/>
    <w:rsid w:val="00A138B2"/>
    <w:rsid w:val="00A1393A"/>
    <w:rsid w:val="00A145D7"/>
    <w:rsid w:val="00A2002B"/>
    <w:rsid w:val="00A20221"/>
    <w:rsid w:val="00A20A2B"/>
    <w:rsid w:val="00A21450"/>
    <w:rsid w:val="00A2167E"/>
    <w:rsid w:val="00A222A3"/>
    <w:rsid w:val="00A23795"/>
    <w:rsid w:val="00A27C0E"/>
    <w:rsid w:val="00A30899"/>
    <w:rsid w:val="00A309B1"/>
    <w:rsid w:val="00A331E4"/>
    <w:rsid w:val="00A34480"/>
    <w:rsid w:val="00A3462C"/>
    <w:rsid w:val="00A34B96"/>
    <w:rsid w:val="00A35BF2"/>
    <w:rsid w:val="00A36B49"/>
    <w:rsid w:val="00A3714A"/>
    <w:rsid w:val="00A371A1"/>
    <w:rsid w:val="00A402BA"/>
    <w:rsid w:val="00A447BA"/>
    <w:rsid w:val="00A44A70"/>
    <w:rsid w:val="00A44BC4"/>
    <w:rsid w:val="00A47844"/>
    <w:rsid w:val="00A508CD"/>
    <w:rsid w:val="00A51D5B"/>
    <w:rsid w:val="00A52D87"/>
    <w:rsid w:val="00A540A1"/>
    <w:rsid w:val="00A5412F"/>
    <w:rsid w:val="00A541F6"/>
    <w:rsid w:val="00A546E2"/>
    <w:rsid w:val="00A5669A"/>
    <w:rsid w:val="00A56FA3"/>
    <w:rsid w:val="00A57978"/>
    <w:rsid w:val="00A57A35"/>
    <w:rsid w:val="00A57BDE"/>
    <w:rsid w:val="00A60987"/>
    <w:rsid w:val="00A61A79"/>
    <w:rsid w:val="00A6264F"/>
    <w:rsid w:val="00A634E2"/>
    <w:rsid w:val="00A66C99"/>
    <w:rsid w:val="00A67184"/>
    <w:rsid w:val="00A710BD"/>
    <w:rsid w:val="00A72564"/>
    <w:rsid w:val="00A73568"/>
    <w:rsid w:val="00A73F14"/>
    <w:rsid w:val="00A75857"/>
    <w:rsid w:val="00A761F0"/>
    <w:rsid w:val="00A763F4"/>
    <w:rsid w:val="00A77584"/>
    <w:rsid w:val="00A77E5A"/>
    <w:rsid w:val="00A80C79"/>
    <w:rsid w:val="00A824B4"/>
    <w:rsid w:val="00A83662"/>
    <w:rsid w:val="00A84C21"/>
    <w:rsid w:val="00A8730A"/>
    <w:rsid w:val="00A87F03"/>
    <w:rsid w:val="00A90406"/>
    <w:rsid w:val="00A91BA7"/>
    <w:rsid w:val="00A93376"/>
    <w:rsid w:val="00A9595B"/>
    <w:rsid w:val="00A96197"/>
    <w:rsid w:val="00A96352"/>
    <w:rsid w:val="00A96F11"/>
    <w:rsid w:val="00AA1150"/>
    <w:rsid w:val="00AA1B8D"/>
    <w:rsid w:val="00AA1DDA"/>
    <w:rsid w:val="00AA54D8"/>
    <w:rsid w:val="00AA58F6"/>
    <w:rsid w:val="00AA5F7C"/>
    <w:rsid w:val="00AB095A"/>
    <w:rsid w:val="00AB2972"/>
    <w:rsid w:val="00AB31CD"/>
    <w:rsid w:val="00AB37FE"/>
    <w:rsid w:val="00AB3E09"/>
    <w:rsid w:val="00AB4169"/>
    <w:rsid w:val="00AB52A5"/>
    <w:rsid w:val="00AB56AF"/>
    <w:rsid w:val="00AB5BC5"/>
    <w:rsid w:val="00AB62C4"/>
    <w:rsid w:val="00AB7DBF"/>
    <w:rsid w:val="00AB7F2C"/>
    <w:rsid w:val="00AC0E59"/>
    <w:rsid w:val="00AC1DBC"/>
    <w:rsid w:val="00AC3360"/>
    <w:rsid w:val="00AC495D"/>
    <w:rsid w:val="00AC57EA"/>
    <w:rsid w:val="00AC5A16"/>
    <w:rsid w:val="00AC7FCF"/>
    <w:rsid w:val="00AD29A6"/>
    <w:rsid w:val="00AD32B4"/>
    <w:rsid w:val="00AD622E"/>
    <w:rsid w:val="00AD76FC"/>
    <w:rsid w:val="00AE0D38"/>
    <w:rsid w:val="00AE274C"/>
    <w:rsid w:val="00AE2954"/>
    <w:rsid w:val="00AE2B89"/>
    <w:rsid w:val="00AE2E44"/>
    <w:rsid w:val="00AE3647"/>
    <w:rsid w:val="00AE3BF8"/>
    <w:rsid w:val="00AE7F59"/>
    <w:rsid w:val="00AF0893"/>
    <w:rsid w:val="00AF14DE"/>
    <w:rsid w:val="00AF3727"/>
    <w:rsid w:val="00AF5FA9"/>
    <w:rsid w:val="00AF7258"/>
    <w:rsid w:val="00AF78BE"/>
    <w:rsid w:val="00AF7F3B"/>
    <w:rsid w:val="00B02DC1"/>
    <w:rsid w:val="00B0370C"/>
    <w:rsid w:val="00B06139"/>
    <w:rsid w:val="00B06DD0"/>
    <w:rsid w:val="00B109BD"/>
    <w:rsid w:val="00B10F90"/>
    <w:rsid w:val="00B12365"/>
    <w:rsid w:val="00B12CAF"/>
    <w:rsid w:val="00B140C8"/>
    <w:rsid w:val="00B14127"/>
    <w:rsid w:val="00B16502"/>
    <w:rsid w:val="00B16D5E"/>
    <w:rsid w:val="00B2001B"/>
    <w:rsid w:val="00B200A2"/>
    <w:rsid w:val="00B207E3"/>
    <w:rsid w:val="00B20C98"/>
    <w:rsid w:val="00B20CBF"/>
    <w:rsid w:val="00B21176"/>
    <w:rsid w:val="00B21B62"/>
    <w:rsid w:val="00B225F6"/>
    <w:rsid w:val="00B26A00"/>
    <w:rsid w:val="00B26F0A"/>
    <w:rsid w:val="00B2799A"/>
    <w:rsid w:val="00B345D3"/>
    <w:rsid w:val="00B348AF"/>
    <w:rsid w:val="00B36CE4"/>
    <w:rsid w:val="00B3792F"/>
    <w:rsid w:val="00B41B71"/>
    <w:rsid w:val="00B42254"/>
    <w:rsid w:val="00B42B6D"/>
    <w:rsid w:val="00B4322E"/>
    <w:rsid w:val="00B4508E"/>
    <w:rsid w:val="00B46528"/>
    <w:rsid w:val="00B4721A"/>
    <w:rsid w:val="00B4794C"/>
    <w:rsid w:val="00B50053"/>
    <w:rsid w:val="00B508C8"/>
    <w:rsid w:val="00B51ED8"/>
    <w:rsid w:val="00B5389C"/>
    <w:rsid w:val="00B54A99"/>
    <w:rsid w:val="00B5661F"/>
    <w:rsid w:val="00B571E3"/>
    <w:rsid w:val="00B572E1"/>
    <w:rsid w:val="00B5792B"/>
    <w:rsid w:val="00B57E03"/>
    <w:rsid w:val="00B61E88"/>
    <w:rsid w:val="00B62941"/>
    <w:rsid w:val="00B62AF5"/>
    <w:rsid w:val="00B62CB4"/>
    <w:rsid w:val="00B62CBE"/>
    <w:rsid w:val="00B63B18"/>
    <w:rsid w:val="00B64625"/>
    <w:rsid w:val="00B64AAF"/>
    <w:rsid w:val="00B64C1D"/>
    <w:rsid w:val="00B659FB"/>
    <w:rsid w:val="00B67044"/>
    <w:rsid w:val="00B67F91"/>
    <w:rsid w:val="00B7019F"/>
    <w:rsid w:val="00B71C94"/>
    <w:rsid w:val="00B726C5"/>
    <w:rsid w:val="00B73AB3"/>
    <w:rsid w:val="00B769C7"/>
    <w:rsid w:val="00B770A7"/>
    <w:rsid w:val="00B80605"/>
    <w:rsid w:val="00B81E6C"/>
    <w:rsid w:val="00B83160"/>
    <w:rsid w:val="00B83272"/>
    <w:rsid w:val="00B832C9"/>
    <w:rsid w:val="00B836A5"/>
    <w:rsid w:val="00B83E63"/>
    <w:rsid w:val="00B84681"/>
    <w:rsid w:val="00B848F0"/>
    <w:rsid w:val="00B859D8"/>
    <w:rsid w:val="00B8676C"/>
    <w:rsid w:val="00B86A67"/>
    <w:rsid w:val="00B86B4F"/>
    <w:rsid w:val="00B91F6F"/>
    <w:rsid w:val="00B96790"/>
    <w:rsid w:val="00B9730B"/>
    <w:rsid w:val="00BA134E"/>
    <w:rsid w:val="00BA60FA"/>
    <w:rsid w:val="00BA680D"/>
    <w:rsid w:val="00BA6C01"/>
    <w:rsid w:val="00BA70D1"/>
    <w:rsid w:val="00BA73F1"/>
    <w:rsid w:val="00BA7EE9"/>
    <w:rsid w:val="00BB033E"/>
    <w:rsid w:val="00BB0461"/>
    <w:rsid w:val="00BB14A8"/>
    <w:rsid w:val="00BB2E70"/>
    <w:rsid w:val="00BB2EB3"/>
    <w:rsid w:val="00BB4A20"/>
    <w:rsid w:val="00BB5969"/>
    <w:rsid w:val="00BB7536"/>
    <w:rsid w:val="00BB76F7"/>
    <w:rsid w:val="00BC008A"/>
    <w:rsid w:val="00BC0330"/>
    <w:rsid w:val="00BC3DA2"/>
    <w:rsid w:val="00BC42B5"/>
    <w:rsid w:val="00BC665C"/>
    <w:rsid w:val="00BC6FA6"/>
    <w:rsid w:val="00BD22E4"/>
    <w:rsid w:val="00BD47E8"/>
    <w:rsid w:val="00BD4D1E"/>
    <w:rsid w:val="00BD57C9"/>
    <w:rsid w:val="00BD76AD"/>
    <w:rsid w:val="00BE0486"/>
    <w:rsid w:val="00BE184C"/>
    <w:rsid w:val="00BE2334"/>
    <w:rsid w:val="00BE240D"/>
    <w:rsid w:val="00BE2963"/>
    <w:rsid w:val="00BE4E20"/>
    <w:rsid w:val="00BE5B34"/>
    <w:rsid w:val="00BE5E4B"/>
    <w:rsid w:val="00BF0AE8"/>
    <w:rsid w:val="00BF0FA7"/>
    <w:rsid w:val="00BF115D"/>
    <w:rsid w:val="00BF20E5"/>
    <w:rsid w:val="00BF6B7E"/>
    <w:rsid w:val="00BF760A"/>
    <w:rsid w:val="00C002CC"/>
    <w:rsid w:val="00C03D59"/>
    <w:rsid w:val="00C05013"/>
    <w:rsid w:val="00C0554A"/>
    <w:rsid w:val="00C05BA1"/>
    <w:rsid w:val="00C06648"/>
    <w:rsid w:val="00C06653"/>
    <w:rsid w:val="00C066F5"/>
    <w:rsid w:val="00C06A70"/>
    <w:rsid w:val="00C1040B"/>
    <w:rsid w:val="00C10B4D"/>
    <w:rsid w:val="00C10EFF"/>
    <w:rsid w:val="00C11C93"/>
    <w:rsid w:val="00C11F48"/>
    <w:rsid w:val="00C12F56"/>
    <w:rsid w:val="00C15044"/>
    <w:rsid w:val="00C151B1"/>
    <w:rsid w:val="00C15783"/>
    <w:rsid w:val="00C20F1A"/>
    <w:rsid w:val="00C21555"/>
    <w:rsid w:val="00C22F16"/>
    <w:rsid w:val="00C23F78"/>
    <w:rsid w:val="00C242D9"/>
    <w:rsid w:val="00C26A37"/>
    <w:rsid w:val="00C26E20"/>
    <w:rsid w:val="00C2728C"/>
    <w:rsid w:val="00C272B7"/>
    <w:rsid w:val="00C2773B"/>
    <w:rsid w:val="00C27888"/>
    <w:rsid w:val="00C27A6E"/>
    <w:rsid w:val="00C30350"/>
    <w:rsid w:val="00C305A1"/>
    <w:rsid w:val="00C30906"/>
    <w:rsid w:val="00C31F23"/>
    <w:rsid w:val="00C351E1"/>
    <w:rsid w:val="00C405E4"/>
    <w:rsid w:val="00C40F0B"/>
    <w:rsid w:val="00C41B9E"/>
    <w:rsid w:val="00C421B9"/>
    <w:rsid w:val="00C44C2D"/>
    <w:rsid w:val="00C45AB8"/>
    <w:rsid w:val="00C45BEA"/>
    <w:rsid w:val="00C46258"/>
    <w:rsid w:val="00C46F03"/>
    <w:rsid w:val="00C505A5"/>
    <w:rsid w:val="00C51626"/>
    <w:rsid w:val="00C51974"/>
    <w:rsid w:val="00C5235A"/>
    <w:rsid w:val="00C55CAF"/>
    <w:rsid w:val="00C55CEA"/>
    <w:rsid w:val="00C600CE"/>
    <w:rsid w:val="00C6043D"/>
    <w:rsid w:val="00C63050"/>
    <w:rsid w:val="00C631B6"/>
    <w:rsid w:val="00C63D72"/>
    <w:rsid w:val="00C63EFC"/>
    <w:rsid w:val="00C64C80"/>
    <w:rsid w:val="00C66C0C"/>
    <w:rsid w:val="00C724CA"/>
    <w:rsid w:val="00C74236"/>
    <w:rsid w:val="00C74E79"/>
    <w:rsid w:val="00C77211"/>
    <w:rsid w:val="00C824B9"/>
    <w:rsid w:val="00C82CD5"/>
    <w:rsid w:val="00C831F2"/>
    <w:rsid w:val="00C862B4"/>
    <w:rsid w:val="00C86C0D"/>
    <w:rsid w:val="00C905C4"/>
    <w:rsid w:val="00C9272B"/>
    <w:rsid w:val="00C93770"/>
    <w:rsid w:val="00C938D4"/>
    <w:rsid w:val="00C93CC7"/>
    <w:rsid w:val="00C94FA2"/>
    <w:rsid w:val="00C95A58"/>
    <w:rsid w:val="00C96720"/>
    <w:rsid w:val="00CA6868"/>
    <w:rsid w:val="00CA7FD9"/>
    <w:rsid w:val="00CB0FE0"/>
    <w:rsid w:val="00CB1ABA"/>
    <w:rsid w:val="00CB579B"/>
    <w:rsid w:val="00CB5825"/>
    <w:rsid w:val="00CB72DF"/>
    <w:rsid w:val="00CC1A64"/>
    <w:rsid w:val="00CC1C80"/>
    <w:rsid w:val="00CC1D9E"/>
    <w:rsid w:val="00CC2100"/>
    <w:rsid w:val="00CC2C93"/>
    <w:rsid w:val="00CC35E3"/>
    <w:rsid w:val="00CC6DD1"/>
    <w:rsid w:val="00CC7368"/>
    <w:rsid w:val="00CC7DD9"/>
    <w:rsid w:val="00CD02CA"/>
    <w:rsid w:val="00CD1FD1"/>
    <w:rsid w:val="00CD3785"/>
    <w:rsid w:val="00CD38E3"/>
    <w:rsid w:val="00CD4473"/>
    <w:rsid w:val="00CE051A"/>
    <w:rsid w:val="00CE2BD5"/>
    <w:rsid w:val="00CE34A4"/>
    <w:rsid w:val="00CE5A3C"/>
    <w:rsid w:val="00CE6106"/>
    <w:rsid w:val="00CE6E80"/>
    <w:rsid w:val="00CF05DB"/>
    <w:rsid w:val="00CF3914"/>
    <w:rsid w:val="00CF5DDA"/>
    <w:rsid w:val="00CF7698"/>
    <w:rsid w:val="00D00F99"/>
    <w:rsid w:val="00D011CA"/>
    <w:rsid w:val="00D016ED"/>
    <w:rsid w:val="00D02542"/>
    <w:rsid w:val="00D04512"/>
    <w:rsid w:val="00D04968"/>
    <w:rsid w:val="00D04BDC"/>
    <w:rsid w:val="00D07892"/>
    <w:rsid w:val="00D104FF"/>
    <w:rsid w:val="00D1157D"/>
    <w:rsid w:val="00D1173F"/>
    <w:rsid w:val="00D118F9"/>
    <w:rsid w:val="00D11A7C"/>
    <w:rsid w:val="00D15767"/>
    <w:rsid w:val="00D17954"/>
    <w:rsid w:val="00D22958"/>
    <w:rsid w:val="00D232B4"/>
    <w:rsid w:val="00D259B9"/>
    <w:rsid w:val="00D25AF7"/>
    <w:rsid w:val="00D25C04"/>
    <w:rsid w:val="00D26A0C"/>
    <w:rsid w:val="00D30158"/>
    <w:rsid w:val="00D305D8"/>
    <w:rsid w:val="00D306A3"/>
    <w:rsid w:val="00D30D5B"/>
    <w:rsid w:val="00D33234"/>
    <w:rsid w:val="00D33406"/>
    <w:rsid w:val="00D33D06"/>
    <w:rsid w:val="00D34D90"/>
    <w:rsid w:val="00D3710A"/>
    <w:rsid w:val="00D3736B"/>
    <w:rsid w:val="00D405EE"/>
    <w:rsid w:val="00D47329"/>
    <w:rsid w:val="00D47497"/>
    <w:rsid w:val="00D505E3"/>
    <w:rsid w:val="00D50D4E"/>
    <w:rsid w:val="00D521AA"/>
    <w:rsid w:val="00D52CE3"/>
    <w:rsid w:val="00D5380A"/>
    <w:rsid w:val="00D53DB6"/>
    <w:rsid w:val="00D5410F"/>
    <w:rsid w:val="00D566A6"/>
    <w:rsid w:val="00D60957"/>
    <w:rsid w:val="00D62822"/>
    <w:rsid w:val="00D6282B"/>
    <w:rsid w:val="00D6338B"/>
    <w:rsid w:val="00D63CB0"/>
    <w:rsid w:val="00D64725"/>
    <w:rsid w:val="00D64958"/>
    <w:rsid w:val="00D64E8A"/>
    <w:rsid w:val="00D65D3A"/>
    <w:rsid w:val="00D65E66"/>
    <w:rsid w:val="00D66B3F"/>
    <w:rsid w:val="00D6724E"/>
    <w:rsid w:val="00D67833"/>
    <w:rsid w:val="00D7088A"/>
    <w:rsid w:val="00D73464"/>
    <w:rsid w:val="00D750BA"/>
    <w:rsid w:val="00D77EC8"/>
    <w:rsid w:val="00D80F4B"/>
    <w:rsid w:val="00D828C8"/>
    <w:rsid w:val="00D837A6"/>
    <w:rsid w:val="00D85DB4"/>
    <w:rsid w:val="00D862A1"/>
    <w:rsid w:val="00D86422"/>
    <w:rsid w:val="00D86C6D"/>
    <w:rsid w:val="00D86EE1"/>
    <w:rsid w:val="00D908CC"/>
    <w:rsid w:val="00D92474"/>
    <w:rsid w:val="00D927D4"/>
    <w:rsid w:val="00D950B2"/>
    <w:rsid w:val="00D951FA"/>
    <w:rsid w:val="00D953DA"/>
    <w:rsid w:val="00D95EAE"/>
    <w:rsid w:val="00D966EC"/>
    <w:rsid w:val="00D970D4"/>
    <w:rsid w:val="00D975DE"/>
    <w:rsid w:val="00DA21E0"/>
    <w:rsid w:val="00DA41EB"/>
    <w:rsid w:val="00DA5289"/>
    <w:rsid w:val="00DA55B8"/>
    <w:rsid w:val="00DA61B1"/>
    <w:rsid w:val="00DA6312"/>
    <w:rsid w:val="00DB1CE2"/>
    <w:rsid w:val="00DB2DCF"/>
    <w:rsid w:val="00DB3CD5"/>
    <w:rsid w:val="00DB40BF"/>
    <w:rsid w:val="00DB4EE6"/>
    <w:rsid w:val="00DB70BC"/>
    <w:rsid w:val="00DC0534"/>
    <w:rsid w:val="00DC0EC7"/>
    <w:rsid w:val="00DC1A08"/>
    <w:rsid w:val="00DC2A61"/>
    <w:rsid w:val="00DC3AEB"/>
    <w:rsid w:val="00DC47B6"/>
    <w:rsid w:val="00DC4983"/>
    <w:rsid w:val="00DC5247"/>
    <w:rsid w:val="00DC6530"/>
    <w:rsid w:val="00DC662B"/>
    <w:rsid w:val="00DC7187"/>
    <w:rsid w:val="00DC79E9"/>
    <w:rsid w:val="00DD1045"/>
    <w:rsid w:val="00DD288B"/>
    <w:rsid w:val="00DD31CE"/>
    <w:rsid w:val="00DD3B2A"/>
    <w:rsid w:val="00DD6E7E"/>
    <w:rsid w:val="00DD756F"/>
    <w:rsid w:val="00DE0D50"/>
    <w:rsid w:val="00DE3083"/>
    <w:rsid w:val="00DE353D"/>
    <w:rsid w:val="00DE3C5C"/>
    <w:rsid w:val="00DE3EA5"/>
    <w:rsid w:val="00DF1833"/>
    <w:rsid w:val="00DF2C55"/>
    <w:rsid w:val="00DF4F54"/>
    <w:rsid w:val="00DF5342"/>
    <w:rsid w:val="00DF66B8"/>
    <w:rsid w:val="00DF6B03"/>
    <w:rsid w:val="00DF6C5A"/>
    <w:rsid w:val="00DF7AB7"/>
    <w:rsid w:val="00E00111"/>
    <w:rsid w:val="00E002C5"/>
    <w:rsid w:val="00E00829"/>
    <w:rsid w:val="00E00C8A"/>
    <w:rsid w:val="00E0210C"/>
    <w:rsid w:val="00E040F2"/>
    <w:rsid w:val="00E04450"/>
    <w:rsid w:val="00E0520A"/>
    <w:rsid w:val="00E057D2"/>
    <w:rsid w:val="00E05922"/>
    <w:rsid w:val="00E064D3"/>
    <w:rsid w:val="00E1136F"/>
    <w:rsid w:val="00E1248C"/>
    <w:rsid w:val="00E12FD3"/>
    <w:rsid w:val="00E14BA2"/>
    <w:rsid w:val="00E1557E"/>
    <w:rsid w:val="00E15AB2"/>
    <w:rsid w:val="00E20545"/>
    <w:rsid w:val="00E22006"/>
    <w:rsid w:val="00E246C1"/>
    <w:rsid w:val="00E246F1"/>
    <w:rsid w:val="00E248B6"/>
    <w:rsid w:val="00E26C0A"/>
    <w:rsid w:val="00E26F1C"/>
    <w:rsid w:val="00E30662"/>
    <w:rsid w:val="00E33A01"/>
    <w:rsid w:val="00E34BD1"/>
    <w:rsid w:val="00E35448"/>
    <w:rsid w:val="00E36429"/>
    <w:rsid w:val="00E40E7F"/>
    <w:rsid w:val="00E41BA1"/>
    <w:rsid w:val="00E43038"/>
    <w:rsid w:val="00E44C1A"/>
    <w:rsid w:val="00E462A3"/>
    <w:rsid w:val="00E46373"/>
    <w:rsid w:val="00E479A7"/>
    <w:rsid w:val="00E50B03"/>
    <w:rsid w:val="00E51894"/>
    <w:rsid w:val="00E531E9"/>
    <w:rsid w:val="00E54CE4"/>
    <w:rsid w:val="00E54E1F"/>
    <w:rsid w:val="00E5520B"/>
    <w:rsid w:val="00E56098"/>
    <w:rsid w:val="00E56748"/>
    <w:rsid w:val="00E57214"/>
    <w:rsid w:val="00E57D41"/>
    <w:rsid w:val="00E57D7B"/>
    <w:rsid w:val="00E6148E"/>
    <w:rsid w:val="00E6180C"/>
    <w:rsid w:val="00E6206C"/>
    <w:rsid w:val="00E62367"/>
    <w:rsid w:val="00E63AC1"/>
    <w:rsid w:val="00E6420E"/>
    <w:rsid w:val="00E6627A"/>
    <w:rsid w:val="00E6677B"/>
    <w:rsid w:val="00E70C4F"/>
    <w:rsid w:val="00E70E06"/>
    <w:rsid w:val="00E7102C"/>
    <w:rsid w:val="00E72A49"/>
    <w:rsid w:val="00E73140"/>
    <w:rsid w:val="00E737CD"/>
    <w:rsid w:val="00E74C25"/>
    <w:rsid w:val="00E76260"/>
    <w:rsid w:val="00E833C3"/>
    <w:rsid w:val="00E83BEB"/>
    <w:rsid w:val="00E83E90"/>
    <w:rsid w:val="00E84688"/>
    <w:rsid w:val="00E8608C"/>
    <w:rsid w:val="00E8715B"/>
    <w:rsid w:val="00E876DC"/>
    <w:rsid w:val="00E90BA4"/>
    <w:rsid w:val="00E91034"/>
    <w:rsid w:val="00E91073"/>
    <w:rsid w:val="00E92801"/>
    <w:rsid w:val="00E92AC8"/>
    <w:rsid w:val="00E92FC0"/>
    <w:rsid w:val="00E93399"/>
    <w:rsid w:val="00E94B20"/>
    <w:rsid w:val="00E94D74"/>
    <w:rsid w:val="00E95E3A"/>
    <w:rsid w:val="00E963EB"/>
    <w:rsid w:val="00E97129"/>
    <w:rsid w:val="00E9761B"/>
    <w:rsid w:val="00E9778C"/>
    <w:rsid w:val="00EA0DE6"/>
    <w:rsid w:val="00EA167B"/>
    <w:rsid w:val="00EA443F"/>
    <w:rsid w:val="00EA497B"/>
    <w:rsid w:val="00EA5993"/>
    <w:rsid w:val="00EA63A7"/>
    <w:rsid w:val="00EB0312"/>
    <w:rsid w:val="00EB0559"/>
    <w:rsid w:val="00EB39EE"/>
    <w:rsid w:val="00EB3C5B"/>
    <w:rsid w:val="00EB40B9"/>
    <w:rsid w:val="00EB5120"/>
    <w:rsid w:val="00EB5CE4"/>
    <w:rsid w:val="00EB6656"/>
    <w:rsid w:val="00EB697F"/>
    <w:rsid w:val="00EB698F"/>
    <w:rsid w:val="00EB6BDF"/>
    <w:rsid w:val="00EC202E"/>
    <w:rsid w:val="00EC29A2"/>
    <w:rsid w:val="00EC4142"/>
    <w:rsid w:val="00EC425E"/>
    <w:rsid w:val="00EC447D"/>
    <w:rsid w:val="00EC5120"/>
    <w:rsid w:val="00EC5CA0"/>
    <w:rsid w:val="00EC719F"/>
    <w:rsid w:val="00ED0869"/>
    <w:rsid w:val="00ED0BA5"/>
    <w:rsid w:val="00ED11E8"/>
    <w:rsid w:val="00ED2FDF"/>
    <w:rsid w:val="00ED45CC"/>
    <w:rsid w:val="00ED68A9"/>
    <w:rsid w:val="00EE0004"/>
    <w:rsid w:val="00EE4151"/>
    <w:rsid w:val="00EE56B3"/>
    <w:rsid w:val="00EE798D"/>
    <w:rsid w:val="00EF2092"/>
    <w:rsid w:val="00EF2B06"/>
    <w:rsid w:val="00EF3FAB"/>
    <w:rsid w:val="00EF6DE1"/>
    <w:rsid w:val="00EF7CA7"/>
    <w:rsid w:val="00EF7DB5"/>
    <w:rsid w:val="00F0061B"/>
    <w:rsid w:val="00F00C95"/>
    <w:rsid w:val="00F01B31"/>
    <w:rsid w:val="00F02E1D"/>
    <w:rsid w:val="00F06D40"/>
    <w:rsid w:val="00F11CC1"/>
    <w:rsid w:val="00F12214"/>
    <w:rsid w:val="00F13A6A"/>
    <w:rsid w:val="00F1409F"/>
    <w:rsid w:val="00F14282"/>
    <w:rsid w:val="00F1435E"/>
    <w:rsid w:val="00F149F4"/>
    <w:rsid w:val="00F14E4F"/>
    <w:rsid w:val="00F15D0C"/>
    <w:rsid w:val="00F17311"/>
    <w:rsid w:val="00F1762E"/>
    <w:rsid w:val="00F21861"/>
    <w:rsid w:val="00F21F7A"/>
    <w:rsid w:val="00F247D4"/>
    <w:rsid w:val="00F31CC8"/>
    <w:rsid w:val="00F34894"/>
    <w:rsid w:val="00F3686F"/>
    <w:rsid w:val="00F4316B"/>
    <w:rsid w:val="00F45D0E"/>
    <w:rsid w:val="00F466F5"/>
    <w:rsid w:val="00F470E5"/>
    <w:rsid w:val="00F47FE6"/>
    <w:rsid w:val="00F500FD"/>
    <w:rsid w:val="00F5184E"/>
    <w:rsid w:val="00F51931"/>
    <w:rsid w:val="00F51DCA"/>
    <w:rsid w:val="00F52920"/>
    <w:rsid w:val="00F52C1E"/>
    <w:rsid w:val="00F5463E"/>
    <w:rsid w:val="00F5534E"/>
    <w:rsid w:val="00F554F7"/>
    <w:rsid w:val="00F55E82"/>
    <w:rsid w:val="00F56ACB"/>
    <w:rsid w:val="00F57E8E"/>
    <w:rsid w:val="00F6252C"/>
    <w:rsid w:val="00F6341E"/>
    <w:rsid w:val="00F63A8C"/>
    <w:rsid w:val="00F64DD8"/>
    <w:rsid w:val="00F678F6"/>
    <w:rsid w:val="00F700F5"/>
    <w:rsid w:val="00F75D35"/>
    <w:rsid w:val="00F76312"/>
    <w:rsid w:val="00F77BE5"/>
    <w:rsid w:val="00F83925"/>
    <w:rsid w:val="00F83B8F"/>
    <w:rsid w:val="00F84137"/>
    <w:rsid w:val="00F90C6F"/>
    <w:rsid w:val="00F9261E"/>
    <w:rsid w:val="00F9297B"/>
    <w:rsid w:val="00F92AE1"/>
    <w:rsid w:val="00F93E7C"/>
    <w:rsid w:val="00F94B3D"/>
    <w:rsid w:val="00F94E76"/>
    <w:rsid w:val="00FA01F5"/>
    <w:rsid w:val="00FA3F84"/>
    <w:rsid w:val="00FA49A2"/>
    <w:rsid w:val="00FA4B0F"/>
    <w:rsid w:val="00FA4DBC"/>
    <w:rsid w:val="00FA4DFA"/>
    <w:rsid w:val="00FA522A"/>
    <w:rsid w:val="00FA53D7"/>
    <w:rsid w:val="00FA5A72"/>
    <w:rsid w:val="00FA613B"/>
    <w:rsid w:val="00FA6ED3"/>
    <w:rsid w:val="00FB1700"/>
    <w:rsid w:val="00FB177D"/>
    <w:rsid w:val="00FB3D05"/>
    <w:rsid w:val="00FB416B"/>
    <w:rsid w:val="00FB7A65"/>
    <w:rsid w:val="00FC0C8C"/>
    <w:rsid w:val="00FC1458"/>
    <w:rsid w:val="00FC49AE"/>
    <w:rsid w:val="00FC6663"/>
    <w:rsid w:val="00FC6F51"/>
    <w:rsid w:val="00FC71E4"/>
    <w:rsid w:val="00FC72F6"/>
    <w:rsid w:val="00FD010F"/>
    <w:rsid w:val="00FD16BF"/>
    <w:rsid w:val="00FD17AD"/>
    <w:rsid w:val="00FD259D"/>
    <w:rsid w:val="00FD26CC"/>
    <w:rsid w:val="00FD279A"/>
    <w:rsid w:val="00FD6DAD"/>
    <w:rsid w:val="00FD7402"/>
    <w:rsid w:val="00FD7EE1"/>
    <w:rsid w:val="00FE1FEB"/>
    <w:rsid w:val="00FE37E3"/>
    <w:rsid w:val="00FE4B2F"/>
    <w:rsid w:val="00FE6D9C"/>
    <w:rsid w:val="00FF0138"/>
    <w:rsid w:val="00FF056F"/>
    <w:rsid w:val="00FF0EA2"/>
    <w:rsid w:val="00FF174B"/>
    <w:rsid w:val="00FF25C5"/>
    <w:rsid w:val="00FF3483"/>
    <w:rsid w:val="00FF7603"/>
    <w:rsid w:val="00FF77A6"/>
    <w:rsid w:val="00FF7A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1B782D"/>
  <w15:docId w15:val="{D3143297-65AE-45FA-AC3B-21942DDB7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7978"/>
    <w:pPr>
      <w:widowControl w:val="0"/>
    </w:pPr>
    <w:rPr>
      <w:snapToGrid w:val="0"/>
      <w:sz w:val="24"/>
    </w:rPr>
  </w:style>
  <w:style w:type="paragraph" w:styleId="Heading1">
    <w:name w:val="heading 1"/>
    <w:aliases w:val="H1-Chap. Head,H1-Sec.Hea,H1-Sec.Head"/>
    <w:basedOn w:val="Normal"/>
    <w:next w:val="Normal"/>
    <w:link w:val="Heading1Char"/>
    <w:uiPriority w:val="9"/>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948" w:hanging="948"/>
      <w:outlineLvl w:val="0"/>
    </w:pPr>
    <w:rPr>
      <w:b/>
    </w:rPr>
  </w:style>
  <w:style w:type="paragraph" w:styleId="Heading2">
    <w:name w:val="heading 2"/>
    <w:aliases w:val="H2-Sec. He,H2-Sec. Head"/>
    <w:basedOn w:val="Heading3"/>
    <w:next w:val="Normal"/>
    <w:link w:val="Heading2Char"/>
    <w:uiPriority w:val="99"/>
    <w:qFormat/>
    <w:rsid w:val="003A6CFA"/>
    <w:pPr>
      <w:outlineLvl w:val="1"/>
    </w:pPr>
  </w:style>
  <w:style w:type="paragraph" w:styleId="Heading3">
    <w:name w:val="heading 3"/>
    <w:aliases w:val="H3-Sec. Head"/>
    <w:basedOn w:val="Normal"/>
    <w:next w:val="Normal"/>
    <w:link w:val="Heading3Char"/>
    <w:uiPriority w:val="9"/>
    <w:qFormat/>
    <w:rsid w:val="0062297F"/>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outlineLvl w:val="2"/>
    </w:pPr>
    <w:rPr>
      <w:b/>
      <w:bCs/>
    </w:rPr>
  </w:style>
  <w:style w:type="paragraph" w:styleId="Heading4">
    <w:name w:val="heading 4"/>
    <w:basedOn w:val="Normal"/>
    <w:next w:val="Normal"/>
    <w:link w:val="Heading4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864" w:right="864" w:hanging="474"/>
      <w:outlineLvl w:val="3"/>
    </w:pPr>
    <w:rPr>
      <w:b/>
    </w:rPr>
  </w:style>
  <w:style w:type="paragraph" w:styleId="Heading5">
    <w:name w:val="heading 5"/>
    <w:basedOn w:val="Normal"/>
    <w:next w:val="Normal"/>
    <w:link w:val="Heading5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right="864"/>
      <w:outlineLvl w:val="4"/>
    </w:pPr>
    <w:rPr>
      <w:b/>
    </w:rPr>
  </w:style>
  <w:style w:type="paragraph" w:styleId="Heading6">
    <w:name w:val="heading 6"/>
    <w:basedOn w:val="Normal"/>
    <w:next w:val="Normal"/>
    <w:link w:val="Heading6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3" w:right="864"/>
      <w:outlineLvl w:val="5"/>
    </w:pPr>
    <w:rPr>
      <w:b/>
    </w:rPr>
  </w:style>
  <w:style w:type="paragraph" w:styleId="Heading7">
    <w:name w:val="heading 7"/>
    <w:basedOn w:val="Normal"/>
    <w:next w:val="Normal"/>
    <w:link w:val="Heading7Char"/>
    <w:qFormat/>
    <w:rsid w:val="00945966"/>
    <w:pPr>
      <w:keepNext/>
      <w:outlineLvl w:val="6"/>
    </w:pPr>
    <w:rPr>
      <w:b/>
    </w:rPr>
  </w:style>
  <w:style w:type="paragraph" w:styleId="Heading8">
    <w:name w:val="heading 8"/>
    <w:basedOn w:val="Normal"/>
    <w:next w:val="Normal"/>
    <w:link w:val="Heading8Char"/>
    <w:qFormat/>
    <w:rsid w:val="00945966"/>
    <w:pPr>
      <w:keepNext/>
      <w:tabs>
        <w:tab w:val="center" w:pos="4680"/>
      </w:tabs>
      <w:suppressAutoHyphens/>
      <w:ind w:left="144" w:right="864"/>
      <w:outlineLvl w:val="7"/>
    </w:pPr>
    <w:rPr>
      <w:b/>
    </w:rPr>
  </w:style>
  <w:style w:type="paragraph" w:styleId="Heading9">
    <w:name w:val="heading 9"/>
    <w:basedOn w:val="Normal"/>
    <w:next w:val="Normal"/>
    <w:link w:val="Heading9Char"/>
    <w:qFormat/>
    <w:rsid w:val="00945966"/>
    <w:pPr>
      <w:keepNext/>
      <w:tabs>
        <w:tab w:val="center" w:pos="4680"/>
      </w:tabs>
      <w:suppressAutoHyphens/>
      <w:ind w:left="144" w:right="864"/>
      <w:jc w:val="cente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945966"/>
  </w:style>
  <w:style w:type="character" w:styleId="EndnoteReference">
    <w:name w:val="endnote reference"/>
    <w:semiHidden/>
    <w:rsid w:val="00945966"/>
    <w:rPr>
      <w:vertAlign w:val="superscript"/>
    </w:rPr>
  </w:style>
  <w:style w:type="paragraph" w:styleId="FootnoteText">
    <w:name w:val="footnote text"/>
    <w:aliases w:val="F1,fo,footnote text Char,ft"/>
    <w:basedOn w:val="Normal"/>
    <w:link w:val="FootnoteTextChar0"/>
    <w:uiPriority w:val="99"/>
    <w:rsid w:val="00945966"/>
  </w:style>
  <w:style w:type="character" w:styleId="FootnoteReference">
    <w:name w:val="footnote reference"/>
    <w:aliases w:val="fr"/>
    <w:uiPriority w:val="99"/>
    <w:rsid w:val="00945966"/>
    <w:rPr>
      <w:vertAlign w:val="superscript"/>
    </w:rPr>
  </w:style>
  <w:style w:type="paragraph" w:styleId="TOC1">
    <w:name w:val="toc 1"/>
    <w:basedOn w:val="Normal"/>
    <w:next w:val="Normal"/>
    <w:autoRedefine/>
    <w:uiPriority w:val="39"/>
    <w:rsid w:val="007F51DA"/>
    <w:pPr>
      <w:tabs>
        <w:tab w:val="right" w:leader="dot" w:pos="9360"/>
      </w:tabs>
      <w:suppressAutoHyphens/>
      <w:spacing w:before="240"/>
      <w:ind w:left="720" w:right="414" w:hanging="720"/>
    </w:pPr>
    <w:rPr>
      <w:rFonts w:ascii="Garamond" w:hAnsi="Garamond"/>
      <w:b/>
      <w:bCs/>
    </w:rPr>
  </w:style>
  <w:style w:type="paragraph" w:styleId="TOC2">
    <w:name w:val="toc 2"/>
    <w:basedOn w:val="Normal"/>
    <w:next w:val="Normal"/>
    <w:autoRedefine/>
    <w:uiPriority w:val="39"/>
    <w:rsid w:val="007F51DA"/>
    <w:pPr>
      <w:tabs>
        <w:tab w:val="left" w:pos="2160"/>
        <w:tab w:val="right" w:leader="dot" w:pos="9360"/>
      </w:tabs>
      <w:suppressAutoHyphens/>
      <w:ind w:left="1440" w:right="720" w:hanging="720"/>
    </w:pPr>
  </w:style>
  <w:style w:type="paragraph" w:styleId="TOC3">
    <w:name w:val="toc 3"/>
    <w:basedOn w:val="Normal"/>
    <w:next w:val="Normal"/>
    <w:autoRedefine/>
    <w:uiPriority w:val="39"/>
    <w:rsid w:val="00103F49"/>
    <w:pPr>
      <w:tabs>
        <w:tab w:val="left" w:pos="1200"/>
        <w:tab w:val="right" w:leader="dot" w:pos="9360"/>
      </w:tabs>
      <w:suppressAutoHyphens/>
      <w:ind w:left="2160" w:right="720" w:hanging="720"/>
    </w:pPr>
    <w:rPr>
      <w:rFonts w:ascii="Garamond" w:hAnsi="Garamond"/>
    </w:rPr>
  </w:style>
  <w:style w:type="paragraph" w:styleId="TOC4">
    <w:name w:val="toc 4"/>
    <w:basedOn w:val="Normal"/>
    <w:next w:val="Normal"/>
    <w:autoRedefine/>
    <w:semiHidden/>
    <w:rsid w:val="00945966"/>
    <w:pPr>
      <w:tabs>
        <w:tab w:val="right" w:leader="dot" w:pos="9360"/>
      </w:tabs>
      <w:suppressAutoHyphens/>
      <w:ind w:left="2880" w:right="720" w:hanging="720"/>
    </w:pPr>
  </w:style>
  <w:style w:type="paragraph" w:styleId="TOC5">
    <w:name w:val="toc 5"/>
    <w:basedOn w:val="Normal"/>
    <w:next w:val="Normal"/>
    <w:autoRedefine/>
    <w:semiHidden/>
    <w:rsid w:val="00945966"/>
    <w:pPr>
      <w:tabs>
        <w:tab w:val="right" w:leader="dot" w:pos="9360"/>
      </w:tabs>
      <w:suppressAutoHyphens/>
      <w:ind w:left="3600" w:right="720" w:hanging="720"/>
    </w:pPr>
  </w:style>
  <w:style w:type="paragraph" w:styleId="TOC6">
    <w:name w:val="toc 6"/>
    <w:basedOn w:val="Normal"/>
    <w:next w:val="Normal"/>
    <w:autoRedefine/>
    <w:semiHidden/>
    <w:rsid w:val="00945966"/>
    <w:pPr>
      <w:tabs>
        <w:tab w:val="right" w:pos="9360"/>
      </w:tabs>
      <w:suppressAutoHyphens/>
      <w:ind w:left="720" w:hanging="720"/>
    </w:pPr>
  </w:style>
  <w:style w:type="paragraph" w:styleId="TOC7">
    <w:name w:val="toc 7"/>
    <w:basedOn w:val="Normal"/>
    <w:next w:val="Normal"/>
    <w:autoRedefine/>
    <w:semiHidden/>
    <w:rsid w:val="00945966"/>
    <w:pPr>
      <w:suppressAutoHyphens/>
      <w:ind w:left="720" w:hanging="720"/>
    </w:pPr>
  </w:style>
  <w:style w:type="paragraph" w:styleId="TOC8">
    <w:name w:val="toc 8"/>
    <w:basedOn w:val="Normal"/>
    <w:next w:val="Normal"/>
    <w:autoRedefine/>
    <w:semiHidden/>
    <w:rsid w:val="00945966"/>
    <w:pPr>
      <w:tabs>
        <w:tab w:val="right" w:pos="9360"/>
      </w:tabs>
      <w:suppressAutoHyphens/>
      <w:ind w:left="720" w:hanging="720"/>
    </w:pPr>
  </w:style>
  <w:style w:type="paragraph" w:styleId="TOC9">
    <w:name w:val="toc 9"/>
    <w:basedOn w:val="Normal"/>
    <w:next w:val="Normal"/>
    <w:autoRedefine/>
    <w:semiHidden/>
    <w:rsid w:val="00945966"/>
    <w:pPr>
      <w:tabs>
        <w:tab w:val="right" w:leader="dot" w:pos="9360"/>
      </w:tabs>
      <w:suppressAutoHyphens/>
      <w:ind w:left="720" w:hanging="720"/>
    </w:pPr>
  </w:style>
  <w:style w:type="paragraph" w:styleId="Index1">
    <w:name w:val="index 1"/>
    <w:basedOn w:val="Normal"/>
    <w:next w:val="Normal"/>
    <w:autoRedefine/>
    <w:semiHidden/>
    <w:rsid w:val="00945966"/>
    <w:pPr>
      <w:tabs>
        <w:tab w:val="right" w:leader="dot" w:pos="9360"/>
      </w:tabs>
      <w:suppressAutoHyphens/>
      <w:ind w:left="1440" w:right="720" w:hanging="1440"/>
    </w:pPr>
  </w:style>
  <w:style w:type="paragraph" w:styleId="Index2">
    <w:name w:val="index 2"/>
    <w:basedOn w:val="Normal"/>
    <w:next w:val="Normal"/>
    <w:autoRedefine/>
    <w:semiHidden/>
    <w:rsid w:val="00945966"/>
    <w:pPr>
      <w:tabs>
        <w:tab w:val="right" w:leader="dot" w:pos="9360"/>
      </w:tabs>
      <w:suppressAutoHyphens/>
      <w:ind w:left="1440" w:right="720" w:hanging="720"/>
    </w:pPr>
  </w:style>
  <w:style w:type="paragraph" w:styleId="TOAHeading">
    <w:name w:val="toa heading"/>
    <w:basedOn w:val="Normal"/>
    <w:next w:val="Normal"/>
    <w:semiHidden/>
    <w:rsid w:val="00945966"/>
    <w:pPr>
      <w:tabs>
        <w:tab w:val="right" w:pos="9360"/>
      </w:tabs>
      <w:suppressAutoHyphens/>
    </w:pPr>
  </w:style>
  <w:style w:type="paragraph" w:styleId="Caption">
    <w:name w:val="caption"/>
    <w:basedOn w:val="Normal"/>
    <w:next w:val="Normal"/>
    <w:qFormat/>
    <w:rsid w:val="00945966"/>
  </w:style>
  <w:style w:type="character" w:customStyle="1" w:styleId="EquationCaption">
    <w:name w:val="_Equation Caption"/>
    <w:rsid w:val="00945966"/>
  </w:style>
  <w:style w:type="paragraph" w:styleId="BodyTextIndent">
    <w:name w:val="Body Text Indent"/>
    <w:basedOn w:val="Normal"/>
    <w:link w:val="BodyTextIndentChar"/>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474" w:hanging="474"/>
    </w:pPr>
  </w:style>
  <w:style w:type="paragraph" w:styleId="DocumentMap">
    <w:name w:val="Document Map"/>
    <w:basedOn w:val="Normal"/>
    <w:link w:val="DocumentMapChar"/>
    <w:rsid w:val="00945966"/>
    <w:pPr>
      <w:shd w:val="clear" w:color="auto" w:fill="000080"/>
    </w:pPr>
    <w:rPr>
      <w:rFonts w:ascii="Tahoma" w:hAnsi="Tahoma"/>
    </w:rPr>
  </w:style>
  <w:style w:type="character" w:customStyle="1" w:styleId="DocumentMapChar">
    <w:name w:val="Document Map Char"/>
    <w:link w:val="DocumentMap"/>
    <w:rsid w:val="003C7693"/>
    <w:rPr>
      <w:rFonts w:ascii="Tahoma" w:hAnsi="Tahoma"/>
      <w:snapToGrid w:val="0"/>
      <w:sz w:val="24"/>
      <w:shd w:val="clear" w:color="auto" w:fill="000080"/>
    </w:rPr>
  </w:style>
  <w:style w:type="paragraph" w:styleId="BodyTextIndent2">
    <w:name w:val="Body Text Indent 2"/>
    <w:basedOn w:val="Normal"/>
    <w:link w:val="BodyTextIndent2Char"/>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1422" w:hanging="1422"/>
    </w:pPr>
  </w:style>
  <w:style w:type="paragraph" w:styleId="BlockText">
    <w:name w:val="Block Text"/>
    <w:basedOn w:val="Normal"/>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390" w:right="864"/>
    </w:pPr>
  </w:style>
  <w:style w:type="paragraph" w:styleId="BodyText">
    <w:name w:val="Body Text"/>
    <w:basedOn w:val="Normal"/>
    <w:link w:val="BodyTextChar"/>
    <w:rsid w:val="00945966"/>
    <w:pPr>
      <w:tabs>
        <w:tab w:val="left" w:pos="0"/>
        <w:tab w:val="right" w:leader="dot" w:pos="474"/>
        <w:tab w:val="right" w:leader="dot" w:pos="948"/>
        <w:tab w:val="right" w:leader="dot" w:pos="9360"/>
      </w:tabs>
      <w:suppressAutoHyphens/>
      <w:ind w:right="864"/>
      <w:outlineLvl w:val="0"/>
    </w:pPr>
    <w:rPr>
      <w:b/>
    </w:rPr>
  </w:style>
  <w:style w:type="paragraph" w:styleId="BodyText2">
    <w:name w:val="Body Text 2"/>
    <w:basedOn w:val="Normal"/>
    <w:link w:val="BodyText2Char"/>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8640"/>
        <w:tab w:val="left" w:pos="9025"/>
        <w:tab w:val="left" w:pos="9360"/>
      </w:tabs>
      <w:suppressAutoHyphens/>
      <w:ind w:right="720"/>
    </w:pPr>
  </w:style>
  <w:style w:type="character" w:customStyle="1" w:styleId="BodyText2Char">
    <w:name w:val="Body Text 2 Char"/>
    <w:link w:val="BodyText2"/>
    <w:rsid w:val="003C7693"/>
    <w:rPr>
      <w:snapToGrid w:val="0"/>
      <w:sz w:val="24"/>
    </w:rPr>
  </w:style>
  <w:style w:type="paragraph" w:styleId="Footer">
    <w:name w:val="footer"/>
    <w:basedOn w:val="Normal"/>
    <w:link w:val="FooterChar"/>
    <w:uiPriority w:val="99"/>
    <w:rsid w:val="00945966"/>
    <w:pPr>
      <w:tabs>
        <w:tab w:val="center" w:pos="4320"/>
        <w:tab w:val="right" w:pos="8640"/>
      </w:tabs>
    </w:pPr>
  </w:style>
  <w:style w:type="character" w:customStyle="1" w:styleId="FooterChar">
    <w:name w:val="Footer Char"/>
    <w:link w:val="Footer"/>
    <w:uiPriority w:val="99"/>
    <w:rsid w:val="00FB3D05"/>
    <w:rPr>
      <w:snapToGrid w:val="0"/>
      <w:sz w:val="24"/>
    </w:rPr>
  </w:style>
  <w:style w:type="character" w:styleId="PageNumber">
    <w:name w:val="page number"/>
    <w:aliases w:val="pn"/>
    <w:basedOn w:val="DefaultParagraphFont"/>
    <w:rsid w:val="00945966"/>
  </w:style>
  <w:style w:type="paragraph" w:styleId="Header">
    <w:name w:val="header"/>
    <w:basedOn w:val="Normal"/>
    <w:link w:val="HeaderChar"/>
    <w:rsid w:val="00945966"/>
    <w:pPr>
      <w:tabs>
        <w:tab w:val="center" w:pos="4320"/>
        <w:tab w:val="right" w:pos="8640"/>
      </w:tabs>
    </w:pPr>
  </w:style>
  <w:style w:type="paragraph" w:styleId="Title">
    <w:name w:val="Title"/>
    <w:basedOn w:val="Normal"/>
    <w:link w:val="TitleChar"/>
    <w:uiPriority w:val="10"/>
    <w:qFormat/>
    <w:rsid w:val="00945966"/>
    <w:pPr>
      <w:tabs>
        <w:tab w:val="center" w:pos="4680"/>
        <w:tab w:val="left" w:pos="8640"/>
      </w:tabs>
      <w:suppressAutoHyphens/>
      <w:ind w:right="720"/>
      <w:jc w:val="center"/>
      <w:outlineLvl w:val="0"/>
    </w:pPr>
    <w:rPr>
      <w:b/>
      <w:sz w:val="28"/>
    </w:rPr>
  </w:style>
  <w:style w:type="paragraph" w:styleId="PlainText">
    <w:name w:val="Plain Text"/>
    <w:basedOn w:val="Normal"/>
    <w:link w:val="PlainTextChar"/>
    <w:semiHidden/>
    <w:rsid w:val="00945966"/>
    <w:pPr>
      <w:widowControl/>
    </w:pPr>
    <w:rPr>
      <w:rFonts w:ascii="Courier New" w:hAnsi="Courier New"/>
      <w:b/>
      <w:snapToGrid/>
      <w:sz w:val="20"/>
    </w:rPr>
  </w:style>
  <w:style w:type="paragraph" w:styleId="BodyText3">
    <w:name w:val="Body Text 3"/>
    <w:basedOn w:val="Normal"/>
    <w:link w:val="BodyText3Char"/>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8640"/>
        <w:tab w:val="left" w:pos="9025"/>
        <w:tab w:val="left" w:pos="9360"/>
      </w:tabs>
      <w:suppressAutoHyphens/>
      <w:ind w:right="720"/>
      <w:outlineLvl w:val="0"/>
    </w:pPr>
    <w:rPr>
      <w:b/>
      <w:bCs/>
    </w:rPr>
  </w:style>
  <w:style w:type="character" w:customStyle="1" w:styleId="BodyText3Char">
    <w:name w:val="Body Text 3 Char"/>
    <w:link w:val="BodyText3"/>
    <w:rsid w:val="003C7693"/>
    <w:rPr>
      <w:b/>
      <w:bCs/>
      <w:snapToGrid w:val="0"/>
      <w:sz w:val="24"/>
    </w:rPr>
  </w:style>
  <w:style w:type="paragraph" w:customStyle="1" w:styleId="a">
    <w:name w:val="_"/>
    <w:rsid w:val="00945966"/>
    <w:pPr>
      <w:widowControl w:val="0"/>
      <w:ind w:left="720"/>
    </w:pPr>
    <w:rPr>
      <w:rFonts w:ascii="Roman-WP" w:hAnsi="Roman-WP"/>
      <w:sz w:val="24"/>
      <w:szCs w:val="24"/>
    </w:rPr>
  </w:style>
  <w:style w:type="paragraph" w:customStyle="1" w:styleId="4Document">
    <w:name w:val="4Document"/>
    <w:rsid w:val="00945966"/>
    <w:pPr>
      <w:widowControl w:val="0"/>
    </w:pPr>
    <w:rPr>
      <w:rFonts w:ascii="Roman-WP" w:hAnsi="Roman-WP"/>
      <w:sz w:val="24"/>
      <w:szCs w:val="24"/>
    </w:rPr>
  </w:style>
  <w:style w:type="character" w:styleId="Hyperlink">
    <w:name w:val="Hyperlink"/>
    <w:uiPriority w:val="99"/>
    <w:rsid w:val="00945966"/>
    <w:rPr>
      <w:color w:val="0000FF"/>
      <w:u w:val="single"/>
    </w:rPr>
  </w:style>
  <w:style w:type="paragraph" w:customStyle="1" w:styleId="Heading31">
    <w:name w:val="Heading3 1"/>
    <w:basedOn w:val="Normal"/>
    <w:rsid w:val="00945966"/>
    <w:pPr>
      <w:widowControl/>
      <w:numPr>
        <w:numId w:val="8"/>
      </w:numPr>
    </w:pPr>
    <w:rPr>
      <w:caps/>
      <w:snapToGrid/>
      <w:sz w:val="32"/>
    </w:rPr>
  </w:style>
  <w:style w:type="paragraph" w:styleId="BalloonText">
    <w:name w:val="Balloon Text"/>
    <w:basedOn w:val="Normal"/>
    <w:link w:val="BalloonTextChar"/>
    <w:rsid w:val="00945966"/>
    <w:rPr>
      <w:rFonts w:ascii="Tahoma" w:hAnsi="Tahoma"/>
      <w:sz w:val="16"/>
      <w:szCs w:val="16"/>
    </w:rPr>
  </w:style>
  <w:style w:type="character" w:customStyle="1" w:styleId="BalloonTextChar">
    <w:name w:val="Balloon Text Char"/>
    <w:link w:val="BalloonText"/>
    <w:rsid w:val="003C7693"/>
    <w:rPr>
      <w:rFonts w:ascii="Tahoma" w:hAnsi="Tahoma" w:cs="Tahoma"/>
      <w:snapToGrid w:val="0"/>
      <w:sz w:val="16"/>
      <w:szCs w:val="16"/>
    </w:rPr>
  </w:style>
  <w:style w:type="paragraph" w:customStyle="1" w:styleId="Normal3">
    <w:name w:val="Normal3"/>
    <w:basedOn w:val="Normal"/>
    <w:rsid w:val="00945966"/>
    <w:pPr>
      <w:widowControl/>
      <w:autoSpaceDE w:val="0"/>
      <w:autoSpaceDN w:val="0"/>
      <w:adjustRightInd w:val="0"/>
    </w:pPr>
    <w:rPr>
      <w:b/>
      <w:snapToGrid/>
      <w:color w:val="000000"/>
    </w:rPr>
  </w:style>
  <w:style w:type="paragraph" w:styleId="Date">
    <w:name w:val="Date"/>
    <w:basedOn w:val="Normal"/>
    <w:next w:val="Normal"/>
    <w:link w:val="DateChar"/>
    <w:semiHidden/>
    <w:rsid w:val="00945966"/>
    <w:pPr>
      <w:widowControl/>
      <w:autoSpaceDE w:val="0"/>
      <w:autoSpaceDN w:val="0"/>
      <w:adjustRightInd w:val="0"/>
    </w:pPr>
    <w:rPr>
      <w:snapToGrid/>
      <w:color w:val="000000"/>
    </w:rPr>
  </w:style>
  <w:style w:type="paragraph" w:styleId="NormalWeb">
    <w:name w:val="Normal (Web)"/>
    <w:basedOn w:val="Normal"/>
    <w:uiPriority w:val="99"/>
    <w:semiHidden/>
    <w:rsid w:val="00945966"/>
    <w:pPr>
      <w:widowControl/>
      <w:spacing w:before="100" w:beforeAutospacing="1" w:after="100" w:afterAutospacing="1"/>
    </w:pPr>
    <w:rPr>
      <w:snapToGrid/>
      <w:szCs w:val="24"/>
    </w:rPr>
  </w:style>
  <w:style w:type="paragraph" w:styleId="BodyTextIndent3">
    <w:name w:val="Body Text Indent 3"/>
    <w:basedOn w:val="Normal"/>
    <w:link w:val="BodyTextIndent3Char"/>
    <w:semiHidden/>
    <w:rsid w:val="00945966"/>
    <w:pPr>
      <w:spacing w:before="100" w:beforeAutospacing="1" w:after="100" w:afterAutospacing="1"/>
      <w:ind w:left="480"/>
    </w:pPr>
  </w:style>
  <w:style w:type="character" w:styleId="FollowedHyperlink">
    <w:name w:val="FollowedHyperlink"/>
    <w:semiHidden/>
    <w:rsid w:val="00945966"/>
    <w:rPr>
      <w:color w:val="800080"/>
      <w:u w:val="single"/>
    </w:rPr>
  </w:style>
  <w:style w:type="paragraph" w:customStyle="1" w:styleId="Bullet1">
    <w:name w:val="Bullet1"/>
    <w:basedOn w:val="Normal"/>
    <w:rsid w:val="00945966"/>
    <w:pPr>
      <w:widowControl/>
      <w:numPr>
        <w:numId w:val="4"/>
      </w:numPr>
      <w:overflowPunct w:val="0"/>
      <w:autoSpaceDE w:val="0"/>
      <w:autoSpaceDN w:val="0"/>
      <w:adjustRightInd w:val="0"/>
      <w:spacing w:after="120"/>
      <w:ind w:left="1440"/>
      <w:textAlignment w:val="baseline"/>
    </w:pPr>
    <w:rPr>
      <w:snapToGrid/>
    </w:rPr>
  </w:style>
  <w:style w:type="paragraph" w:customStyle="1" w:styleId="5ensptotal">
    <w:name w:val="5 en sp (total)"/>
    <w:basedOn w:val="Normal"/>
    <w:rsid w:val="00945966"/>
    <w:pPr>
      <w:keepNext/>
      <w:widowControl/>
      <w:spacing w:before="40" w:after="40"/>
      <w:ind w:left="908" w:hanging="346"/>
    </w:pPr>
    <w:rPr>
      <w:rFonts w:ascii="Arial" w:hAnsi="Arial" w:cs="Arial"/>
      <w:snapToGrid/>
      <w:kern w:val="2"/>
      <w:sz w:val="20"/>
    </w:rPr>
  </w:style>
  <w:style w:type="paragraph" w:customStyle="1" w:styleId="tabletitle-continued">
    <w:name w:val="table title - continued"/>
    <w:basedOn w:val="TableTitle"/>
    <w:rsid w:val="00945966"/>
  </w:style>
  <w:style w:type="paragraph" w:customStyle="1" w:styleId="TableTitle">
    <w:name w:val="Table Title"/>
    <w:basedOn w:val="Normal"/>
    <w:rsid w:val="00945966"/>
    <w:pPr>
      <w:keepNext/>
      <w:widowControl/>
      <w:spacing w:before="240" w:after="80"/>
      <w:ind w:left="990" w:hanging="990"/>
    </w:pPr>
    <w:rPr>
      <w:rFonts w:ascii="Arial" w:hAnsi="Arial"/>
      <w:b/>
      <w:snapToGrid/>
      <w:sz w:val="20"/>
    </w:rPr>
  </w:style>
  <w:style w:type="paragraph" w:styleId="ListBullet2">
    <w:name w:val="List Bullet 2"/>
    <w:basedOn w:val="Normal"/>
    <w:semiHidden/>
    <w:rsid w:val="00945966"/>
    <w:pPr>
      <w:widowControl/>
      <w:numPr>
        <w:numId w:val="2"/>
      </w:numPr>
      <w:spacing w:before="120"/>
    </w:pPr>
    <w:rPr>
      <w:snapToGrid/>
    </w:rPr>
  </w:style>
  <w:style w:type="paragraph" w:customStyle="1" w:styleId="bulletround">
    <w:name w:val="bullet round"/>
    <w:basedOn w:val="Normal"/>
    <w:rsid w:val="00945966"/>
    <w:pPr>
      <w:widowControl/>
      <w:numPr>
        <w:numId w:val="1"/>
      </w:numPr>
      <w:spacing w:after="120"/>
      <w:ind w:left="1080"/>
    </w:pPr>
    <w:rPr>
      <w:rFonts w:cs="Arial"/>
      <w:snapToGrid/>
    </w:rPr>
  </w:style>
  <w:style w:type="paragraph" w:customStyle="1" w:styleId="Number1">
    <w:name w:val="Number1"/>
    <w:semiHidden/>
    <w:rsid w:val="00945966"/>
    <w:pPr>
      <w:numPr>
        <w:numId w:val="3"/>
      </w:numPr>
      <w:tabs>
        <w:tab w:val="num" w:pos="1080"/>
      </w:tabs>
      <w:spacing w:before="240"/>
      <w:ind w:left="1080"/>
    </w:pPr>
    <w:rPr>
      <w:sz w:val="24"/>
    </w:rPr>
  </w:style>
  <w:style w:type="paragraph" w:customStyle="1" w:styleId="Figuretitle">
    <w:name w:val="Figure title"/>
    <w:basedOn w:val="Normal"/>
    <w:autoRedefine/>
    <w:rsid w:val="00945966"/>
    <w:pPr>
      <w:keepNext/>
      <w:widowControl/>
      <w:spacing w:before="240" w:after="120"/>
      <w:ind w:left="1233" w:hanging="1233"/>
    </w:pPr>
    <w:rPr>
      <w:rFonts w:ascii="Arial" w:hAnsi="Arial"/>
      <w:b/>
      <w:snapToGrid/>
      <w:sz w:val="20"/>
    </w:rPr>
  </w:style>
  <w:style w:type="paragraph" w:customStyle="1" w:styleId="NCESheaderodd">
    <w:name w:val="NCES header odd"/>
    <w:basedOn w:val="Normal"/>
    <w:rsid w:val="00945966"/>
    <w:pPr>
      <w:widowControl/>
      <w:pBdr>
        <w:bottom w:val="single" w:sz="8" w:space="1" w:color="auto"/>
      </w:pBdr>
      <w:spacing w:after="100" w:afterAutospacing="1"/>
      <w:jc w:val="right"/>
    </w:pPr>
    <w:rPr>
      <w:rFonts w:ascii="Arial" w:hAnsi="Arial"/>
      <w:smallCaps/>
      <w:noProof/>
      <w:snapToGrid/>
      <w:sz w:val="18"/>
      <w:szCs w:val="18"/>
    </w:rPr>
  </w:style>
  <w:style w:type="paragraph" w:customStyle="1" w:styleId="NCESheadereven">
    <w:name w:val="NCES  header even"/>
    <w:basedOn w:val="Normal"/>
    <w:rsid w:val="00945966"/>
    <w:pPr>
      <w:widowControl/>
      <w:pBdr>
        <w:bottom w:val="single" w:sz="8" w:space="1" w:color="auto"/>
      </w:pBdr>
    </w:pPr>
    <w:rPr>
      <w:rFonts w:ascii="Arial" w:hAnsi="Arial"/>
      <w:smallCaps/>
      <w:snapToGrid/>
      <w:sz w:val="18"/>
    </w:rPr>
  </w:style>
  <w:style w:type="paragraph" w:customStyle="1" w:styleId="Source">
    <w:name w:val="Source"/>
    <w:basedOn w:val="Normal"/>
    <w:next w:val="BodyText"/>
    <w:rsid w:val="00945966"/>
    <w:pPr>
      <w:widowControl/>
      <w:spacing w:before="40"/>
    </w:pPr>
    <w:rPr>
      <w:rFonts w:ascii="Arial" w:hAnsi="Arial"/>
      <w:snapToGrid/>
      <w:sz w:val="18"/>
      <w:szCs w:val="18"/>
    </w:rPr>
  </w:style>
  <w:style w:type="paragraph" w:customStyle="1" w:styleId="figurewobox">
    <w:name w:val="figure w/o box"/>
    <w:basedOn w:val="Normal"/>
    <w:rsid w:val="00945966"/>
    <w:pPr>
      <w:widowControl/>
      <w:jc w:val="center"/>
    </w:pPr>
    <w:rPr>
      <w:rFonts w:ascii="Arial" w:hAnsi="Arial"/>
      <w:snapToGrid/>
      <w:sz w:val="20"/>
    </w:rPr>
  </w:style>
  <w:style w:type="paragraph" w:styleId="ListBullet">
    <w:name w:val="List Bullet"/>
    <w:basedOn w:val="Normal"/>
    <w:autoRedefine/>
    <w:semiHidden/>
    <w:rsid w:val="00945966"/>
    <w:pPr>
      <w:widowControl/>
    </w:pPr>
    <w:rPr>
      <w:snapToGrid/>
    </w:rPr>
  </w:style>
  <w:style w:type="paragraph" w:customStyle="1" w:styleId="Tabletext">
    <w:name w:val="Table text"/>
    <w:basedOn w:val="Normal"/>
    <w:rsid w:val="00945966"/>
    <w:pPr>
      <w:keepNext/>
      <w:widowControl/>
      <w:spacing w:before="40" w:after="40"/>
      <w:ind w:left="317" w:hanging="317"/>
    </w:pPr>
    <w:rPr>
      <w:rFonts w:ascii="Arial" w:hAnsi="Arial"/>
      <w:snapToGrid/>
      <w:sz w:val="20"/>
    </w:rPr>
  </w:style>
  <w:style w:type="paragraph" w:customStyle="1" w:styleId="ESHeading2">
    <w:name w:val="ES Heading 2"/>
    <w:basedOn w:val="Heading2"/>
    <w:rsid w:val="00945966"/>
    <w:pPr>
      <w:widowControl/>
      <w:numPr>
        <w:ilvl w:val="1"/>
        <w:numId w:val="9"/>
      </w:numPr>
      <w:tabs>
        <w:tab w:val="clear" w:pos="0"/>
        <w:tab w:val="clear" w:pos="474"/>
        <w:tab w:val="clear" w:pos="948"/>
        <w:tab w:val="left" w:pos="1080"/>
        <w:tab w:val="clear" w:pos="9360"/>
      </w:tabs>
      <w:suppressAutoHyphens w:val="0"/>
      <w:overflowPunct w:val="0"/>
      <w:autoSpaceDE w:val="0"/>
      <w:autoSpaceDN w:val="0"/>
      <w:adjustRightInd w:val="0"/>
      <w:spacing w:before="240" w:after="120"/>
      <w:ind w:left="1080" w:hanging="540"/>
      <w:textAlignment w:val="baseline"/>
    </w:pPr>
    <w:rPr>
      <w:rFonts w:ascii="Arial" w:hAnsi="Arial" w:cs="Arial"/>
      <w:b w:val="0"/>
      <w:bCs w:val="0"/>
      <w:iCs/>
      <w:snapToGrid/>
      <w:szCs w:val="28"/>
    </w:rPr>
  </w:style>
  <w:style w:type="paragraph" w:styleId="CommentText">
    <w:name w:val="annotation text"/>
    <w:basedOn w:val="Normal"/>
    <w:link w:val="CommentTextChar"/>
    <w:uiPriority w:val="99"/>
    <w:rsid w:val="00945966"/>
    <w:pPr>
      <w:widowControl/>
    </w:pPr>
    <w:rPr>
      <w:snapToGrid/>
      <w:sz w:val="20"/>
    </w:rPr>
  </w:style>
  <w:style w:type="paragraph" w:styleId="CommentSubject">
    <w:name w:val="annotation subject"/>
    <w:basedOn w:val="CommentText"/>
    <w:next w:val="CommentText"/>
    <w:link w:val="CommentSubjectChar"/>
    <w:semiHidden/>
    <w:rsid w:val="00945966"/>
    <w:rPr>
      <w:b/>
      <w:bCs/>
    </w:rPr>
  </w:style>
  <w:style w:type="paragraph" w:customStyle="1" w:styleId="2enspsubgroup1">
    <w:name w:val="2 en sp (subgroup 1)"/>
    <w:basedOn w:val="Tabletext"/>
    <w:rsid w:val="00945966"/>
    <w:pPr>
      <w:ind w:left="576" w:hanging="346"/>
    </w:pPr>
    <w:rPr>
      <w:kern w:val="2"/>
    </w:rPr>
  </w:style>
  <w:style w:type="paragraph" w:customStyle="1" w:styleId="4enspsubgroup2">
    <w:name w:val="4 en sp (subgroup 2)"/>
    <w:basedOn w:val="2enspsubgroup1"/>
    <w:rsid w:val="00945966"/>
    <w:pPr>
      <w:ind w:left="794" w:hanging="351"/>
    </w:pPr>
  </w:style>
  <w:style w:type="paragraph" w:customStyle="1" w:styleId="ESHeading3">
    <w:name w:val="ES Heading 3"/>
    <w:basedOn w:val="Heading3"/>
    <w:rsid w:val="00945966"/>
    <w:pPr>
      <w:widowControl/>
      <w:numPr>
        <w:ilvl w:val="2"/>
        <w:numId w:val="9"/>
      </w:numPr>
      <w:tabs>
        <w:tab w:val="clear" w:pos="0"/>
        <w:tab w:val="clear" w:pos="474"/>
        <w:tab w:val="clear" w:pos="948"/>
        <w:tab w:val="clear" w:pos="1422"/>
        <w:tab w:val="left" w:pos="1620"/>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40" w:after="120"/>
      <w:ind w:left="1620" w:hanging="540"/>
    </w:pPr>
    <w:rPr>
      <w:rFonts w:ascii="Arial" w:hAnsi="Arial" w:cs="Arial"/>
      <w:b w:val="0"/>
      <w:bCs w:val="0"/>
      <w:snapToGrid/>
      <w:szCs w:val="24"/>
    </w:rPr>
  </w:style>
  <w:style w:type="paragraph" w:customStyle="1" w:styleId="ESHeading4">
    <w:name w:val="ES Heading 4"/>
    <w:basedOn w:val="Heading4"/>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40" w:after="60"/>
      <w:ind w:left="720" w:right="0" w:firstLine="0"/>
    </w:pPr>
    <w:rPr>
      <w:rFonts w:ascii="Arial" w:hAnsi="Arial"/>
      <w:bCs/>
      <w:snapToGrid/>
      <w:sz w:val="22"/>
      <w:szCs w:val="22"/>
    </w:rPr>
  </w:style>
  <w:style w:type="paragraph" w:customStyle="1" w:styleId="6enspitem">
    <w:name w:val="6 en sp (item)"/>
    <w:basedOn w:val="4enspsubgroup2"/>
    <w:rsid w:val="00945966"/>
    <w:pPr>
      <w:ind w:left="1019"/>
    </w:pPr>
  </w:style>
  <w:style w:type="paragraph" w:customStyle="1" w:styleId="AppendixTitle">
    <w:name w:val="Appendix Title"/>
    <w:basedOn w:val="Heading1"/>
    <w:rsid w:val="00945966"/>
    <w:pPr>
      <w:widowControl/>
      <w:pBdr>
        <w:bottom w:val="thinThickSmallGap" w:sz="24" w:space="1" w:color="auto"/>
      </w:pBdr>
      <w:tabs>
        <w:tab w:val="clear" w:pos="0"/>
        <w:tab w:val="clear" w:pos="474"/>
        <w:tab w:val="left" w:pos="540"/>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5000" w:after="120"/>
      <w:ind w:left="0" w:firstLine="0"/>
      <w:jc w:val="right"/>
    </w:pPr>
    <w:rPr>
      <w:rFonts w:ascii="Arial" w:hAnsi="Arial" w:cs="Arial"/>
      <w:snapToGrid/>
      <w:sz w:val="40"/>
      <w:szCs w:val="28"/>
    </w:rPr>
  </w:style>
  <w:style w:type="paragraph" w:customStyle="1" w:styleId="Title2">
    <w:name w:val="Title2"/>
    <w:basedOn w:val="Title"/>
    <w:rsid w:val="00945966"/>
    <w:pPr>
      <w:keepNext/>
      <w:widowControl/>
      <w:tabs>
        <w:tab w:val="clear" w:pos="4680"/>
        <w:tab w:val="clear" w:pos="8640"/>
      </w:tabs>
      <w:suppressAutoHyphens w:val="0"/>
      <w:spacing w:after="360"/>
      <w:ind w:right="0"/>
    </w:pPr>
    <w:rPr>
      <w:rFonts w:ascii="Arial" w:hAnsi="Arial" w:cs="Arial"/>
      <w:snapToGrid/>
      <w:sz w:val="24"/>
    </w:rPr>
  </w:style>
  <w:style w:type="paragraph" w:styleId="TOCHeading">
    <w:name w:val="TOC Heading"/>
    <w:uiPriority w:val="39"/>
    <w:qFormat/>
    <w:rsid w:val="00945966"/>
    <w:pPr>
      <w:spacing w:after="360"/>
    </w:pPr>
    <w:rPr>
      <w:rFonts w:ascii="Arial" w:hAnsi="Arial" w:cs="Arial"/>
      <w:b/>
      <w:sz w:val="32"/>
    </w:rPr>
  </w:style>
  <w:style w:type="paragraph" w:customStyle="1" w:styleId="3ensptotalnosubgroup">
    <w:name w:val="3 en sp (total no subgroup)"/>
    <w:basedOn w:val="4enspsubgroup2"/>
    <w:rsid w:val="00945966"/>
    <w:pPr>
      <w:ind w:left="675" w:hanging="342"/>
    </w:pPr>
    <w:rPr>
      <w:rFonts w:eastAsia="Arial Unicode MS"/>
    </w:rPr>
  </w:style>
  <w:style w:type="paragraph" w:customStyle="1" w:styleId="NCESfootnoteCharCharChar">
    <w:name w:val="NCES footnote Char Char Char"/>
    <w:basedOn w:val="Normal"/>
    <w:rsid w:val="00945966"/>
    <w:pPr>
      <w:widowControl/>
    </w:pPr>
    <w:rPr>
      <w:rFonts w:ascii="Arial" w:hAnsi="Arial"/>
      <w:snapToGrid/>
      <w:sz w:val="18"/>
      <w:szCs w:val="18"/>
    </w:rPr>
  </w:style>
  <w:style w:type="paragraph" w:customStyle="1" w:styleId="NCESfootnote">
    <w:name w:val="NCES footnote"/>
    <w:basedOn w:val="Normal"/>
    <w:rsid w:val="00945966"/>
    <w:pPr>
      <w:widowControl/>
    </w:pPr>
    <w:rPr>
      <w:rFonts w:ascii="Arial" w:hAnsi="Arial"/>
      <w:snapToGrid/>
      <w:sz w:val="18"/>
      <w:szCs w:val="18"/>
    </w:rPr>
  </w:style>
  <w:style w:type="paragraph" w:customStyle="1" w:styleId="Tableheading">
    <w:name w:val="Table heading"/>
    <w:basedOn w:val="Tabletext"/>
    <w:rsid w:val="00945966"/>
    <w:pPr>
      <w:ind w:left="0" w:firstLine="0"/>
      <w:jc w:val="right"/>
    </w:pPr>
  </w:style>
  <w:style w:type="paragraph" w:customStyle="1" w:styleId="NCESoddfooter">
    <w:name w:val="NCES odd footer"/>
    <w:basedOn w:val="Normal"/>
    <w:rsid w:val="00945966"/>
    <w:pPr>
      <w:widowControl/>
      <w:tabs>
        <w:tab w:val="center" w:pos="4320"/>
        <w:tab w:val="right" w:pos="9360"/>
      </w:tabs>
      <w:jc w:val="right"/>
    </w:pPr>
    <w:rPr>
      <w:rFonts w:ascii="Arial" w:hAnsi="Arial"/>
      <w:smallCaps/>
      <w:snapToGrid/>
      <w:sz w:val="18"/>
      <w:szCs w:val="22"/>
    </w:rPr>
  </w:style>
  <w:style w:type="paragraph" w:customStyle="1" w:styleId="Tablenotes">
    <w:name w:val="Table notes"/>
    <w:rsid w:val="00945966"/>
    <w:rPr>
      <w:rFonts w:ascii="Arial" w:hAnsi="Arial"/>
      <w:noProof/>
      <w:sz w:val="18"/>
      <w:szCs w:val="18"/>
    </w:rPr>
  </w:style>
  <w:style w:type="paragraph" w:customStyle="1" w:styleId="ListBullet21">
    <w:name w:val="List Bullet 21"/>
    <w:basedOn w:val="ListBullet"/>
    <w:rsid w:val="00945966"/>
    <w:pPr>
      <w:numPr>
        <w:numId w:val="10"/>
      </w:numPr>
      <w:tabs>
        <w:tab w:val="clear" w:pos="360"/>
        <w:tab w:val="num" w:pos="1080"/>
      </w:tabs>
      <w:spacing w:before="120"/>
      <w:ind w:left="1080"/>
    </w:pPr>
  </w:style>
  <w:style w:type="paragraph" w:customStyle="1" w:styleId="Biblio">
    <w:name w:val="Biblio"/>
    <w:basedOn w:val="Normal"/>
    <w:rsid w:val="00945966"/>
    <w:pPr>
      <w:keepLines/>
      <w:widowControl/>
      <w:spacing w:after="240"/>
      <w:ind w:left="360" w:hanging="360"/>
    </w:pPr>
    <w:rPr>
      <w:snapToGrid/>
      <w:kern w:val="2"/>
    </w:rPr>
  </w:style>
  <w:style w:type="paragraph" w:customStyle="1" w:styleId="footnote">
    <w:name w:val="footnote"/>
    <w:basedOn w:val="Normal"/>
    <w:rsid w:val="00945966"/>
    <w:pPr>
      <w:widowControl/>
    </w:pPr>
    <w:rPr>
      <w:rFonts w:ascii="Arial" w:hAnsi="Arial"/>
      <w:snapToGrid/>
      <w:sz w:val="18"/>
    </w:rPr>
  </w:style>
  <w:style w:type="paragraph" w:customStyle="1" w:styleId="Cov-Address">
    <w:name w:val="Cov-Address"/>
    <w:basedOn w:val="Normal"/>
    <w:rsid w:val="00945966"/>
    <w:pPr>
      <w:widowControl/>
      <w:jc w:val="right"/>
    </w:pPr>
    <w:rPr>
      <w:rFonts w:ascii="Arial" w:hAnsi="Arial"/>
      <w:snapToGrid/>
    </w:rPr>
  </w:style>
  <w:style w:type="paragraph" w:customStyle="1" w:styleId="Bodytextnoindent">
    <w:name w:val="Body text no indent"/>
    <w:basedOn w:val="BodyText"/>
    <w:rsid w:val="00945966"/>
    <w:pPr>
      <w:widowControl/>
      <w:tabs>
        <w:tab w:val="clear" w:pos="0"/>
        <w:tab w:val="clear" w:pos="474"/>
        <w:tab w:val="clear" w:pos="948"/>
        <w:tab w:val="clear" w:pos="9360"/>
      </w:tabs>
      <w:suppressAutoHyphens w:val="0"/>
      <w:spacing w:before="120" w:after="120"/>
      <w:ind w:right="0"/>
      <w:outlineLvl w:val="9"/>
    </w:pPr>
    <w:rPr>
      <w:b w:val="0"/>
      <w:snapToGrid/>
    </w:rPr>
  </w:style>
  <w:style w:type="paragraph" w:customStyle="1" w:styleId="AppH2">
    <w:name w:val="App H2"/>
    <w:basedOn w:val="Heading2"/>
    <w:rsid w:val="00945966"/>
    <w:pPr>
      <w:widowControl/>
      <w:tabs>
        <w:tab w:val="clear" w:pos="0"/>
        <w:tab w:val="clear" w:pos="474"/>
        <w:tab w:val="left" w:pos="720"/>
        <w:tab w:val="clear" w:pos="948"/>
        <w:tab w:val="clear" w:pos="9360"/>
      </w:tabs>
      <w:suppressAutoHyphens w:val="0"/>
      <w:overflowPunct w:val="0"/>
      <w:autoSpaceDE w:val="0"/>
      <w:autoSpaceDN w:val="0"/>
      <w:adjustRightInd w:val="0"/>
      <w:spacing w:before="240" w:after="120"/>
      <w:ind w:left="720" w:hanging="720"/>
      <w:textAlignment w:val="baseline"/>
    </w:pPr>
    <w:rPr>
      <w:rFonts w:ascii="Arial" w:hAnsi="Arial" w:cs="Arial"/>
      <w:b w:val="0"/>
      <w:bCs w:val="0"/>
      <w:iCs/>
      <w:snapToGrid/>
      <w:szCs w:val="28"/>
    </w:rPr>
  </w:style>
  <w:style w:type="paragraph" w:customStyle="1" w:styleId="NCESevenfooter">
    <w:name w:val="NCES even footer"/>
    <w:basedOn w:val="NCESoddfooter"/>
    <w:rsid w:val="00945966"/>
    <w:pPr>
      <w:tabs>
        <w:tab w:val="clear" w:pos="4320"/>
      </w:tabs>
    </w:pPr>
    <w:rPr>
      <w:szCs w:val="20"/>
    </w:rPr>
  </w:style>
  <w:style w:type="paragraph" w:customStyle="1" w:styleId="asource">
    <w:name w:val="asource"/>
    <w:basedOn w:val="Normal"/>
    <w:rsid w:val="00945966"/>
    <w:pPr>
      <w:widowControl/>
    </w:pPr>
    <w:rPr>
      <w:rFonts w:ascii="Arial" w:hAnsi="Arial"/>
      <w:snapToGrid/>
      <w:sz w:val="18"/>
      <w:szCs w:val="18"/>
    </w:rPr>
  </w:style>
  <w:style w:type="paragraph" w:customStyle="1" w:styleId="Cov-Author">
    <w:name w:val="Cov-Author"/>
    <w:basedOn w:val="Normal"/>
    <w:rsid w:val="00945966"/>
    <w:pPr>
      <w:widowControl/>
      <w:jc w:val="right"/>
    </w:pPr>
    <w:rPr>
      <w:rFonts w:ascii="Arial Black" w:hAnsi="Arial Black"/>
      <w:snapToGrid/>
    </w:rPr>
  </w:style>
  <w:style w:type="paragraph" w:customStyle="1" w:styleId="Cov-Date">
    <w:name w:val="Cov-Date"/>
    <w:basedOn w:val="Normal"/>
    <w:rsid w:val="00945966"/>
    <w:pPr>
      <w:widowControl/>
      <w:jc w:val="right"/>
    </w:pPr>
    <w:rPr>
      <w:rFonts w:ascii="Arial" w:hAnsi="Arial"/>
      <w:b/>
      <w:snapToGrid/>
      <w:sz w:val="28"/>
    </w:rPr>
  </w:style>
  <w:style w:type="paragraph" w:customStyle="1" w:styleId="Cov-Disclaimer">
    <w:name w:val="Cov-Disclaimer"/>
    <w:basedOn w:val="Normal"/>
    <w:rsid w:val="00945966"/>
    <w:pPr>
      <w:widowControl/>
      <w:jc w:val="right"/>
    </w:pPr>
    <w:rPr>
      <w:rFonts w:ascii="Arial" w:hAnsi="Arial" w:cs="Arial"/>
      <w:snapToGrid/>
      <w:sz w:val="18"/>
      <w:szCs w:val="18"/>
    </w:rPr>
  </w:style>
  <w:style w:type="paragraph" w:customStyle="1" w:styleId="Cov-Subtitle">
    <w:name w:val="Cov-Subtitle"/>
    <w:basedOn w:val="Normal"/>
    <w:rsid w:val="00945966"/>
    <w:pPr>
      <w:widowControl/>
      <w:jc w:val="right"/>
    </w:pPr>
    <w:rPr>
      <w:rFonts w:ascii="Arial Black" w:hAnsi="Arial Black"/>
      <w:snapToGrid/>
      <w:sz w:val="28"/>
    </w:rPr>
  </w:style>
  <w:style w:type="paragraph" w:customStyle="1" w:styleId="Cov-Title">
    <w:name w:val="Cov-Title"/>
    <w:basedOn w:val="Normal"/>
    <w:rsid w:val="00945966"/>
    <w:pPr>
      <w:widowControl/>
      <w:jc w:val="right"/>
    </w:pPr>
    <w:rPr>
      <w:rFonts w:ascii="Arial Black" w:hAnsi="Arial Black"/>
      <w:smallCaps/>
      <w:snapToGrid/>
      <w:sz w:val="40"/>
    </w:rPr>
  </w:style>
  <w:style w:type="paragraph" w:customStyle="1" w:styleId="Name">
    <w:name w:val="Name"/>
    <w:basedOn w:val="Tablenotes"/>
    <w:rsid w:val="00945966"/>
    <w:rPr>
      <w:sz w:val="20"/>
    </w:rPr>
  </w:style>
  <w:style w:type="paragraph" w:styleId="Quote">
    <w:name w:val="Quote"/>
    <w:basedOn w:val="BodyText"/>
    <w:link w:val="QuoteChar"/>
    <w:qFormat/>
    <w:rsid w:val="00945966"/>
    <w:pPr>
      <w:widowControl/>
      <w:tabs>
        <w:tab w:val="clear" w:pos="0"/>
        <w:tab w:val="clear" w:pos="474"/>
        <w:tab w:val="clear" w:pos="948"/>
        <w:tab w:val="clear" w:pos="9360"/>
      </w:tabs>
      <w:suppressAutoHyphens w:val="0"/>
      <w:spacing w:before="120" w:after="120"/>
      <w:ind w:left="720" w:right="720"/>
      <w:outlineLvl w:val="9"/>
    </w:pPr>
    <w:rPr>
      <w:b w:val="0"/>
      <w:iCs/>
      <w:snapToGrid/>
      <w:sz w:val="22"/>
    </w:rPr>
  </w:style>
  <w:style w:type="paragraph" w:customStyle="1" w:styleId="Style1">
    <w:name w:val="Style1"/>
    <w:basedOn w:val="Bodytextnoindent"/>
    <w:rsid w:val="00945966"/>
    <w:rPr>
      <w:sz w:val="20"/>
      <w:szCs w:val="16"/>
    </w:rPr>
  </w:style>
  <w:style w:type="paragraph" w:customStyle="1" w:styleId="Style2">
    <w:name w:val="Style2"/>
    <w:rsid w:val="00945966"/>
    <w:pPr>
      <w:numPr>
        <w:numId w:val="11"/>
      </w:numPr>
      <w:tabs>
        <w:tab w:val="clear" w:pos="720"/>
      </w:tabs>
      <w:spacing w:after="120"/>
      <w:ind w:left="1440"/>
    </w:pPr>
    <w:rPr>
      <w:sz w:val="24"/>
    </w:rPr>
  </w:style>
  <w:style w:type="paragraph" w:customStyle="1" w:styleId="Reporttitle">
    <w:name w:val="Report title"/>
    <w:basedOn w:val="AppendixTitle"/>
    <w:rsid w:val="00945966"/>
  </w:style>
  <w:style w:type="paragraph" w:customStyle="1" w:styleId="Tablebody">
    <w:name w:val="Table body"/>
    <w:rsid w:val="00945966"/>
    <w:pPr>
      <w:keepNext/>
      <w:spacing w:before="40" w:after="40"/>
      <w:jc w:val="right"/>
    </w:pPr>
    <w:rPr>
      <w:rFonts w:ascii="Arial" w:hAnsi="Arial"/>
    </w:rPr>
  </w:style>
  <w:style w:type="paragraph" w:customStyle="1" w:styleId="Exhibit">
    <w:name w:val="Exhibit"/>
    <w:basedOn w:val="Normal"/>
    <w:rsid w:val="00945966"/>
    <w:pPr>
      <w:keepNext/>
      <w:tabs>
        <w:tab w:val="left" w:pos="-1440"/>
        <w:tab w:val="left" w:pos="-720"/>
        <w:tab w:val="left" w:pos="0"/>
        <w:tab w:val="left" w:pos="432"/>
      </w:tabs>
      <w:spacing w:after="120"/>
      <w:ind w:left="1152" w:hanging="1152"/>
    </w:pPr>
    <w:rPr>
      <w:b/>
      <w:snapToGrid/>
    </w:rPr>
  </w:style>
  <w:style w:type="paragraph" w:styleId="Index3">
    <w:name w:val="index 3"/>
    <w:basedOn w:val="Normal"/>
    <w:next w:val="Normal"/>
    <w:autoRedefine/>
    <w:semiHidden/>
    <w:rsid w:val="00945966"/>
    <w:pPr>
      <w:widowControl/>
      <w:ind w:left="720" w:hanging="240"/>
    </w:pPr>
    <w:rPr>
      <w:snapToGrid/>
      <w:sz w:val="18"/>
    </w:rPr>
  </w:style>
  <w:style w:type="paragraph" w:styleId="Index4">
    <w:name w:val="index 4"/>
    <w:basedOn w:val="Normal"/>
    <w:next w:val="Normal"/>
    <w:autoRedefine/>
    <w:semiHidden/>
    <w:rsid w:val="00945966"/>
    <w:pPr>
      <w:widowControl/>
      <w:ind w:left="960" w:hanging="240"/>
    </w:pPr>
    <w:rPr>
      <w:snapToGrid/>
      <w:sz w:val="18"/>
    </w:rPr>
  </w:style>
  <w:style w:type="paragraph" w:styleId="Index5">
    <w:name w:val="index 5"/>
    <w:basedOn w:val="Normal"/>
    <w:next w:val="Normal"/>
    <w:autoRedefine/>
    <w:semiHidden/>
    <w:rsid w:val="00945966"/>
    <w:pPr>
      <w:widowControl/>
      <w:ind w:left="1200" w:hanging="240"/>
    </w:pPr>
    <w:rPr>
      <w:snapToGrid/>
      <w:sz w:val="18"/>
    </w:rPr>
  </w:style>
  <w:style w:type="paragraph" w:styleId="Index6">
    <w:name w:val="index 6"/>
    <w:basedOn w:val="Normal"/>
    <w:next w:val="Normal"/>
    <w:autoRedefine/>
    <w:semiHidden/>
    <w:rsid w:val="00945966"/>
    <w:pPr>
      <w:widowControl/>
      <w:ind w:left="1440" w:hanging="240"/>
    </w:pPr>
    <w:rPr>
      <w:snapToGrid/>
      <w:sz w:val="18"/>
    </w:rPr>
  </w:style>
  <w:style w:type="paragraph" w:styleId="Index7">
    <w:name w:val="index 7"/>
    <w:basedOn w:val="Normal"/>
    <w:next w:val="Normal"/>
    <w:autoRedefine/>
    <w:semiHidden/>
    <w:rsid w:val="00945966"/>
    <w:pPr>
      <w:widowControl/>
      <w:ind w:left="1680" w:hanging="240"/>
    </w:pPr>
    <w:rPr>
      <w:snapToGrid/>
      <w:sz w:val="18"/>
    </w:rPr>
  </w:style>
  <w:style w:type="paragraph" w:styleId="Index8">
    <w:name w:val="index 8"/>
    <w:basedOn w:val="Normal"/>
    <w:next w:val="Normal"/>
    <w:autoRedefine/>
    <w:semiHidden/>
    <w:rsid w:val="00945966"/>
    <w:pPr>
      <w:widowControl/>
      <w:ind w:left="1920" w:hanging="240"/>
    </w:pPr>
    <w:rPr>
      <w:snapToGrid/>
      <w:sz w:val="18"/>
    </w:rPr>
  </w:style>
  <w:style w:type="paragraph" w:styleId="Index9">
    <w:name w:val="index 9"/>
    <w:basedOn w:val="Normal"/>
    <w:next w:val="Normal"/>
    <w:autoRedefine/>
    <w:semiHidden/>
    <w:rsid w:val="00945966"/>
    <w:pPr>
      <w:widowControl/>
      <w:ind w:left="2160" w:hanging="240"/>
    </w:pPr>
    <w:rPr>
      <w:snapToGrid/>
      <w:sz w:val="18"/>
    </w:rPr>
  </w:style>
  <w:style w:type="paragraph" w:styleId="IndexHeading">
    <w:name w:val="index heading"/>
    <w:basedOn w:val="Normal"/>
    <w:next w:val="Index1"/>
    <w:semiHidden/>
    <w:rsid w:val="00945966"/>
    <w:pPr>
      <w:widowControl/>
      <w:pBdr>
        <w:top w:val="single" w:sz="12" w:space="0" w:color="auto"/>
      </w:pBdr>
      <w:spacing w:before="360" w:after="240"/>
    </w:pPr>
    <w:rPr>
      <w:b/>
      <w:i/>
      <w:snapToGrid/>
      <w:sz w:val="26"/>
    </w:rPr>
  </w:style>
  <w:style w:type="paragraph" w:styleId="Subtitle">
    <w:name w:val="Subtitle"/>
    <w:basedOn w:val="Normal"/>
    <w:link w:val="SubtitleChar"/>
    <w:qFormat/>
    <w:rsid w:val="00945966"/>
    <w:pPr>
      <w:widowControl/>
      <w:jc w:val="center"/>
    </w:pPr>
    <w:rPr>
      <w:b/>
      <w:snapToGrid/>
      <w:sz w:val="20"/>
    </w:rPr>
  </w:style>
  <w:style w:type="paragraph" w:customStyle="1" w:styleId="Tabs">
    <w:name w:val="Tabs"/>
    <w:rsid w:val="00945966"/>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945966"/>
    <w:pPr>
      <w:widowControl/>
      <w:spacing w:before="120" w:after="120"/>
    </w:pPr>
    <w:rPr>
      <w:snapToGrid/>
    </w:rPr>
  </w:style>
  <w:style w:type="paragraph" w:customStyle="1" w:styleId="Document1">
    <w:name w:val="Document 1"/>
    <w:rsid w:val="00945966"/>
    <w:pPr>
      <w:keepNext/>
      <w:keepLines/>
      <w:tabs>
        <w:tab w:val="left" w:pos="-720"/>
      </w:tabs>
      <w:suppressAutoHyphens/>
    </w:pPr>
    <w:rPr>
      <w:sz w:val="24"/>
    </w:rPr>
  </w:style>
  <w:style w:type="paragraph" w:styleId="List">
    <w:name w:val="List"/>
    <w:basedOn w:val="Normal"/>
    <w:semiHidden/>
    <w:rsid w:val="00945966"/>
    <w:pPr>
      <w:widowControl/>
      <w:ind w:left="360" w:hanging="360"/>
    </w:pPr>
    <w:rPr>
      <w:snapToGrid/>
    </w:rPr>
  </w:style>
  <w:style w:type="paragraph" w:styleId="List2">
    <w:name w:val="List 2"/>
    <w:basedOn w:val="Normal"/>
    <w:semiHidden/>
    <w:rsid w:val="00945966"/>
    <w:pPr>
      <w:widowControl/>
      <w:ind w:left="720" w:hanging="360"/>
    </w:pPr>
    <w:rPr>
      <w:snapToGrid/>
    </w:rPr>
  </w:style>
  <w:style w:type="paragraph" w:customStyle="1" w:styleId="QuickA">
    <w:name w:val="Quick A."/>
    <w:basedOn w:val="Normal"/>
    <w:rsid w:val="00945966"/>
    <w:pPr>
      <w:numPr>
        <w:numId w:val="5"/>
      </w:numPr>
      <w:tabs>
        <w:tab w:val="num" w:pos="720"/>
      </w:tabs>
      <w:ind w:left="223" w:hanging="223"/>
    </w:pPr>
    <w:rPr>
      <w:snapToGrid/>
    </w:rPr>
  </w:style>
  <w:style w:type="paragraph" w:customStyle="1" w:styleId="Quick1">
    <w:name w:val="Quick 1."/>
    <w:basedOn w:val="Normal"/>
    <w:rsid w:val="00945966"/>
    <w:pPr>
      <w:numPr>
        <w:numId w:val="6"/>
      </w:numPr>
      <w:tabs>
        <w:tab w:val="num" w:pos="1080"/>
      </w:tabs>
      <w:ind w:left="550" w:hanging="327"/>
    </w:pPr>
    <w:rPr>
      <w:snapToGrid/>
    </w:rPr>
  </w:style>
  <w:style w:type="paragraph" w:customStyle="1" w:styleId="Quick">
    <w:name w:val="Quick ­"/>
    <w:basedOn w:val="Normal"/>
    <w:rsid w:val="00945966"/>
    <w:pPr>
      <w:ind w:left="223" w:hanging="203"/>
    </w:pPr>
    <w:rPr>
      <w:snapToGrid/>
    </w:rPr>
  </w:style>
  <w:style w:type="paragraph" w:customStyle="1" w:styleId="bullets">
    <w:name w:val="bullets"/>
    <w:basedOn w:val="Normal"/>
    <w:rsid w:val="00945966"/>
    <w:pPr>
      <w:widowControl/>
      <w:numPr>
        <w:numId w:val="7"/>
      </w:numPr>
      <w:spacing w:after="60"/>
    </w:pPr>
    <w:rPr>
      <w:snapToGrid/>
    </w:rPr>
  </w:style>
  <w:style w:type="paragraph" w:customStyle="1" w:styleId="a2colbul">
    <w:name w:val="a2col_bul"/>
    <w:basedOn w:val="bullets"/>
    <w:rsid w:val="00945966"/>
    <w:pPr>
      <w:ind w:left="342"/>
    </w:pPr>
  </w:style>
  <w:style w:type="paragraph" w:customStyle="1" w:styleId="aft-12-0">
    <w:name w:val="aft-12-0"/>
    <w:basedOn w:val="Normal"/>
    <w:rsid w:val="00945966"/>
    <w:pPr>
      <w:widowControl/>
      <w:spacing w:before="240" w:after="240"/>
    </w:pPr>
    <w:rPr>
      <w:snapToGrid/>
    </w:rPr>
  </w:style>
  <w:style w:type="paragraph" w:customStyle="1" w:styleId="aft-12">
    <w:name w:val="aft-12"/>
    <w:basedOn w:val="Normal"/>
    <w:rsid w:val="00945966"/>
    <w:pPr>
      <w:widowControl/>
      <w:spacing w:before="240" w:after="240"/>
      <w:ind w:firstLine="720"/>
    </w:pPr>
    <w:rPr>
      <w:snapToGrid/>
    </w:rPr>
  </w:style>
  <w:style w:type="paragraph" w:customStyle="1" w:styleId="exhibitsource">
    <w:name w:val="exhibit source"/>
    <w:basedOn w:val="Normal"/>
    <w:rsid w:val="00945966"/>
    <w:pPr>
      <w:keepLines/>
      <w:widowControl/>
      <w:spacing w:before="60"/>
      <w:ind w:left="187" w:hanging="187"/>
    </w:pPr>
    <w:rPr>
      <w:snapToGrid/>
      <w:sz w:val="20"/>
    </w:rPr>
  </w:style>
  <w:style w:type="paragraph" w:customStyle="1" w:styleId="ExhibitTitle">
    <w:name w:val="Exhibit Title"/>
    <w:rsid w:val="00945966"/>
    <w:pPr>
      <w:keepNext/>
      <w:keepLines/>
      <w:spacing w:after="60"/>
      <w:ind w:left="1080" w:hanging="1080"/>
    </w:pPr>
    <w:rPr>
      <w:rFonts w:ascii="Arial" w:hAnsi="Arial"/>
      <w:b/>
    </w:rPr>
  </w:style>
  <w:style w:type="paragraph" w:customStyle="1" w:styleId="TableHeaders">
    <w:name w:val="Table Headers"/>
    <w:basedOn w:val="Normal"/>
    <w:rsid w:val="00945966"/>
    <w:pPr>
      <w:keepNext/>
      <w:widowControl/>
      <w:spacing w:before="80" w:after="80" w:line="240" w:lineRule="exact"/>
      <w:jc w:val="center"/>
    </w:pPr>
    <w:rPr>
      <w:rFonts w:ascii="Arial" w:hAnsi="Arial"/>
      <w:b/>
      <w:snapToGrid/>
      <w:sz w:val="20"/>
    </w:rPr>
  </w:style>
  <w:style w:type="paragraph" w:customStyle="1" w:styleId="aboxtxt">
    <w:name w:val="abox_txt"/>
    <w:basedOn w:val="Normal"/>
    <w:rsid w:val="00945966"/>
    <w:pPr>
      <w:widowControl/>
      <w:spacing w:after="120"/>
    </w:pPr>
    <w:rPr>
      <w:rFonts w:ascii="Arial" w:hAnsi="Arial"/>
      <w:snapToGrid/>
      <w:sz w:val="20"/>
    </w:rPr>
  </w:style>
  <w:style w:type="paragraph" w:customStyle="1" w:styleId="NPSASTbltext">
    <w:name w:val="NPSAS Tbl text"/>
    <w:rsid w:val="00945966"/>
    <w:pPr>
      <w:spacing w:before="20" w:after="20"/>
    </w:pPr>
    <w:rPr>
      <w:color w:val="000000"/>
    </w:rPr>
  </w:style>
  <w:style w:type="paragraph" w:customStyle="1" w:styleId="Blockedquote">
    <w:name w:val="Blocked quote"/>
    <w:basedOn w:val="BodyText"/>
    <w:rsid w:val="00945966"/>
    <w:pPr>
      <w:widowControl/>
      <w:tabs>
        <w:tab w:val="clear" w:pos="0"/>
        <w:tab w:val="clear" w:pos="474"/>
        <w:tab w:val="clear" w:pos="948"/>
        <w:tab w:val="clear" w:pos="9360"/>
      </w:tabs>
      <w:suppressAutoHyphens w:val="0"/>
      <w:spacing w:before="120" w:after="120"/>
      <w:ind w:left="720" w:right="720"/>
      <w:outlineLvl w:val="9"/>
    </w:pPr>
    <w:rPr>
      <w:b w:val="0"/>
      <w:i/>
      <w:iCs/>
      <w:snapToGrid/>
    </w:rPr>
  </w:style>
  <w:style w:type="paragraph" w:customStyle="1" w:styleId="Table2">
    <w:name w:val="Table 2"/>
    <w:basedOn w:val="Tabletext"/>
    <w:rsid w:val="00945966"/>
  </w:style>
  <w:style w:type="paragraph" w:customStyle="1" w:styleId="BodyText21">
    <w:name w:val="Body Text 21"/>
    <w:basedOn w:val="Normal"/>
    <w:rsid w:val="00945966"/>
    <w:pPr>
      <w:widowControl/>
      <w:spacing w:before="120" w:after="120"/>
    </w:pPr>
    <w:rPr>
      <w:snapToGrid/>
      <w:sz w:val="22"/>
      <w:szCs w:val="22"/>
    </w:rPr>
  </w:style>
  <w:style w:type="paragraph" w:customStyle="1" w:styleId="AppH3">
    <w:name w:val="App H3"/>
    <w:basedOn w:val="Heading3"/>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40" w:after="120"/>
      <w:ind w:left="720" w:hanging="720"/>
    </w:pPr>
    <w:rPr>
      <w:rFonts w:ascii="Arial" w:hAnsi="Arial" w:cs="Arial"/>
      <w:b w:val="0"/>
      <w:bCs w:val="0"/>
      <w:snapToGrid/>
      <w:szCs w:val="24"/>
    </w:rPr>
  </w:style>
  <w:style w:type="paragraph" w:customStyle="1" w:styleId="Apptabletitle">
    <w:name w:val="App table title"/>
    <w:basedOn w:val="TableTitle"/>
    <w:rsid w:val="00945966"/>
  </w:style>
  <w:style w:type="paragraph" w:customStyle="1" w:styleId="equation">
    <w:name w:val="equation"/>
    <w:basedOn w:val="BlockText"/>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00"/>
      <w:ind w:left="1440" w:right="0"/>
    </w:pPr>
    <w:rPr>
      <w:snapToGrid/>
    </w:rPr>
  </w:style>
  <w:style w:type="paragraph" w:customStyle="1" w:styleId="QuickS">
    <w:name w:val="Quick S"/>
    <w:rsid w:val="00945966"/>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rsid w:val="00945966"/>
    <w:pPr>
      <w:widowControl/>
      <w:spacing w:before="240"/>
      <w:ind w:firstLine="720"/>
    </w:pPr>
    <w:rPr>
      <w:snapToGrid/>
    </w:rPr>
  </w:style>
  <w:style w:type="paragraph" w:customStyle="1" w:styleId="tocpagehead">
    <w:name w:val="toc page head"/>
    <w:rsid w:val="00945966"/>
    <w:pPr>
      <w:tabs>
        <w:tab w:val="right" w:pos="9360"/>
      </w:tabs>
      <w:jc w:val="both"/>
    </w:pPr>
    <w:rPr>
      <w:b/>
      <w:bCs/>
      <w:noProof/>
      <w:sz w:val="22"/>
      <w:u w:val="words"/>
    </w:rPr>
  </w:style>
  <w:style w:type="paragraph" w:customStyle="1" w:styleId="bodytext-db">
    <w:name w:val="body text-db"/>
    <w:basedOn w:val="Normal"/>
    <w:semiHidden/>
    <w:rsid w:val="00945966"/>
    <w:pPr>
      <w:widowControl/>
      <w:spacing w:after="240"/>
      <w:ind w:firstLine="360"/>
    </w:pPr>
    <w:rPr>
      <w:snapToGrid/>
      <w:sz w:val="22"/>
    </w:rPr>
  </w:style>
  <w:style w:type="paragraph" w:customStyle="1" w:styleId="bodytext-proposal">
    <w:name w:val="body text - proposal"/>
    <w:basedOn w:val="Normal"/>
    <w:rsid w:val="009459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napToGrid/>
      <w:szCs w:val="24"/>
    </w:rPr>
  </w:style>
  <w:style w:type="paragraph" w:customStyle="1" w:styleId="bulletround-proposaltext">
    <w:name w:val="bullet round - proposal text"/>
    <w:basedOn w:val="bulletround"/>
    <w:rsid w:val="00945966"/>
    <w:rPr>
      <w:kern w:val="2"/>
      <w:szCs w:val="22"/>
    </w:rPr>
  </w:style>
  <w:style w:type="paragraph" w:customStyle="1" w:styleId="text">
    <w:name w:val="text"/>
    <w:basedOn w:val="Normal"/>
    <w:rsid w:val="00945966"/>
    <w:pPr>
      <w:widowControl/>
      <w:spacing w:before="120" w:after="120"/>
    </w:pPr>
    <w:rPr>
      <w:snapToGrid/>
      <w:sz w:val="20"/>
      <w:szCs w:val="24"/>
    </w:rPr>
  </w:style>
  <w:style w:type="paragraph" w:customStyle="1" w:styleId="arialtitle">
    <w:name w:val="arial title"/>
    <w:basedOn w:val="Normal"/>
    <w:rsid w:val="00945966"/>
    <w:pPr>
      <w:keepNext/>
      <w:widowControl/>
      <w:spacing w:before="240"/>
    </w:pPr>
    <w:rPr>
      <w:rFonts w:ascii="Arial" w:hAnsi="Arial"/>
      <w:b/>
      <w:snapToGrid/>
      <w:sz w:val="22"/>
      <w:szCs w:val="24"/>
    </w:rPr>
  </w:style>
  <w:style w:type="paragraph" w:customStyle="1" w:styleId="1">
    <w:name w:val="1"/>
    <w:aliases w:val="2,3"/>
    <w:basedOn w:val="Normal"/>
    <w:rsid w:val="00945966"/>
    <w:pPr>
      <w:numPr>
        <w:numId w:val="12"/>
      </w:numPr>
      <w:ind w:left="1440" w:hanging="720"/>
    </w:pPr>
  </w:style>
  <w:style w:type="paragraph" w:customStyle="1" w:styleId="Style">
    <w:name w:val="Style"/>
    <w:rsid w:val="00945966"/>
    <w:pPr>
      <w:widowControl w:val="0"/>
      <w:autoSpaceDE w:val="0"/>
      <w:autoSpaceDN w:val="0"/>
      <w:adjustRightInd w:val="0"/>
    </w:pPr>
    <w:rPr>
      <w:rFonts w:ascii="Arial" w:hAnsi="Arial" w:cs="Arial"/>
      <w:sz w:val="24"/>
      <w:szCs w:val="24"/>
    </w:rPr>
  </w:style>
  <w:style w:type="paragraph" w:customStyle="1" w:styleId="BodyText1">
    <w:name w:val="Body Text1"/>
    <w:rsid w:val="00945966"/>
    <w:pPr>
      <w:spacing w:line="300" w:lineRule="atLeast"/>
    </w:pPr>
    <w:rPr>
      <w:snapToGrid w:val="0"/>
      <w:sz w:val="22"/>
    </w:rPr>
  </w:style>
  <w:style w:type="paragraph" w:styleId="HTMLPreformatted">
    <w:name w:val="HTML Preformatted"/>
    <w:basedOn w:val="Normal"/>
    <w:link w:val="HTMLPreformattedChar"/>
    <w:semiHidden/>
    <w:rsid w:val="009459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napToGrid/>
      <w:sz w:val="20"/>
    </w:rPr>
  </w:style>
  <w:style w:type="character" w:styleId="CommentReference">
    <w:name w:val="annotation reference"/>
    <w:rsid w:val="00945966"/>
    <w:rPr>
      <w:sz w:val="18"/>
    </w:rPr>
  </w:style>
  <w:style w:type="paragraph" w:customStyle="1" w:styleId="Item">
    <w:name w:val="Item"/>
    <w:basedOn w:val="Normal"/>
    <w:autoRedefine/>
    <w:rsid w:val="00945966"/>
    <w:pPr>
      <w:widowControl/>
      <w:spacing w:before="60" w:after="60"/>
    </w:pPr>
    <w:rPr>
      <w:rFonts w:ascii="Arial" w:hAnsi="Arial"/>
      <w:b/>
      <w:snapToGrid/>
      <w:color w:val="000000"/>
      <w:sz w:val="22"/>
    </w:rPr>
  </w:style>
  <w:style w:type="character" w:customStyle="1" w:styleId="sensecontent1">
    <w:name w:val="sense_content1"/>
    <w:rsid w:val="00945966"/>
    <w:rPr>
      <w:rFonts w:ascii="Times New Roman" w:hAnsi="Times New Roman" w:cs="Times New Roman" w:hint="default"/>
      <w:b w:val="0"/>
      <w:bCs w:val="0"/>
    </w:rPr>
  </w:style>
  <w:style w:type="character" w:styleId="Strong">
    <w:name w:val="Strong"/>
    <w:uiPriority w:val="22"/>
    <w:qFormat/>
    <w:rsid w:val="00B572E1"/>
    <w:rPr>
      <w:b/>
      <w:bCs/>
    </w:rPr>
  </w:style>
  <w:style w:type="character" w:customStyle="1" w:styleId="field-content">
    <w:name w:val="field-content"/>
    <w:basedOn w:val="DefaultParagraphFont"/>
    <w:rsid w:val="00B572E1"/>
  </w:style>
  <w:style w:type="paragraph" w:styleId="Closing">
    <w:name w:val="Closing"/>
    <w:basedOn w:val="Normal"/>
    <w:next w:val="Normal"/>
    <w:link w:val="ClosingChar"/>
    <w:rsid w:val="003C7693"/>
    <w:pPr>
      <w:widowControl/>
      <w:spacing w:line="220" w:lineRule="atLeast"/>
    </w:pPr>
    <w:rPr>
      <w:rFonts w:ascii="Garamond" w:hAnsi="Garamond"/>
      <w:snapToGrid/>
      <w:sz w:val="22"/>
    </w:rPr>
  </w:style>
  <w:style w:type="character" w:customStyle="1" w:styleId="ClosingChar">
    <w:name w:val="Closing Char"/>
    <w:link w:val="Closing"/>
    <w:rsid w:val="003C7693"/>
    <w:rPr>
      <w:rFonts w:ascii="Garamond" w:hAnsi="Garamond"/>
      <w:sz w:val="22"/>
    </w:rPr>
  </w:style>
  <w:style w:type="paragraph" w:customStyle="1" w:styleId="CompanyName">
    <w:name w:val="Company Name"/>
    <w:basedOn w:val="BodyText"/>
    <w:rsid w:val="003C7693"/>
    <w:pPr>
      <w:keepLines/>
      <w:framePr w:w="8640" w:h="1440" w:hRule="atLeast" w:wrap="notBeside" w:vAnchor="page" w:hAnchor="margin" w:xAlign="center" w:y="889"/>
      <w:widowControl/>
      <w:tabs>
        <w:tab w:val="clear" w:pos="0"/>
        <w:tab w:val="clear" w:pos="474"/>
        <w:tab w:val="clear" w:pos="948"/>
        <w:tab w:val="clear" w:pos="9360"/>
      </w:tabs>
      <w:suppressAutoHyphens w:val="0"/>
      <w:spacing w:after="40" w:line="240" w:lineRule="atLeast"/>
      <w:ind w:right="0"/>
      <w:jc w:val="center"/>
      <w:outlineLvl w:val="9"/>
    </w:pPr>
    <w:rPr>
      <w:rFonts w:ascii="Garamond" w:hAnsi="Garamond"/>
      <w:b w:val="0"/>
      <w:caps/>
      <w:snapToGrid/>
      <w:spacing w:val="75"/>
      <w:sz w:val="22"/>
    </w:rPr>
  </w:style>
  <w:style w:type="paragraph" w:customStyle="1" w:styleId="DocumentLabel">
    <w:name w:val="Document Label"/>
    <w:next w:val="Normal"/>
    <w:rsid w:val="003C7693"/>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Enclosure">
    <w:name w:val="Enclosure"/>
    <w:basedOn w:val="BodyText"/>
    <w:next w:val="Normal"/>
    <w:rsid w:val="003C7693"/>
    <w:pPr>
      <w:keepLines/>
      <w:widowControl/>
      <w:tabs>
        <w:tab w:val="clear" w:pos="0"/>
        <w:tab w:val="clear" w:pos="474"/>
        <w:tab w:val="clear" w:pos="948"/>
        <w:tab w:val="clear" w:pos="9360"/>
      </w:tabs>
      <w:suppressAutoHyphens w:val="0"/>
      <w:spacing w:before="220" w:after="240" w:line="240" w:lineRule="atLeast"/>
      <w:ind w:right="0"/>
      <w:jc w:val="both"/>
      <w:outlineLvl w:val="9"/>
    </w:pPr>
    <w:rPr>
      <w:rFonts w:ascii="Garamond" w:hAnsi="Garamond"/>
      <w:b w:val="0"/>
      <w:snapToGrid/>
      <w:sz w:val="22"/>
    </w:rPr>
  </w:style>
  <w:style w:type="paragraph" w:customStyle="1" w:styleId="HeaderBase">
    <w:name w:val="Header Base"/>
    <w:basedOn w:val="BodyText"/>
    <w:rsid w:val="003C7693"/>
    <w:pPr>
      <w:keepLines/>
      <w:widowControl/>
      <w:tabs>
        <w:tab w:val="clear" w:pos="0"/>
        <w:tab w:val="clear" w:pos="474"/>
        <w:tab w:val="clear" w:pos="948"/>
        <w:tab w:val="center" w:pos="4320"/>
        <w:tab w:val="right" w:pos="8640"/>
        <w:tab w:val="clear" w:pos="9360"/>
      </w:tabs>
      <w:suppressAutoHyphens w:val="0"/>
      <w:spacing w:line="240" w:lineRule="atLeast"/>
      <w:ind w:right="0" w:firstLine="360"/>
      <w:jc w:val="both"/>
      <w:outlineLvl w:val="9"/>
    </w:pPr>
    <w:rPr>
      <w:rFonts w:ascii="Garamond" w:hAnsi="Garamond"/>
      <w:b w:val="0"/>
      <w:snapToGrid/>
      <w:sz w:val="22"/>
    </w:rPr>
  </w:style>
  <w:style w:type="paragraph" w:customStyle="1" w:styleId="HeadingBase">
    <w:name w:val="Heading Base"/>
    <w:basedOn w:val="BodyText"/>
    <w:next w:val="BodyText"/>
    <w:rsid w:val="003C7693"/>
    <w:pPr>
      <w:keepNext/>
      <w:keepLines/>
      <w:widowControl/>
      <w:tabs>
        <w:tab w:val="clear" w:pos="0"/>
        <w:tab w:val="clear" w:pos="474"/>
        <w:tab w:val="clear" w:pos="948"/>
        <w:tab w:val="clear" w:pos="9360"/>
      </w:tabs>
      <w:suppressAutoHyphens w:val="0"/>
      <w:spacing w:line="240" w:lineRule="atLeast"/>
      <w:ind w:right="0"/>
      <w:outlineLvl w:val="9"/>
    </w:pPr>
    <w:rPr>
      <w:rFonts w:ascii="Garamond" w:hAnsi="Garamond"/>
      <w:b w:val="0"/>
      <w:snapToGrid/>
      <w:kern w:val="20"/>
      <w:sz w:val="22"/>
    </w:rPr>
  </w:style>
  <w:style w:type="paragraph" w:styleId="MessageHeader">
    <w:name w:val="Message Header"/>
    <w:basedOn w:val="BodyText"/>
    <w:link w:val="MessageHeaderChar"/>
    <w:rsid w:val="003C7693"/>
    <w:pPr>
      <w:keepLines/>
      <w:widowControl/>
      <w:tabs>
        <w:tab w:val="clear" w:pos="0"/>
        <w:tab w:val="clear" w:pos="474"/>
        <w:tab w:val="clear" w:pos="948"/>
        <w:tab w:val="clear" w:pos="9360"/>
      </w:tabs>
      <w:suppressAutoHyphens w:val="0"/>
      <w:spacing w:after="120" w:line="240" w:lineRule="atLeast"/>
      <w:ind w:left="1080" w:right="0" w:hanging="1080"/>
      <w:outlineLvl w:val="9"/>
    </w:pPr>
    <w:rPr>
      <w:rFonts w:ascii="Garamond" w:hAnsi="Garamond"/>
      <w:b w:val="0"/>
      <w:caps/>
      <w:snapToGrid/>
      <w:sz w:val="18"/>
    </w:rPr>
  </w:style>
  <w:style w:type="character" w:customStyle="1" w:styleId="MessageHeaderChar">
    <w:name w:val="Message Header Char"/>
    <w:link w:val="MessageHeader"/>
    <w:rsid w:val="003C7693"/>
    <w:rPr>
      <w:rFonts w:ascii="Garamond" w:hAnsi="Garamond"/>
      <w:caps/>
      <w:sz w:val="18"/>
    </w:rPr>
  </w:style>
  <w:style w:type="paragraph" w:customStyle="1" w:styleId="MessageHeaderFirst">
    <w:name w:val="Message Header First"/>
    <w:basedOn w:val="MessageHeader"/>
    <w:next w:val="MessageHeader"/>
    <w:rsid w:val="003C7693"/>
  </w:style>
  <w:style w:type="character" w:customStyle="1" w:styleId="MessageHeaderLabel">
    <w:name w:val="Message Header Label"/>
    <w:rsid w:val="003C7693"/>
    <w:rPr>
      <w:b/>
      <w:sz w:val="18"/>
    </w:rPr>
  </w:style>
  <w:style w:type="paragraph" w:customStyle="1" w:styleId="MessageHeaderLast">
    <w:name w:val="Message Header Last"/>
    <w:basedOn w:val="MessageHeader"/>
    <w:next w:val="BodyText"/>
    <w:rsid w:val="003C7693"/>
  </w:style>
  <w:style w:type="paragraph" w:styleId="NormalIndent">
    <w:name w:val="Normal Indent"/>
    <w:basedOn w:val="Normal"/>
    <w:rsid w:val="003C7693"/>
    <w:pPr>
      <w:widowControl/>
      <w:ind w:left="720"/>
    </w:pPr>
    <w:rPr>
      <w:rFonts w:ascii="Garamond" w:hAnsi="Garamond"/>
      <w:snapToGrid/>
      <w:sz w:val="22"/>
    </w:rPr>
  </w:style>
  <w:style w:type="paragraph" w:customStyle="1" w:styleId="ReturnAddress">
    <w:name w:val="Return Address"/>
    <w:rsid w:val="003C7693"/>
    <w:pPr>
      <w:framePr w:w="8640" w:hSpace="187" w:vSpace="187" w:wrap="notBeside" w:vAnchor="page" w:hAnchor="margin" w:xAlign="center" w:y="14401" w:anchorLock="1"/>
      <w:spacing w:line="240" w:lineRule="atLeast"/>
      <w:ind w:right="-240"/>
      <w:jc w:val="center"/>
    </w:pPr>
    <w:rPr>
      <w:rFonts w:ascii="Garamond" w:hAnsi="Garamond"/>
      <w:caps/>
      <w:spacing w:val="30"/>
      <w:sz w:val="15"/>
    </w:rPr>
  </w:style>
  <w:style w:type="paragraph" w:styleId="Signature">
    <w:name w:val="Signature"/>
    <w:basedOn w:val="BodyText"/>
    <w:next w:val="Normal"/>
    <w:link w:val="SignatureChar"/>
    <w:rsid w:val="003C7693"/>
    <w:pPr>
      <w:keepNext/>
      <w:keepLines/>
      <w:widowControl/>
      <w:tabs>
        <w:tab w:val="clear" w:pos="0"/>
        <w:tab w:val="clear" w:pos="474"/>
        <w:tab w:val="clear" w:pos="948"/>
        <w:tab w:val="clear" w:pos="9360"/>
      </w:tabs>
      <w:suppressAutoHyphens w:val="0"/>
      <w:spacing w:before="660" w:line="240" w:lineRule="atLeast"/>
      <w:ind w:right="0" w:firstLine="360"/>
      <w:jc w:val="both"/>
      <w:outlineLvl w:val="9"/>
    </w:pPr>
    <w:rPr>
      <w:rFonts w:ascii="Garamond" w:hAnsi="Garamond"/>
      <w:b w:val="0"/>
      <w:snapToGrid/>
      <w:sz w:val="22"/>
    </w:rPr>
  </w:style>
  <w:style w:type="character" w:customStyle="1" w:styleId="SignatureChar">
    <w:name w:val="Signature Char"/>
    <w:link w:val="Signature"/>
    <w:rsid w:val="003C7693"/>
    <w:rPr>
      <w:rFonts w:ascii="Garamond" w:hAnsi="Garamond"/>
      <w:sz w:val="22"/>
    </w:rPr>
  </w:style>
  <w:style w:type="paragraph" w:customStyle="1" w:styleId="SignatureJobTitle">
    <w:name w:val="Signature Job Title"/>
    <w:basedOn w:val="Signature"/>
    <w:next w:val="Normal"/>
    <w:rsid w:val="003C7693"/>
    <w:pPr>
      <w:spacing w:before="0"/>
      <w:ind w:firstLine="0"/>
    </w:pPr>
  </w:style>
  <w:style w:type="paragraph" w:customStyle="1" w:styleId="SignatureName">
    <w:name w:val="Signature Name"/>
    <w:basedOn w:val="Signature"/>
    <w:next w:val="SignatureJobTitle"/>
    <w:rsid w:val="003C7693"/>
    <w:pPr>
      <w:ind w:firstLine="0"/>
    </w:pPr>
  </w:style>
  <w:style w:type="character" w:customStyle="1" w:styleId="Slogan">
    <w:name w:val="Slogan"/>
    <w:rsid w:val="003C7693"/>
    <w:rPr>
      <w:i/>
      <w:spacing w:val="70"/>
      <w:sz w:val="21"/>
    </w:rPr>
  </w:style>
  <w:style w:type="paragraph" w:customStyle="1" w:styleId="xl24">
    <w:name w:val="xl24"/>
    <w:basedOn w:val="Normal"/>
    <w:rsid w:val="003C7693"/>
    <w:pPr>
      <w:widowControl/>
      <w:pBdr>
        <w:top w:val="single" w:sz="4" w:space="0" w:color="auto"/>
        <w:left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25">
    <w:name w:val="xl25"/>
    <w:basedOn w:val="Normal"/>
    <w:rsid w:val="003C7693"/>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6">
    <w:name w:val="xl26"/>
    <w:basedOn w:val="Normal"/>
    <w:rsid w:val="003C7693"/>
    <w:pPr>
      <w:widowControl/>
      <w:pBdr>
        <w:top w:val="single" w:sz="4" w:space="0" w:color="auto"/>
        <w:bottom w:val="single" w:sz="8"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7">
    <w:name w:val="xl27"/>
    <w:basedOn w:val="Normal"/>
    <w:rsid w:val="003C7693"/>
    <w:pPr>
      <w:widowControl/>
      <w:pBdr>
        <w:top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8">
    <w:name w:val="xl28"/>
    <w:basedOn w:val="Normal"/>
    <w:rsid w:val="003C7693"/>
    <w:pPr>
      <w:widowControl/>
      <w:spacing w:before="100" w:beforeAutospacing="1" w:after="100" w:afterAutospacing="1"/>
      <w:jc w:val="center"/>
      <w:textAlignment w:val="top"/>
    </w:pPr>
    <w:rPr>
      <w:rFonts w:ascii="Arial Narrow" w:hAnsi="Arial Narrow"/>
      <w:snapToGrid/>
      <w:sz w:val="18"/>
      <w:szCs w:val="18"/>
    </w:rPr>
  </w:style>
  <w:style w:type="paragraph" w:customStyle="1" w:styleId="xl29">
    <w:name w:val="xl29"/>
    <w:basedOn w:val="Normal"/>
    <w:rsid w:val="003C7693"/>
    <w:pPr>
      <w:widowControl/>
      <w:spacing w:before="100" w:beforeAutospacing="1" w:after="100" w:afterAutospacing="1"/>
    </w:pPr>
    <w:rPr>
      <w:rFonts w:ascii="Arial Narrow" w:hAnsi="Arial Narrow"/>
      <w:snapToGrid/>
      <w:sz w:val="18"/>
      <w:szCs w:val="18"/>
    </w:rPr>
  </w:style>
  <w:style w:type="paragraph" w:customStyle="1" w:styleId="xl30">
    <w:name w:val="xl30"/>
    <w:basedOn w:val="Normal"/>
    <w:rsid w:val="003C7693"/>
    <w:pPr>
      <w:widowControl/>
      <w:spacing w:before="100" w:beforeAutospacing="1" w:after="100" w:afterAutospacing="1"/>
    </w:pPr>
    <w:rPr>
      <w:rFonts w:ascii="Arial Narrow" w:hAnsi="Arial Narrow"/>
      <w:snapToGrid/>
      <w:sz w:val="18"/>
      <w:szCs w:val="18"/>
    </w:rPr>
  </w:style>
  <w:style w:type="paragraph" w:customStyle="1" w:styleId="xl31">
    <w:name w:val="xl31"/>
    <w:basedOn w:val="Normal"/>
    <w:rsid w:val="003C7693"/>
    <w:pPr>
      <w:widowControl/>
      <w:pBdr>
        <w:top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32">
    <w:name w:val="xl32"/>
    <w:basedOn w:val="Normal"/>
    <w:rsid w:val="003C7693"/>
    <w:pPr>
      <w:widowControl/>
      <w:pBdr>
        <w:top w:val="single" w:sz="4" w:space="0" w:color="auto"/>
        <w:bottom w:val="single" w:sz="4" w:space="0" w:color="auto"/>
        <w:right w:val="single" w:sz="4" w:space="0" w:color="auto"/>
      </w:pBdr>
      <w:spacing w:before="100" w:beforeAutospacing="1" w:after="100" w:afterAutospacing="1"/>
      <w:jc w:val="right"/>
    </w:pPr>
    <w:rPr>
      <w:rFonts w:ascii="Arial Narrow" w:hAnsi="Arial Narrow"/>
      <w:snapToGrid/>
      <w:sz w:val="18"/>
      <w:szCs w:val="18"/>
    </w:rPr>
  </w:style>
  <w:style w:type="paragraph" w:customStyle="1" w:styleId="xl33">
    <w:name w:val="xl33"/>
    <w:basedOn w:val="Normal"/>
    <w:rsid w:val="003C7693"/>
    <w:pPr>
      <w:widowControl/>
      <w:pBdr>
        <w:top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34">
    <w:name w:val="xl34"/>
    <w:basedOn w:val="Normal"/>
    <w:rsid w:val="003C7693"/>
    <w:pPr>
      <w:widowControl/>
      <w:pBdr>
        <w:top w:val="single" w:sz="4" w:space="0" w:color="auto"/>
        <w:bottom w:val="single" w:sz="4" w:space="0" w:color="auto"/>
        <w:right w:val="single" w:sz="4" w:space="0" w:color="auto"/>
      </w:pBdr>
      <w:spacing w:before="100" w:beforeAutospacing="1" w:after="100" w:afterAutospacing="1"/>
      <w:jc w:val="right"/>
    </w:pPr>
    <w:rPr>
      <w:rFonts w:ascii="Arial Narrow" w:hAnsi="Arial Narrow"/>
      <w:snapToGrid/>
      <w:sz w:val="18"/>
      <w:szCs w:val="18"/>
    </w:rPr>
  </w:style>
  <w:style w:type="paragraph" w:customStyle="1" w:styleId="xl35">
    <w:name w:val="xl35"/>
    <w:basedOn w:val="Normal"/>
    <w:rsid w:val="003C7693"/>
    <w:pPr>
      <w:widowControl/>
      <w:pBdr>
        <w:bottom w:val="single" w:sz="8" w:space="0" w:color="auto"/>
      </w:pBdr>
      <w:spacing w:before="100" w:beforeAutospacing="1" w:after="100" w:afterAutospacing="1"/>
    </w:pPr>
    <w:rPr>
      <w:rFonts w:ascii="Arial Narrow" w:hAnsi="Arial Narrow"/>
      <w:snapToGrid/>
      <w:sz w:val="18"/>
      <w:szCs w:val="18"/>
    </w:rPr>
  </w:style>
  <w:style w:type="paragraph" w:customStyle="1" w:styleId="xl36">
    <w:name w:val="xl36"/>
    <w:basedOn w:val="Normal"/>
    <w:rsid w:val="003C7693"/>
    <w:pPr>
      <w:widowControl/>
      <w:spacing w:before="100" w:beforeAutospacing="1" w:after="100" w:afterAutospacing="1"/>
    </w:pPr>
    <w:rPr>
      <w:rFonts w:ascii="Arial Narrow" w:hAnsi="Arial Narrow"/>
      <w:b/>
      <w:bCs/>
      <w:snapToGrid/>
      <w:sz w:val="18"/>
      <w:szCs w:val="18"/>
    </w:rPr>
  </w:style>
  <w:style w:type="paragraph" w:customStyle="1" w:styleId="xl37">
    <w:name w:val="xl37"/>
    <w:basedOn w:val="Normal"/>
    <w:rsid w:val="003C7693"/>
    <w:pPr>
      <w:widowControl/>
      <w:pBdr>
        <w:bottom w:val="single" w:sz="8" w:space="0" w:color="auto"/>
      </w:pBdr>
      <w:spacing w:before="100" w:beforeAutospacing="1" w:after="100" w:afterAutospacing="1"/>
    </w:pPr>
    <w:rPr>
      <w:rFonts w:ascii="Arial Narrow" w:hAnsi="Arial Narrow"/>
      <w:snapToGrid/>
      <w:sz w:val="18"/>
      <w:szCs w:val="18"/>
    </w:rPr>
  </w:style>
  <w:style w:type="paragraph" w:styleId="ListParagraph">
    <w:name w:val="List Paragraph"/>
    <w:basedOn w:val="Normal"/>
    <w:uiPriority w:val="34"/>
    <w:qFormat/>
    <w:rsid w:val="003C7693"/>
    <w:pPr>
      <w:widowControl/>
      <w:ind w:left="720"/>
    </w:pPr>
    <w:rPr>
      <w:rFonts w:ascii="Calibri" w:eastAsia="Calibri" w:hAnsi="Calibri"/>
      <w:snapToGrid/>
      <w:sz w:val="22"/>
      <w:szCs w:val="22"/>
    </w:rPr>
  </w:style>
  <w:style w:type="table" w:styleId="TableGrid">
    <w:name w:val="Table Grid"/>
    <w:aliases w:val="Standard Table Format"/>
    <w:basedOn w:val="TableNormal"/>
    <w:rsid w:val="00AA115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Chap. Head Char,H1-Sec.Hea Char,H1-Sec.Head Char"/>
    <w:link w:val="Heading1"/>
    <w:uiPriority w:val="9"/>
    <w:rsid w:val="00402B42"/>
    <w:rPr>
      <w:b/>
      <w:snapToGrid/>
      <w:sz w:val="24"/>
    </w:rPr>
  </w:style>
  <w:style w:type="character" w:customStyle="1" w:styleId="Heading2Char">
    <w:name w:val="Heading 2 Char"/>
    <w:aliases w:val="H2-Sec. He Char,H2-Sec. Head Char"/>
    <w:link w:val="Heading2"/>
    <w:uiPriority w:val="99"/>
    <w:rsid w:val="003A6CFA"/>
    <w:rPr>
      <w:b/>
      <w:bCs/>
      <w:snapToGrid w:val="0"/>
      <w:sz w:val="24"/>
    </w:rPr>
  </w:style>
  <w:style w:type="character" w:customStyle="1" w:styleId="Heading3Char">
    <w:name w:val="Heading 3 Char"/>
    <w:aliases w:val="H3-Sec. Head Char"/>
    <w:link w:val="Heading3"/>
    <w:uiPriority w:val="9"/>
    <w:rsid w:val="0062297F"/>
    <w:rPr>
      <w:b/>
      <w:bCs/>
      <w:snapToGrid w:val="0"/>
      <w:sz w:val="24"/>
    </w:rPr>
  </w:style>
  <w:style w:type="character" w:customStyle="1" w:styleId="Heading4Char">
    <w:name w:val="Heading 4 Char"/>
    <w:link w:val="Heading4"/>
    <w:rsid w:val="00402B42"/>
    <w:rPr>
      <w:b/>
      <w:snapToGrid/>
      <w:sz w:val="24"/>
    </w:rPr>
  </w:style>
  <w:style w:type="character" w:customStyle="1" w:styleId="Heading5Char">
    <w:name w:val="Heading 5 Char"/>
    <w:link w:val="Heading5"/>
    <w:rsid w:val="00402B42"/>
    <w:rPr>
      <w:b/>
      <w:snapToGrid/>
      <w:sz w:val="24"/>
    </w:rPr>
  </w:style>
  <w:style w:type="character" w:customStyle="1" w:styleId="Heading6Char">
    <w:name w:val="Heading 6 Char"/>
    <w:link w:val="Heading6"/>
    <w:rsid w:val="00402B42"/>
    <w:rPr>
      <w:b/>
      <w:snapToGrid/>
      <w:sz w:val="24"/>
    </w:rPr>
  </w:style>
  <w:style w:type="character" w:customStyle="1" w:styleId="Heading7Char">
    <w:name w:val="Heading 7 Char"/>
    <w:link w:val="Heading7"/>
    <w:rsid w:val="00402B42"/>
    <w:rPr>
      <w:b/>
      <w:snapToGrid/>
      <w:sz w:val="24"/>
    </w:rPr>
  </w:style>
  <w:style w:type="character" w:customStyle="1" w:styleId="Heading8Char">
    <w:name w:val="Heading 8 Char"/>
    <w:link w:val="Heading8"/>
    <w:rsid w:val="00402B42"/>
    <w:rPr>
      <w:b/>
      <w:snapToGrid/>
      <w:sz w:val="24"/>
    </w:rPr>
  </w:style>
  <w:style w:type="character" w:customStyle="1" w:styleId="Heading9Char">
    <w:name w:val="Heading 9 Char"/>
    <w:link w:val="Heading9"/>
    <w:rsid w:val="00402B42"/>
    <w:rPr>
      <w:snapToGrid/>
      <w:sz w:val="40"/>
    </w:rPr>
  </w:style>
  <w:style w:type="character" w:customStyle="1" w:styleId="EndnoteTextChar">
    <w:name w:val="Endnote Text Char"/>
    <w:link w:val="EndnoteText"/>
    <w:semiHidden/>
    <w:rsid w:val="00402B42"/>
    <w:rPr>
      <w:snapToGrid/>
      <w:sz w:val="24"/>
    </w:rPr>
  </w:style>
  <w:style w:type="character" w:customStyle="1" w:styleId="FootnoteTextChar0">
    <w:name w:val="Footnote Text Char"/>
    <w:aliases w:val="F1 Char,fo Char,footnote text Char Char,ft Char"/>
    <w:link w:val="FootnoteText"/>
    <w:uiPriority w:val="99"/>
    <w:rsid w:val="00402B42"/>
    <w:rPr>
      <w:snapToGrid/>
      <w:sz w:val="24"/>
    </w:rPr>
  </w:style>
  <w:style w:type="character" w:customStyle="1" w:styleId="BodyTextIndentChar">
    <w:name w:val="Body Text Indent Char"/>
    <w:link w:val="BodyTextIndent"/>
    <w:semiHidden/>
    <w:rsid w:val="00402B42"/>
    <w:rPr>
      <w:snapToGrid/>
      <w:sz w:val="24"/>
    </w:rPr>
  </w:style>
  <w:style w:type="character" w:customStyle="1" w:styleId="BodyTextIndent2Char">
    <w:name w:val="Body Text Indent 2 Char"/>
    <w:link w:val="BodyTextIndent2"/>
    <w:semiHidden/>
    <w:rsid w:val="00402B42"/>
    <w:rPr>
      <w:snapToGrid/>
      <w:sz w:val="24"/>
    </w:rPr>
  </w:style>
  <w:style w:type="character" w:customStyle="1" w:styleId="BodyTextChar">
    <w:name w:val="Body Text Char"/>
    <w:link w:val="BodyText"/>
    <w:rsid w:val="00402B42"/>
    <w:rPr>
      <w:b/>
      <w:snapToGrid/>
      <w:sz w:val="24"/>
    </w:rPr>
  </w:style>
  <w:style w:type="character" w:customStyle="1" w:styleId="HeaderChar">
    <w:name w:val="Header Char"/>
    <w:link w:val="Header"/>
    <w:rsid w:val="00402B42"/>
    <w:rPr>
      <w:snapToGrid/>
      <w:sz w:val="24"/>
    </w:rPr>
  </w:style>
  <w:style w:type="character" w:customStyle="1" w:styleId="TitleChar">
    <w:name w:val="Title Char"/>
    <w:link w:val="Title"/>
    <w:uiPriority w:val="10"/>
    <w:rsid w:val="00402B42"/>
    <w:rPr>
      <w:b/>
      <w:snapToGrid/>
      <w:sz w:val="28"/>
    </w:rPr>
  </w:style>
  <w:style w:type="character" w:customStyle="1" w:styleId="PlainTextChar">
    <w:name w:val="Plain Text Char"/>
    <w:link w:val="PlainText"/>
    <w:semiHidden/>
    <w:rsid w:val="00402B42"/>
    <w:rPr>
      <w:rFonts w:ascii="Courier New" w:hAnsi="Courier New"/>
      <w:b/>
    </w:rPr>
  </w:style>
  <w:style w:type="character" w:customStyle="1" w:styleId="DateChar">
    <w:name w:val="Date Char"/>
    <w:link w:val="Date"/>
    <w:semiHidden/>
    <w:rsid w:val="00402B42"/>
    <w:rPr>
      <w:color w:val="000000"/>
      <w:sz w:val="24"/>
    </w:rPr>
  </w:style>
  <w:style w:type="character" w:customStyle="1" w:styleId="BodyTextIndent3Char">
    <w:name w:val="Body Text Indent 3 Char"/>
    <w:link w:val="BodyTextIndent3"/>
    <w:semiHidden/>
    <w:rsid w:val="00402B42"/>
    <w:rPr>
      <w:snapToGrid/>
      <w:sz w:val="24"/>
    </w:rPr>
  </w:style>
  <w:style w:type="character" w:customStyle="1" w:styleId="CommentTextChar">
    <w:name w:val="Comment Text Char"/>
    <w:link w:val="CommentText"/>
    <w:uiPriority w:val="99"/>
    <w:rsid w:val="00402B42"/>
  </w:style>
  <w:style w:type="character" w:customStyle="1" w:styleId="CommentSubjectChar">
    <w:name w:val="Comment Subject Char"/>
    <w:link w:val="CommentSubject"/>
    <w:semiHidden/>
    <w:rsid w:val="00402B42"/>
    <w:rPr>
      <w:b/>
      <w:bCs/>
    </w:rPr>
  </w:style>
  <w:style w:type="paragraph" w:customStyle="1" w:styleId="ListBullet210">
    <w:name w:val="List Bullet 21_0"/>
    <w:basedOn w:val="ListBullet"/>
    <w:rsid w:val="00402B42"/>
    <w:pPr>
      <w:tabs>
        <w:tab w:val="num" w:pos="1080"/>
      </w:tabs>
      <w:spacing w:before="120"/>
      <w:ind w:left="1080" w:hanging="360"/>
    </w:pPr>
  </w:style>
  <w:style w:type="character" w:customStyle="1" w:styleId="QuoteChar">
    <w:name w:val="Quote Char"/>
    <w:link w:val="Quote"/>
    <w:rsid w:val="00402B42"/>
    <w:rPr>
      <w:iCs/>
      <w:sz w:val="22"/>
    </w:rPr>
  </w:style>
  <w:style w:type="character" w:customStyle="1" w:styleId="SubtitleChar">
    <w:name w:val="Subtitle Char"/>
    <w:link w:val="Subtitle"/>
    <w:rsid w:val="00402B42"/>
    <w:rPr>
      <w:b/>
    </w:rPr>
  </w:style>
  <w:style w:type="paragraph" w:customStyle="1" w:styleId="BodyText210">
    <w:name w:val="Body Text 21_0"/>
    <w:basedOn w:val="Normal"/>
    <w:rsid w:val="00402B42"/>
    <w:pPr>
      <w:widowControl/>
      <w:spacing w:before="120" w:after="120"/>
    </w:pPr>
    <w:rPr>
      <w:snapToGrid/>
      <w:sz w:val="22"/>
      <w:szCs w:val="22"/>
    </w:rPr>
  </w:style>
  <w:style w:type="paragraph" w:customStyle="1" w:styleId="BodyText10">
    <w:name w:val="Body Text1_0"/>
    <w:rsid w:val="00402B42"/>
    <w:pPr>
      <w:spacing w:line="300" w:lineRule="atLeast"/>
    </w:pPr>
    <w:rPr>
      <w:snapToGrid w:val="0"/>
      <w:sz w:val="22"/>
    </w:rPr>
  </w:style>
  <w:style w:type="character" w:customStyle="1" w:styleId="HTMLPreformattedChar">
    <w:name w:val="HTML Preformatted Char"/>
    <w:link w:val="HTMLPreformatted"/>
    <w:semiHidden/>
    <w:rsid w:val="00402B42"/>
    <w:rPr>
      <w:rFonts w:ascii="Arial Unicode MS" w:eastAsia="Arial Unicode MS" w:hAnsi="Arial Unicode MS" w:cs="Arial Unicode MS"/>
    </w:rPr>
  </w:style>
  <w:style w:type="paragraph" w:styleId="Revision">
    <w:name w:val="Revision"/>
    <w:hidden/>
    <w:uiPriority w:val="99"/>
    <w:semiHidden/>
    <w:rsid w:val="00402B42"/>
    <w:rPr>
      <w:snapToGrid w:val="0"/>
      <w:sz w:val="24"/>
    </w:rPr>
  </w:style>
  <w:style w:type="paragraph" w:styleId="NoSpacing">
    <w:name w:val="No Spacing"/>
    <w:uiPriority w:val="1"/>
    <w:qFormat/>
    <w:rsid w:val="00971B6A"/>
    <w:pPr>
      <w:widowControl w:val="0"/>
    </w:pPr>
    <w:rPr>
      <w:snapToGrid w:val="0"/>
      <w:sz w:val="24"/>
    </w:rPr>
  </w:style>
  <w:style w:type="paragraph" w:customStyle="1" w:styleId="Default">
    <w:name w:val="Default"/>
    <w:basedOn w:val="Normal"/>
    <w:rsid w:val="00C55CEA"/>
    <w:pPr>
      <w:widowControl/>
      <w:autoSpaceDE w:val="0"/>
      <w:autoSpaceDN w:val="0"/>
    </w:pPr>
    <w:rPr>
      <w:rFonts w:eastAsiaTheme="minorHAnsi"/>
      <w:snapToGrid/>
      <w:color w:val="000000"/>
      <w:szCs w:val="24"/>
    </w:rPr>
  </w:style>
  <w:style w:type="paragraph" w:customStyle="1" w:styleId="L1-FlLSp12">
    <w:name w:val="L1-FlL Sp&amp;1/2"/>
    <w:basedOn w:val="Normal"/>
    <w:link w:val="L1-FlLSp12Char"/>
    <w:uiPriority w:val="99"/>
    <w:rsid w:val="001F25B8"/>
    <w:pPr>
      <w:widowControl/>
      <w:tabs>
        <w:tab w:val="left" w:pos="1152"/>
      </w:tabs>
      <w:spacing w:line="360" w:lineRule="atLeast"/>
    </w:pPr>
    <w:rPr>
      <w:rFonts w:ascii="Garamond" w:hAnsi="Garamond" w:eastAsiaTheme="minorEastAsia"/>
      <w:snapToGrid/>
    </w:rPr>
  </w:style>
  <w:style w:type="character" w:customStyle="1" w:styleId="L1-FlLSp12Char">
    <w:name w:val="L1-FlL Sp&amp;1/2 Char"/>
    <w:link w:val="L1-FlLSp12"/>
    <w:uiPriority w:val="99"/>
    <w:locked/>
    <w:rsid w:val="001F25B8"/>
    <w:rPr>
      <w:rFonts w:ascii="Garamond" w:hAnsi="Garamond" w:eastAsiaTheme="minorEastAsia"/>
      <w:sz w:val="24"/>
    </w:rPr>
  </w:style>
  <w:style w:type="character" w:styleId="UnresolvedMention">
    <w:name w:val="Unresolved Mention"/>
    <w:basedOn w:val="DefaultParagraphFont"/>
    <w:uiPriority w:val="99"/>
    <w:semiHidden/>
    <w:unhideWhenUsed/>
    <w:rsid w:val="00BE5B34"/>
    <w:rPr>
      <w:color w:val="605E5C"/>
      <w:shd w:val="clear" w:color="auto" w:fill="E1DFDD"/>
    </w:rPr>
  </w:style>
  <w:style w:type="character" w:styleId="Emphasis">
    <w:name w:val="Emphasis"/>
    <w:basedOn w:val="DefaultParagraphFont"/>
    <w:uiPriority w:val="20"/>
    <w:qFormat/>
    <w:rsid w:val="00722646"/>
    <w:rPr>
      <w:i/>
      <w:iCs/>
    </w:rPr>
  </w:style>
  <w:style w:type="character" w:styleId="SubtleEmphasis">
    <w:name w:val="Subtle Emphasis"/>
    <w:basedOn w:val="DefaultParagraphFont"/>
    <w:uiPriority w:val="19"/>
    <w:qFormat/>
    <w:rsid w:val="003A6CFA"/>
    <w:rPr>
      <w:i/>
      <w:iCs/>
      <w:color w:val="404040" w:themeColor="text1" w:themeTint="BF"/>
    </w:rPr>
  </w:style>
  <w:style w:type="character" w:styleId="Mention">
    <w:name w:val="Mention"/>
    <w:basedOn w:val="DefaultParagraphFont"/>
    <w:uiPriority w:val="99"/>
    <w:unhideWhenUsed/>
    <w:rsid w:val="00545594"/>
    <w:rPr>
      <w:color w:val="2B579A"/>
      <w:shd w:val="clear" w:color="auto" w:fill="E1DFDD"/>
    </w:rPr>
  </w:style>
  <w:style w:type="paragraph" w:customStyle="1" w:styleId="AppxTitle">
    <w:name w:val="Appx Title"/>
    <w:basedOn w:val="Heading2"/>
    <w:next w:val="Normal"/>
    <w:qFormat/>
    <w:rsid w:val="0074245D"/>
    <w:pPr>
      <w:widowControl/>
      <w:numPr>
        <w:numId w:val="45"/>
      </w:numP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after="480" w:line="276" w:lineRule="auto"/>
    </w:pPr>
    <w:rPr>
      <w:rFonts w:asciiTheme="majorHAnsi" w:eastAsiaTheme="majorEastAsia" w:hAnsiTheme="majorHAnsi" w:cstheme="majorBidi"/>
      <w:bCs w:val="0"/>
      <w:snapToGrid/>
      <w:color w:val="4F81BD" w:themeColor="accent1"/>
      <w:sz w:val="44"/>
      <w:szCs w:val="24"/>
    </w:rPr>
  </w:style>
  <w:style w:type="numbering" w:customStyle="1" w:styleId="AppxCaptions">
    <w:name w:val="Appx Captions"/>
    <w:uiPriority w:val="99"/>
    <w:rsid w:val="0074245D"/>
    <w:pPr>
      <w:numPr>
        <w:numId w:val="44"/>
      </w:numPr>
    </w:pPr>
  </w:style>
  <w:style w:type="paragraph" w:customStyle="1" w:styleId="AppxExhibitTitle">
    <w:name w:val="Appx Exhibit Title"/>
    <w:basedOn w:val="ExhibitTitle"/>
    <w:qFormat/>
    <w:rsid w:val="0074245D"/>
    <w:pPr>
      <w:numPr>
        <w:ilvl w:val="1"/>
        <w:numId w:val="45"/>
      </w:numPr>
      <w:suppressAutoHyphens/>
      <w:spacing w:before="240" w:after="120" w:line="276" w:lineRule="auto"/>
    </w:pPr>
    <w:rPr>
      <w:rFonts w:asciiTheme="majorHAnsi" w:hAnsiTheme="majorHAnsi" w:cs="Times"/>
      <w:b w:val="0"/>
      <w:iCs/>
      <w:color w:val="4F81BD" w:themeColor="accent1"/>
      <w:sz w:val="24"/>
      <w:szCs w:val="24"/>
    </w:rPr>
  </w:style>
  <w:style w:type="paragraph" w:customStyle="1" w:styleId="pf0">
    <w:name w:val="pf0"/>
    <w:basedOn w:val="Normal"/>
    <w:rsid w:val="001B78A9"/>
    <w:pPr>
      <w:widowControl/>
      <w:spacing w:before="100" w:beforeAutospacing="1" w:after="100" w:afterAutospacing="1"/>
    </w:pPr>
    <w:rPr>
      <w:snapToGrid/>
      <w:szCs w:val="24"/>
    </w:rPr>
  </w:style>
  <w:style w:type="character" w:customStyle="1" w:styleId="cf01">
    <w:name w:val="cf01"/>
    <w:basedOn w:val="DefaultParagraphFont"/>
    <w:rsid w:val="001B78A9"/>
    <w:rPr>
      <w:rFonts w:ascii="Segoe UI" w:hAnsi="Segoe UI" w:cs="Segoe UI" w:hint="default"/>
      <w:sz w:val="18"/>
      <w:szCs w:val="18"/>
    </w:rPr>
  </w:style>
  <w:style w:type="character" w:customStyle="1" w:styleId="cf11">
    <w:name w:val="cf11"/>
    <w:basedOn w:val="DefaultParagraphFont"/>
    <w:rsid w:val="002E23F6"/>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fa5803-508d-4582-85c8-b66ae5e2fd55">
      <Terms xmlns="http://schemas.microsoft.com/office/infopath/2007/PartnerControls"/>
    </lcf76f155ced4ddcb4097134ff3c332f>
    <TaxCatchAll xmlns="36ffe3cc-530f-44c1-b10b-d8f7c36f54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183CBDE2B3BE47B209B0737282B1BF" ma:contentTypeVersion="16" ma:contentTypeDescription="Create a new document." ma:contentTypeScope="" ma:versionID="cf7bab559d04ee0122f51764ad3ea805">
  <xsd:schema xmlns:xsd="http://www.w3.org/2001/XMLSchema" xmlns:xs="http://www.w3.org/2001/XMLSchema" xmlns:p="http://schemas.microsoft.com/office/2006/metadata/properties" xmlns:ns2="69fa5803-508d-4582-85c8-b66ae5e2fd55" xmlns:ns3="36ffe3cc-530f-44c1-b10b-d8f7c36f54ab" targetNamespace="http://schemas.microsoft.com/office/2006/metadata/properties" ma:root="true" ma:fieldsID="7a467666fcb52f991460f4b2ddf7d489" ns2:_="" ns3:_="">
    <xsd:import namespace="69fa5803-508d-4582-85c8-b66ae5e2fd55"/>
    <xsd:import namespace="36ffe3cc-530f-44c1-b10b-d8f7c36f54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fa5803-508d-4582-85c8-b66ae5e2f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ffe3cc-530f-44c1-b10b-d8f7c36f54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4c2f9eb-f345-43ee-9d11-2280b40daf99}" ma:internalName="TaxCatchAll" ma:showField="CatchAllData" ma:web="36ffe3cc-530f-44c1-b10b-d8f7c36f5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558A41-404A-49BC-BA8E-E54C6C6B5395}">
  <ds:schemaRefs>
    <ds:schemaRef ds:uri="http://schemas.microsoft.com/office/2006/metadata/properties"/>
    <ds:schemaRef ds:uri="http://schemas.microsoft.com/office/infopath/2007/PartnerControls"/>
    <ds:schemaRef ds:uri="69fa5803-508d-4582-85c8-b66ae5e2fd55"/>
    <ds:schemaRef ds:uri="36ffe3cc-530f-44c1-b10b-d8f7c36f54ab"/>
  </ds:schemaRefs>
</ds:datastoreItem>
</file>

<file path=customXml/itemProps2.xml><?xml version="1.0" encoding="utf-8"?>
<ds:datastoreItem xmlns:ds="http://schemas.openxmlformats.org/officeDocument/2006/customXml" ds:itemID="{E107BB24-5E90-465F-AF59-8F0815464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fa5803-508d-4582-85c8-b66ae5e2fd55"/>
    <ds:schemaRef ds:uri="36ffe3cc-530f-44c1-b10b-d8f7c36f5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F6D530-4D32-4B5A-83A3-6D8115D78C71}">
  <ds:schemaRefs>
    <ds:schemaRef ds:uri="http://schemas.openxmlformats.org/officeDocument/2006/bibliography"/>
  </ds:schemaRefs>
</ds:datastoreItem>
</file>

<file path=customXml/itemProps4.xml><?xml version="1.0" encoding="utf-8"?>
<ds:datastoreItem xmlns:ds="http://schemas.openxmlformats.org/officeDocument/2006/customXml" ds:itemID="{DE417C3E-134F-477B-86C5-B8C3B19B27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7279</Words>
  <Characters>41916</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tfs omb supporting statement [Memorandum]</vt:lpstr>
    </vt:vector>
  </TitlesOfParts>
  <Company>U.S. Dept of Education</Company>
  <LinksUpToDate>false</LinksUpToDate>
  <CharactersWithSpaces>49097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tfs omb supporting statement [Memorandum]</dc:title>
  <dc:creator>NCES</dc:creator>
  <cp:lastModifiedBy>Jennifer Tilley Rhea (CENSUS/ADDP FED)</cp:lastModifiedBy>
  <cp:revision>3</cp:revision>
  <cp:lastPrinted>2012-05-22T16:30:00Z</cp:lastPrinted>
  <dcterms:created xsi:type="dcterms:W3CDTF">2025-01-10T13:04:00Z</dcterms:created>
  <dcterms:modified xsi:type="dcterms:W3CDTF">2025-01-10T13:05:00Z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0x01010003183CBDE2B3BE47B209B0737282B1BF</vt:lpwstr>
  </property>
  <property fmtid="{D5CDD505-2E9C-101B-9397-08002B2CF9AE}" pid="3" name="MediaServiceImageTags">
    <vt:lpwstr/>
  </property>
</Properties>
</file>