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4663" w:rsidRPr="0049417A" w:rsidP="00794663" w14:paraId="071A8806" w14:textId="77777777">
      <w:pPr>
        <w:jc w:val="center"/>
        <w:rPr>
          <w:szCs w:val="26"/>
        </w:rPr>
      </w:pPr>
      <w:r w:rsidRPr="0049417A">
        <w:rPr>
          <w:szCs w:val="26"/>
        </w:rPr>
        <w:t>UNITED STATES OF AMERICA</w:t>
      </w:r>
    </w:p>
    <w:p w:rsidR="00794663" w:rsidRPr="0049417A" w:rsidP="00794663" w14:paraId="1FE1003C" w14:textId="77777777">
      <w:pPr>
        <w:jc w:val="center"/>
        <w:rPr>
          <w:szCs w:val="26"/>
        </w:rPr>
      </w:pPr>
      <w:r w:rsidRPr="0049417A">
        <w:rPr>
          <w:szCs w:val="26"/>
        </w:rPr>
        <w:t>FEDERAL ENERGY REGULATORY COMMISSION</w:t>
      </w:r>
    </w:p>
    <w:p w:rsidR="00794663" w:rsidRPr="0049417A" w:rsidP="00794663" w14:paraId="15D2BE2A" w14:textId="77777777">
      <w:pPr>
        <w:rPr>
          <w:szCs w:val="26"/>
        </w:rPr>
      </w:pPr>
    </w:p>
    <w:p w:rsidR="00794663" w:rsidRPr="0049417A" w:rsidP="00794663" w14:paraId="50D605DB" w14:textId="576FF9FD">
      <w:pPr>
        <w:jc w:val="center"/>
        <w:rPr>
          <w:szCs w:val="26"/>
        </w:rPr>
      </w:pPr>
      <w:r w:rsidRPr="0049417A">
        <w:rPr>
          <w:szCs w:val="26"/>
        </w:rPr>
        <w:t>[Docket No. IC</w:t>
      </w:r>
      <w:r w:rsidRPr="0049417A" w:rsidR="00F7561E">
        <w:rPr>
          <w:szCs w:val="26"/>
        </w:rPr>
        <w:t>2</w:t>
      </w:r>
      <w:r w:rsidRPr="0049417A" w:rsidR="00831559">
        <w:rPr>
          <w:szCs w:val="26"/>
        </w:rPr>
        <w:t>5</w:t>
      </w:r>
      <w:r w:rsidRPr="0049417A" w:rsidR="00F7561E">
        <w:rPr>
          <w:szCs w:val="26"/>
        </w:rPr>
        <w:t>-</w:t>
      </w:r>
      <w:r w:rsidRPr="0049417A" w:rsidR="00831559">
        <w:rPr>
          <w:szCs w:val="26"/>
        </w:rPr>
        <w:t>8</w:t>
      </w:r>
      <w:r w:rsidRPr="0049417A">
        <w:rPr>
          <w:szCs w:val="26"/>
        </w:rPr>
        <w:t>-000]</w:t>
      </w:r>
    </w:p>
    <w:p w:rsidR="00794663" w:rsidRPr="0049417A" w:rsidP="00794663" w14:paraId="3DAB9007" w14:textId="77777777">
      <w:pPr>
        <w:rPr>
          <w:szCs w:val="26"/>
        </w:rPr>
      </w:pPr>
    </w:p>
    <w:p w:rsidR="00794663" w:rsidRPr="0049417A" w:rsidP="00794663" w14:paraId="067AE651" w14:textId="45E2FC6C">
      <w:pPr>
        <w:jc w:val="center"/>
        <w:rPr>
          <w:szCs w:val="26"/>
        </w:rPr>
      </w:pPr>
      <w:r w:rsidRPr="0049417A">
        <w:rPr>
          <w:szCs w:val="26"/>
        </w:rPr>
        <w:t>COMMISSION INFORMATION COLLECTION ACTIVITIES (FERC-</w:t>
      </w:r>
      <w:r w:rsidRPr="0049417A" w:rsidR="009A399C">
        <w:rPr>
          <w:szCs w:val="26"/>
        </w:rPr>
        <w:t>725D</w:t>
      </w:r>
      <w:r w:rsidRPr="0049417A">
        <w:rPr>
          <w:szCs w:val="26"/>
        </w:rPr>
        <w:t>);</w:t>
      </w:r>
    </w:p>
    <w:p w:rsidR="00794663" w:rsidRPr="0049417A" w:rsidP="00794663" w14:paraId="33E26ECB" w14:textId="430AEBA2">
      <w:pPr>
        <w:jc w:val="center"/>
        <w:rPr>
          <w:szCs w:val="26"/>
        </w:rPr>
      </w:pPr>
      <w:r w:rsidRPr="0049417A">
        <w:rPr>
          <w:szCs w:val="26"/>
        </w:rPr>
        <w:t>COMMENT REQUEST; EXTENSION</w:t>
      </w:r>
    </w:p>
    <w:p w:rsidR="00794663" w:rsidRPr="0049417A" w:rsidP="00794663" w14:paraId="10C13286" w14:textId="77777777">
      <w:pPr>
        <w:rPr>
          <w:szCs w:val="26"/>
        </w:rPr>
      </w:pPr>
    </w:p>
    <w:p w:rsidR="0049417A" w:rsidP="00A6544A" w14:paraId="7F56B6B3" w14:textId="22A5CAA0">
      <w:pPr>
        <w:jc w:val="center"/>
        <w:rPr>
          <w:szCs w:val="26"/>
        </w:rPr>
      </w:pPr>
      <w:r w:rsidRPr="00A6544A">
        <w:rPr>
          <w:szCs w:val="26"/>
        </w:rPr>
        <w:t>(April 7, 2025)</w:t>
      </w:r>
    </w:p>
    <w:p w:rsidR="00A6544A" w:rsidRPr="00A6544A" w:rsidP="00A6544A" w14:paraId="3D082366" w14:textId="77777777">
      <w:pPr>
        <w:rPr>
          <w:szCs w:val="26"/>
        </w:rPr>
      </w:pPr>
    </w:p>
    <w:p w:rsidR="00794663" w:rsidRPr="0049417A" w:rsidP="00794663" w14:paraId="3610ACFF" w14:textId="77777777">
      <w:pPr>
        <w:rPr>
          <w:szCs w:val="26"/>
        </w:rPr>
      </w:pPr>
      <w:r w:rsidRPr="0049417A">
        <w:rPr>
          <w:b/>
          <w:szCs w:val="26"/>
        </w:rPr>
        <w:t>AGENCY:</w:t>
      </w:r>
      <w:r w:rsidRPr="0049417A">
        <w:rPr>
          <w:szCs w:val="26"/>
        </w:rPr>
        <w:t xml:space="preserve">  Federal Energy Regulatory Commission.</w:t>
      </w:r>
    </w:p>
    <w:p w:rsidR="00794663" w:rsidRPr="0049417A" w:rsidP="00794663" w14:paraId="38C98283" w14:textId="77777777">
      <w:pPr>
        <w:rPr>
          <w:szCs w:val="26"/>
        </w:rPr>
      </w:pPr>
    </w:p>
    <w:p w:rsidR="00794663" w:rsidRPr="0049417A" w:rsidP="00794663" w14:paraId="25A0A732" w14:textId="14FE77FA">
      <w:pPr>
        <w:spacing w:line="480" w:lineRule="auto"/>
        <w:rPr>
          <w:szCs w:val="26"/>
        </w:rPr>
      </w:pPr>
      <w:r w:rsidRPr="0049417A">
        <w:rPr>
          <w:b/>
          <w:szCs w:val="26"/>
        </w:rPr>
        <w:t>ACTION:</w:t>
      </w:r>
      <w:r w:rsidRPr="0049417A">
        <w:rPr>
          <w:szCs w:val="26"/>
        </w:rPr>
        <w:t xml:space="preserve">  Notice of information collection and request for comments.</w:t>
      </w:r>
    </w:p>
    <w:p w:rsidR="004E3713" w:rsidRPr="0049417A" w:rsidP="004E3713" w14:paraId="1F3AE735" w14:textId="1252F5B5">
      <w:pPr>
        <w:spacing w:line="480" w:lineRule="auto"/>
        <w:rPr>
          <w:szCs w:val="26"/>
        </w:rPr>
      </w:pPr>
      <w:r w:rsidRPr="0049417A">
        <w:rPr>
          <w:b/>
          <w:szCs w:val="26"/>
        </w:rPr>
        <w:t>SUMMARY:</w:t>
      </w:r>
      <w:r w:rsidRPr="0049417A">
        <w:rPr>
          <w:szCs w:val="26"/>
        </w:rPr>
        <w:t xml:space="preserve">  In compliance with the requirements of the Paperwork Reduction Act of 1995, the Federal Energy Regulatory Commission (Commission or FERC) is soliciting public comment on a re</w:t>
      </w:r>
      <w:r w:rsidRPr="0049417A" w:rsidR="00E4588B">
        <w:rPr>
          <w:szCs w:val="26"/>
        </w:rPr>
        <w:t>newal</w:t>
      </w:r>
      <w:r w:rsidRPr="0049417A">
        <w:rPr>
          <w:szCs w:val="26"/>
        </w:rPr>
        <w:t xml:space="preserve"> </w:t>
      </w:r>
      <w:r w:rsidRPr="0049417A" w:rsidR="00E4588B">
        <w:rPr>
          <w:szCs w:val="26"/>
        </w:rPr>
        <w:t>of currently approved</w:t>
      </w:r>
      <w:r w:rsidRPr="0049417A">
        <w:rPr>
          <w:szCs w:val="26"/>
        </w:rPr>
        <w:t xml:space="preserve"> information collection, FERC-</w:t>
      </w:r>
      <w:r w:rsidRPr="0049417A" w:rsidR="009A399C">
        <w:rPr>
          <w:szCs w:val="26"/>
        </w:rPr>
        <w:t>725D</w:t>
      </w:r>
      <w:r w:rsidRPr="0049417A">
        <w:rPr>
          <w:szCs w:val="26"/>
        </w:rPr>
        <w:t xml:space="preserve"> </w:t>
      </w:r>
      <w:r w:rsidRPr="0049417A" w:rsidR="00910883">
        <w:rPr>
          <w:szCs w:val="26"/>
        </w:rPr>
        <w:t>(</w:t>
      </w:r>
      <w:r w:rsidRPr="0049417A" w:rsidR="009A399C">
        <w:rPr>
          <w:color w:val="000000"/>
          <w:szCs w:val="26"/>
        </w:rPr>
        <w:t>Facilities Design, Connections and Maintenance Reliability Standards</w:t>
      </w:r>
      <w:r w:rsidRPr="0049417A" w:rsidR="00910883">
        <w:rPr>
          <w:color w:val="000000"/>
          <w:szCs w:val="26"/>
        </w:rPr>
        <w:t>)</w:t>
      </w:r>
      <w:r w:rsidRPr="0049417A">
        <w:rPr>
          <w:szCs w:val="26"/>
        </w:rPr>
        <w:t xml:space="preserve">. </w:t>
      </w:r>
      <w:r w:rsidRPr="0049417A" w:rsidR="003E1161">
        <w:rPr>
          <w:szCs w:val="26"/>
        </w:rPr>
        <w:t>This notice for the transfer of FAC-003-5 (725M) and FAC-008-5 (725A) to 725D.</w:t>
      </w:r>
    </w:p>
    <w:p w:rsidR="004E3713" w:rsidRPr="0049417A" w:rsidP="004E3713" w14:paraId="31C49F04" w14:textId="5A4EF6DA">
      <w:pPr>
        <w:spacing w:line="480" w:lineRule="auto"/>
        <w:rPr>
          <w:szCs w:val="26"/>
        </w:rPr>
      </w:pPr>
      <w:r w:rsidRPr="0049417A">
        <w:rPr>
          <w:b/>
          <w:szCs w:val="26"/>
        </w:rPr>
        <w:t>DATES:</w:t>
      </w:r>
      <w:r w:rsidRPr="0049417A">
        <w:rPr>
          <w:szCs w:val="26"/>
        </w:rPr>
        <w:t xml:space="preserve">  Comments on the collection of information are due</w:t>
      </w:r>
      <w:r w:rsidRPr="0049417A">
        <w:rPr>
          <w:b/>
          <w:szCs w:val="26"/>
        </w:rPr>
        <w:t xml:space="preserve"> [</w:t>
      </w:r>
      <w:r w:rsidRPr="0049417A" w:rsidR="00DF4B69">
        <w:rPr>
          <w:b/>
          <w:szCs w:val="26"/>
        </w:rPr>
        <w:t xml:space="preserve">Insert Date </w:t>
      </w:r>
      <w:r w:rsidR="006A607F">
        <w:rPr>
          <w:b/>
          <w:szCs w:val="26"/>
        </w:rPr>
        <w:t>3</w:t>
      </w:r>
      <w:r w:rsidRPr="0049417A">
        <w:rPr>
          <w:b/>
          <w:szCs w:val="26"/>
        </w:rPr>
        <w:t xml:space="preserve">0 days after </w:t>
      </w:r>
      <w:r w:rsidRPr="0049417A" w:rsidR="00A54C23">
        <w:rPr>
          <w:b/>
          <w:szCs w:val="26"/>
        </w:rPr>
        <w:t xml:space="preserve">date of </w:t>
      </w:r>
      <w:r w:rsidRPr="0049417A">
        <w:rPr>
          <w:b/>
          <w:szCs w:val="26"/>
        </w:rPr>
        <w:t>publication in the Federal Register].</w:t>
      </w:r>
      <w:r w:rsidRPr="0049417A">
        <w:rPr>
          <w:szCs w:val="26"/>
        </w:rPr>
        <w:t xml:space="preserve"> </w:t>
      </w:r>
    </w:p>
    <w:p w:rsidR="006A607F" w:rsidP="006A607F" w14:paraId="5D05F3EC" w14:textId="0600102D">
      <w:pPr>
        <w:spacing w:line="480" w:lineRule="auto"/>
        <w:rPr>
          <w:szCs w:val="26"/>
        </w:rPr>
      </w:pPr>
      <w:r>
        <w:rPr>
          <w:b/>
          <w:szCs w:val="26"/>
        </w:rPr>
        <w:t>ADDRESSES:</w:t>
      </w:r>
      <w:r>
        <w:rPr>
          <w:szCs w:val="26"/>
        </w:rPr>
        <w:t xml:space="preserve"> </w:t>
      </w:r>
      <w:r>
        <w:rPr>
          <w:iCs/>
          <w:szCs w:val="26"/>
        </w:rPr>
        <w:t>Send written comments on FERC-</w:t>
      </w:r>
      <w:r>
        <w:rPr>
          <w:szCs w:val="26"/>
        </w:rPr>
        <w:t xml:space="preserve">725D </w:t>
      </w:r>
      <w:r>
        <w:rPr>
          <w:iCs/>
          <w:szCs w:val="26"/>
        </w:rPr>
        <w:t xml:space="preserve">to OMB through </w:t>
      </w:r>
      <w:hyperlink r:id="rId10" w:history="1">
        <w:r>
          <w:rPr>
            <w:rStyle w:val="Hyperlink"/>
          </w:rPr>
          <w:t>www.reginfo.gov/public/do/PRAMain</w:t>
        </w:r>
      </w:hyperlink>
      <w:r>
        <w:rPr>
          <w:szCs w:val="26"/>
        </w:rPr>
        <w:t>.</w:t>
      </w:r>
      <w:r>
        <w:rPr>
          <w:iCs/>
          <w:szCs w:val="26"/>
        </w:rPr>
        <w:t xml:space="preserve">  Attention:  Federal Energy Regulatory Commission Desk Officer.  Please identify the OMB Control Number (1902-0247) in the subject line of your comments.  Comments</w:t>
      </w:r>
      <w:r>
        <w:rPr>
          <w:szCs w:val="26"/>
        </w:rPr>
        <w:t xml:space="preserve"> should be sent </w:t>
      </w:r>
      <w:bookmarkStart w:id="0" w:name="_Hlk35891527"/>
      <w:r>
        <w:rPr>
          <w:szCs w:val="26"/>
        </w:rPr>
        <w:t xml:space="preserve">within 30 days of publication of this notice to </w:t>
      </w:r>
      <w:bookmarkStart w:id="1" w:name="_Hlk38028221"/>
      <w:hyperlink r:id="rId10" w:history="1">
        <w:r>
          <w:rPr>
            <w:rStyle w:val="Hyperlink"/>
          </w:rPr>
          <w:t>www.reginfo.gov/public/do/PRAMain</w:t>
        </w:r>
      </w:hyperlink>
      <w:r>
        <w:rPr>
          <w:szCs w:val="26"/>
        </w:rPr>
        <w:t>.</w:t>
      </w:r>
      <w:bookmarkEnd w:id="0"/>
      <w:bookmarkEnd w:id="1"/>
    </w:p>
    <w:p w:rsidR="006A607F" w:rsidP="006A607F" w14:paraId="486B86AA" w14:textId="12058009">
      <w:pPr>
        <w:spacing w:line="480" w:lineRule="auto"/>
        <w:rPr>
          <w:szCs w:val="26"/>
        </w:rPr>
      </w:pPr>
      <w:r>
        <w:rPr>
          <w:szCs w:val="26"/>
        </w:rPr>
        <w:t>Please submit copies of your comments to the Commission.  You may submit copies of your comments (identified by Docket No. IC25-8-000) by one of the following methods:</w:t>
      </w:r>
    </w:p>
    <w:p w:rsidR="006A607F" w:rsidP="006A607F" w14:paraId="601A111B" w14:textId="77777777">
      <w:pPr>
        <w:spacing w:line="480" w:lineRule="auto"/>
        <w:rPr>
          <w:szCs w:val="26"/>
        </w:rPr>
      </w:pPr>
      <w:r>
        <w:rPr>
          <w:szCs w:val="26"/>
        </w:rPr>
        <w:t xml:space="preserve">Electronic filing through </w:t>
      </w:r>
      <w:hyperlink r:id="rId11" w:history="1">
        <w:r>
          <w:rPr>
            <w:rStyle w:val="Hyperlink"/>
          </w:rPr>
          <w:t>https://www.ferc.gov</w:t>
        </w:r>
      </w:hyperlink>
      <w:r>
        <w:rPr>
          <w:szCs w:val="26"/>
        </w:rPr>
        <w:t>, is preferred.</w:t>
      </w:r>
    </w:p>
    <w:p w:rsidR="006A607F" w:rsidP="006A607F" w14:paraId="630F217B" w14:textId="77777777">
      <w:pPr>
        <w:numPr>
          <w:ilvl w:val="0"/>
          <w:numId w:val="8"/>
        </w:numPr>
        <w:spacing w:line="480" w:lineRule="auto"/>
        <w:rPr>
          <w:szCs w:val="26"/>
        </w:rPr>
      </w:pPr>
      <w:r>
        <w:rPr>
          <w:szCs w:val="26"/>
        </w:rPr>
        <w:t xml:space="preserve">Electronic Filing: Documents must be filed in acceptable native applications and print-to-PDF, but not in scanned or picture format. </w:t>
      </w:r>
    </w:p>
    <w:p w:rsidR="006A607F" w:rsidP="006A607F" w14:paraId="5684625E" w14:textId="77777777">
      <w:pPr>
        <w:numPr>
          <w:ilvl w:val="0"/>
          <w:numId w:val="8"/>
        </w:numPr>
        <w:spacing w:line="480" w:lineRule="auto"/>
        <w:rPr>
          <w:szCs w:val="26"/>
        </w:rPr>
      </w:pPr>
      <w:r>
        <w:rPr>
          <w:szCs w:val="26"/>
        </w:rPr>
        <w:t>For those unable to file electronically, comments may be filed by USPS mail or by other delivery methods:</w:t>
      </w:r>
    </w:p>
    <w:p w:rsidR="006A607F" w:rsidP="006A607F" w14:paraId="2FBEA590" w14:textId="77777777">
      <w:pPr>
        <w:numPr>
          <w:ilvl w:val="1"/>
          <w:numId w:val="8"/>
        </w:numPr>
        <w:spacing w:line="480" w:lineRule="auto"/>
        <w:rPr>
          <w:szCs w:val="26"/>
        </w:rPr>
      </w:pPr>
      <w:r>
        <w:rPr>
          <w:szCs w:val="26"/>
        </w:rPr>
        <w:t>Mail via U.S. Postal Service Only: Federal Energy Regulatory Commission, Secretary of the Commission, 888 First Street, N.E., Washington, DC 20426.</w:t>
      </w:r>
    </w:p>
    <w:p w:rsidR="006A607F" w:rsidP="006A607F" w14:paraId="3FE250FE" w14:textId="77777777">
      <w:pPr>
        <w:numPr>
          <w:ilvl w:val="1"/>
          <w:numId w:val="8"/>
        </w:numPr>
        <w:spacing w:line="480" w:lineRule="auto"/>
        <w:rPr>
          <w:szCs w:val="26"/>
        </w:rPr>
      </w:pPr>
      <w:r>
        <w:rPr>
          <w:szCs w:val="26"/>
        </w:rPr>
        <w:t>All other delivery methods: Federal Energy Regulatory Commission, Secretary of the Commission, 12225 Wilkins Avenue, Rockville, MD 20852.</w:t>
      </w:r>
    </w:p>
    <w:p w:rsidR="006A607F" w:rsidP="006A607F" w14:paraId="6849E548" w14:textId="77777777">
      <w:pPr>
        <w:spacing w:line="480" w:lineRule="auto"/>
        <w:rPr>
          <w:szCs w:val="26"/>
        </w:rPr>
      </w:pPr>
      <w:bookmarkStart w:id="2" w:name="OLE_LINK1"/>
      <w:r>
        <w:rPr>
          <w:i/>
          <w:szCs w:val="26"/>
        </w:rPr>
        <w:t>Instructions</w:t>
      </w:r>
      <w:r>
        <w:rPr>
          <w:iCs/>
          <w:szCs w:val="26"/>
        </w:rPr>
        <w:t>:</w:t>
      </w:r>
      <w:r>
        <w:rPr>
          <w:i/>
          <w:szCs w:val="26"/>
        </w:rPr>
        <w:t xml:space="preserve">  </w:t>
      </w:r>
      <w:r>
        <w:rPr>
          <w:iCs/>
          <w:szCs w:val="26"/>
        </w:rPr>
        <w:t xml:space="preserve">OMB submissions </w:t>
      </w:r>
      <w:r>
        <w:rPr>
          <w:szCs w:val="26"/>
        </w:rPr>
        <w:t>must be formatted and filed in accordance with submission guidelines at</w:t>
      </w:r>
      <w:r>
        <w:rPr>
          <w:i/>
          <w:szCs w:val="26"/>
        </w:rPr>
        <w:t xml:space="preserve"> </w:t>
      </w:r>
      <w:hyperlink r:id="rId10" w:history="1">
        <w:r>
          <w:rPr>
            <w:rStyle w:val="Hyperlink"/>
          </w:rPr>
          <w:t>www.reginfo.gov/public/do/PRAMain</w:t>
        </w:r>
      </w:hyperlink>
      <w:r>
        <w:rPr>
          <w:szCs w:val="26"/>
          <w:u w:val="single"/>
        </w:rPr>
        <w:t>.</w:t>
      </w:r>
      <w:r>
        <w:rPr>
          <w:szCs w:val="26"/>
        </w:rPr>
        <w:t xml:space="preserve">  Using the search function under the “Currently Under Review” field, select Federal Energy Regulatory Commission; click “submit,” and select “comment” to the right of the subject collection.</w:t>
      </w:r>
    </w:p>
    <w:p w:rsidR="006A607F" w:rsidP="006A607F" w14:paraId="75EDE028" w14:textId="77777777">
      <w:pPr>
        <w:spacing w:line="480" w:lineRule="auto"/>
        <w:rPr>
          <w:szCs w:val="26"/>
        </w:rPr>
      </w:pPr>
      <w:r>
        <w:rPr>
          <w:i/>
          <w:iCs/>
          <w:szCs w:val="26"/>
        </w:rPr>
        <w:t>FERC submissions</w:t>
      </w:r>
      <w:r>
        <w:rPr>
          <w:szCs w:val="26"/>
        </w:rPr>
        <w:t xml:space="preserve"> </w:t>
      </w:r>
      <w:bookmarkStart w:id="3" w:name="_Hlk38028397"/>
      <w:r>
        <w:rPr>
          <w:szCs w:val="26"/>
        </w:rPr>
        <w:t>must be formatted and filed in accordance with submission guidelines at</w:t>
      </w:r>
      <w:bookmarkEnd w:id="3"/>
      <w:r>
        <w:rPr>
          <w:szCs w:val="26"/>
        </w:rPr>
        <w:t xml:space="preserve">:  </w:t>
      </w:r>
      <w:hyperlink r:id="rId12" w:history="1">
        <w:r>
          <w:rPr>
            <w:rStyle w:val="Hyperlink"/>
          </w:rPr>
          <w:t>https://www.ferc.gov/ferc-online/overview</w:t>
        </w:r>
      </w:hyperlink>
      <w:r>
        <w:rPr>
          <w:szCs w:val="26"/>
        </w:rPr>
        <w:t>.  For user assistance, contact FERC Online Support by e-mail at ferconlinesupport@ferc.gov, or by phone at: (866) 208-3676 (toll-free).</w:t>
      </w:r>
    </w:p>
    <w:p w:rsidR="00910883" w:rsidRPr="0049417A" w:rsidP="006A607F" w14:paraId="7CAD82A3" w14:textId="2D6F3D5A">
      <w:pPr>
        <w:spacing w:line="480" w:lineRule="auto"/>
        <w:rPr>
          <w:szCs w:val="26"/>
        </w:rPr>
      </w:pPr>
      <w:r>
        <w:rPr>
          <w:i/>
          <w:szCs w:val="26"/>
        </w:rPr>
        <w:t>Docket</w:t>
      </w:r>
      <w:r>
        <w:rPr>
          <w:iCs/>
          <w:szCs w:val="26"/>
        </w:rPr>
        <w:t xml:space="preserve">:  </w:t>
      </w:r>
      <w:r>
        <w:rPr>
          <w:szCs w:val="26"/>
        </w:rPr>
        <w:t xml:space="preserve">Users interested in receiving automatic notification of activity in this docket or in viewing/downloading comments and issuances in this docket may do so at </w:t>
      </w:r>
      <w:hyperlink r:id="rId12" w:history="1">
        <w:r>
          <w:rPr>
            <w:rStyle w:val="Hyperlink"/>
          </w:rPr>
          <w:t>https://www.ferc.gov/ferc-online/overview</w:t>
        </w:r>
      </w:hyperlink>
      <w:r>
        <w:rPr>
          <w:szCs w:val="26"/>
        </w:rPr>
        <w:t xml:space="preserve">. </w:t>
      </w:r>
      <w:bookmarkEnd w:id="2"/>
    </w:p>
    <w:p w:rsidR="004E3713" w:rsidRPr="0049417A" w:rsidP="004E3713" w14:paraId="667827D6" w14:textId="2A1B1806">
      <w:pPr>
        <w:spacing w:line="480" w:lineRule="auto"/>
        <w:rPr>
          <w:szCs w:val="26"/>
        </w:rPr>
      </w:pPr>
      <w:r w:rsidRPr="0049417A">
        <w:rPr>
          <w:b/>
          <w:szCs w:val="26"/>
        </w:rPr>
        <w:t>FOR FURTHER INFORMATION:</w:t>
      </w:r>
      <w:r w:rsidRPr="0049417A">
        <w:rPr>
          <w:szCs w:val="26"/>
        </w:rPr>
        <w:t xml:space="preserve">  </w:t>
      </w:r>
      <w:r w:rsidRPr="0049417A" w:rsidR="00710898">
        <w:rPr>
          <w:szCs w:val="26"/>
        </w:rPr>
        <w:t>Kayla Williams</w:t>
      </w:r>
      <w:r w:rsidRPr="0049417A">
        <w:rPr>
          <w:szCs w:val="26"/>
        </w:rPr>
        <w:t xml:space="preserve"> may be reached by e-mail at </w:t>
      </w:r>
      <w:hyperlink r:id="rId13" w:history="1">
        <w:r w:rsidRPr="0049417A">
          <w:rPr>
            <w:rStyle w:val="Hyperlink"/>
            <w:szCs w:val="26"/>
          </w:rPr>
          <w:t>DataClearance@FERC.gov</w:t>
        </w:r>
      </w:hyperlink>
      <w:r w:rsidRPr="0049417A">
        <w:rPr>
          <w:szCs w:val="26"/>
        </w:rPr>
        <w:t>, telephone at (202) 502-</w:t>
      </w:r>
      <w:r w:rsidRPr="0049417A" w:rsidR="00710898">
        <w:rPr>
          <w:szCs w:val="26"/>
        </w:rPr>
        <w:t>6468</w:t>
      </w:r>
      <w:r w:rsidRPr="0049417A">
        <w:rPr>
          <w:szCs w:val="26"/>
        </w:rPr>
        <w:t>.</w:t>
      </w:r>
    </w:p>
    <w:p w:rsidR="004E3713" w:rsidRPr="0049417A" w:rsidP="004E3713" w14:paraId="2A9D27D1" w14:textId="325CA2F4">
      <w:pPr>
        <w:spacing w:line="480" w:lineRule="auto"/>
        <w:rPr>
          <w:szCs w:val="26"/>
        </w:rPr>
      </w:pPr>
      <w:r w:rsidRPr="0049417A">
        <w:rPr>
          <w:b/>
          <w:szCs w:val="26"/>
        </w:rPr>
        <w:t>SUPPLEMENTARY INFORMATION:</w:t>
      </w:r>
      <w:r w:rsidRPr="0049417A">
        <w:rPr>
          <w:szCs w:val="26"/>
        </w:rPr>
        <w:t xml:space="preserve">  </w:t>
      </w:r>
    </w:p>
    <w:p w:rsidR="004E3713" w:rsidRPr="0049417A" w:rsidP="004E3713" w14:paraId="6A0D460E" w14:textId="75444486">
      <w:pPr>
        <w:spacing w:line="480" w:lineRule="auto"/>
        <w:rPr>
          <w:color w:val="000000"/>
          <w:szCs w:val="26"/>
        </w:rPr>
      </w:pPr>
      <w:r w:rsidRPr="0049417A">
        <w:rPr>
          <w:i/>
          <w:szCs w:val="26"/>
        </w:rPr>
        <w:t xml:space="preserve">Title: </w:t>
      </w:r>
      <w:r w:rsidRPr="0049417A">
        <w:rPr>
          <w:szCs w:val="26"/>
        </w:rPr>
        <w:t>FERC-</w:t>
      </w:r>
      <w:r w:rsidRPr="0049417A" w:rsidR="009A399C">
        <w:rPr>
          <w:szCs w:val="26"/>
        </w:rPr>
        <w:t>725D</w:t>
      </w:r>
      <w:r w:rsidRPr="0049417A">
        <w:rPr>
          <w:szCs w:val="26"/>
        </w:rPr>
        <w:t xml:space="preserve">, </w:t>
      </w:r>
      <w:r w:rsidRPr="0049417A" w:rsidR="009A399C">
        <w:rPr>
          <w:color w:val="000000"/>
          <w:szCs w:val="26"/>
        </w:rPr>
        <w:t>Facilities Design, Connections and Maintenance Reliability Standards</w:t>
      </w:r>
    </w:p>
    <w:p w:rsidR="004E3713" w:rsidRPr="0049417A" w:rsidP="004E3713" w14:paraId="1A456BB8" w14:textId="508FA243">
      <w:pPr>
        <w:spacing w:line="480" w:lineRule="auto"/>
        <w:rPr>
          <w:szCs w:val="26"/>
        </w:rPr>
      </w:pPr>
      <w:r w:rsidRPr="0049417A">
        <w:rPr>
          <w:i/>
          <w:szCs w:val="26"/>
        </w:rPr>
        <w:t>OMB Control No.:</w:t>
      </w:r>
      <w:r w:rsidRPr="0049417A">
        <w:rPr>
          <w:szCs w:val="26"/>
        </w:rPr>
        <w:t xml:space="preserve"> 1902-0</w:t>
      </w:r>
      <w:r w:rsidRPr="0049417A" w:rsidR="009A399C">
        <w:rPr>
          <w:szCs w:val="26"/>
        </w:rPr>
        <w:t>247</w:t>
      </w:r>
    </w:p>
    <w:p w:rsidR="004E3713" w:rsidRPr="0049417A" w:rsidP="004E3713" w14:paraId="74422325" w14:textId="6D69DD37">
      <w:pPr>
        <w:spacing w:line="480" w:lineRule="auto"/>
        <w:rPr>
          <w:szCs w:val="26"/>
        </w:rPr>
      </w:pPr>
      <w:r w:rsidRPr="0049417A">
        <w:rPr>
          <w:i/>
          <w:szCs w:val="26"/>
        </w:rPr>
        <w:t>Type of Request:</w:t>
      </w:r>
      <w:r w:rsidRPr="0049417A">
        <w:rPr>
          <w:szCs w:val="26"/>
        </w:rPr>
        <w:t xml:space="preserve"> Three-year approval of the FERC-</w:t>
      </w:r>
      <w:r w:rsidRPr="0049417A" w:rsidR="009A399C">
        <w:rPr>
          <w:szCs w:val="26"/>
        </w:rPr>
        <w:t>725D</w:t>
      </w:r>
      <w:r w:rsidRPr="0049417A">
        <w:rPr>
          <w:szCs w:val="26"/>
        </w:rPr>
        <w:t xml:space="preserve"> information collection requirements</w:t>
      </w:r>
      <w:r w:rsidRPr="0049417A" w:rsidR="00C72703">
        <w:rPr>
          <w:szCs w:val="26"/>
        </w:rPr>
        <w:t xml:space="preserve">, </w:t>
      </w:r>
      <w:r w:rsidRPr="0049417A" w:rsidR="00A246E7">
        <w:rPr>
          <w:szCs w:val="26"/>
        </w:rPr>
        <w:t>with changes to the reporting or recordkeeping requirements. (There are adjustments to the estimates</w:t>
      </w:r>
      <w:r w:rsidRPr="0049417A" w:rsidR="00FF165E">
        <w:rPr>
          <w:szCs w:val="26"/>
        </w:rPr>
        <w:t xml:space="preserve"> to update the totals </w:t>
      </w:r>
      <w:r w:rsidRPr="0049417A" w:rsidR="003E1161">
        <w:rPr>
          <w:szCs w:val="26"/>
        </w:rPr>
        <w:t>to add in the FAC-003-5 and FAC-008-5)</w:t>
      </w:r>
    </w:p>
    <w:p w:rsidR="001A1468" w:rsidRPr="0049417A" w:rsidP="00F12008" w14:paraId="450677FA" w14:textId="10AE1DD2">
      <w:pPr>
        <w:spacing w:line="480" w:lineRule="auto"/>
        <w:rPr>
          <w:szCs w:val="26"/>
        </w:rPr>
      </w:pPr>
      <w:r w:rsidRPr="0049417A">
        <w:rPr>
          <w:i/>
          <w:szCs w:val="26"/>
        </w:rPr>
        <w:t xml:space="preserve">Abstract: </w:t>
      </w:r>
      <w:r w:rsidRPr="0049417A" w:rsidR="009A399C">
        <w:rPr>
          <w:iCs/>
          <w:szCs w:val="26"/>
        </w:rPr>
        <w:t>On August 8, 2005, The Electricity Modernization Act of 2005, which is Title XII of the Energy Policy Act of 2005 (</w:t>
      </w:r>
      <w:r w:rsidRPr="0049417A" w:rsidR="009A399C">
        <w:rPr>
          <w:iCs/>
          <w:szCs w:val="26"/>
        </w:rPr>
        <w:t>EPAct</w:t>
      </w:r>
      <w:r w:rsidRPr="0049417A" w:rsidR="009A399C">
        <w:rPr>
          <w:iCs/>
          <w:szCs w:val="26"/>
        </w:rPr>
        <w:t xml:space="preserve"> 2005), was enacted into law.   </w:t>
      </w:r>
      <w:r w:rsidRPr="0049417A" w:rsidR="009A399C">
        <w:rPr>
          <w:iCs/>
          <w:szCs w:val="26"/>
        </w:rPr>
        <w:t>EPAct</w:t>
      </w:r>
      <w:r w:rsidRPr="0049417A" w:rsidR="009A399C">
        <w:rPr>
          <w:iCs/>
          <w:szCs w:val="26"/>
        </w:rPr>
        <w:t xml:space="preserve"> 2005 added a new section 215 to the Federal Power Act (FPA), which requires a Commission-certified Electric Reliability Organization (ERO) to develop mandatory and enforceable Reliability Standards, subject to Commission review and approval.  Once approved, the Reliability Standards may be enforced by the ERO, subject to Commission oversight, or by the Commission independently. In 2006, the Commission certified NERC (now called the North American Electric Reliability Corporation) as the ERO pursuant to section 215 of the FPA. </w:t>
      </w:r>
      <w:r w:rsidRPr="0049417A" w:rsidR="000A551A">
        <w:rPr>
          <w:szCs w:val="26"/>
        </w:rPr>
        <w:t>On March 16, 2007 (pursuant to section 215(d) of the FPA), the Commission issued Order No. 693, approving 83 of the 107 initial Reliability Standards filed by NERC.  In the intervening years, numerous changes have been made to update, eliminate, or establish various Reliability Standards.</w:t>
      </w:r>
      <w:r w:rsidRPr="0049417A" w:rsidR="00F12008">
        <w:rPr>
          <w:szCs w:val="26"/>
        </w:rPr>
        <w:t xml:space="preserve"> </w:t>
      </w:r>
    </w:p>
    <w:p w:rsidR="00214E9F" w:rsidRPr="0049417A" w:rsidP="00214E9F" w14:paraId="07846A34" w14:textId="75449727">
      <w:pPr>
        <w:spacing w:line="480" w:lineRule="auto"/>
        <w:rPr>
          <w:rFonts w:eastAsia="Calibri"/>
          <w:bCs/>
          <w:szCs w:val="26"/>
        </w:rPr>
      </w:pPr>
      <w:r w:rsidRPr="0049417A">
        <w:rPr>
          <w:szCs w:val="26"/>
        </w:rPr>
        <w:t xml:space="preserve">The information collected by FERC-725D is required to implement the statutory provisions of section 215 of the Federal Power Act (FPA) (16 U.S.C. 824c).  </w:t>
      </w:r>
      <w:r w:rsidRPr="0049417A" w:rsidR="00F12008">
        <w:rPr>
          <w:rFonts w:eastAsia="Calibri"/>
          <w:szCs w:val="26"/>
        </w:rPr>
        <w:t>Pursuant to section 215 of the Federal Power Act (FPA),</w:t>
      </w:r>
      <w:r>
        <w:rPr>
          <w:rFonts w:eastAsia="Calibri"/>
          <w:b/>
          <w:szCs w:val="26"/>
          <w:vertAlign w:val="superscript"/>
        </w:rPr>
        <w:footnoteReference w:id="3"/>
      </w:r>
      <w:r w:rsidRPr="0049417A" w:rsidR="00F12008">
        <w:rPr>
          <w:rFonts w:eastAsia="Calibri"/>
          <w:szCs w:val="26"/>
        </w:rPr>
        <w:t xml:space="preserve"> in Order 836,</w:t>
      </w:r>
      <w:r>
        <w:rPr>
          <w:rFonts w:eastAsia="Calibri"/>
          <w:szCs w:val="26"/>
          <w:vertAlign w:val="superscript"/>
        </w:rPr>
        <w:footnoteReference w:id="4"/>
      </w:r>
      <w:r w:rsidRPr="0049417A" w:rsidR="00F12008">
        <w:rPr>
          <w:rFonts w:eastAsia="Calibri"/>
          <w:szCs w:val="26"/>
          <w:vertAlign w:val="superscript"/>
        </w:rPr>
        <w:t xml:space="preserve">  </w:t>
      </w:r>
      <w:r w:rsidRPr="0049417A" w:rsidR="0036496C">
        <w:rPr>
          <w:rFonts w:eastAsia="Calibri"/>
          <w:szCs w:val="26"/>
        </w:rPr>
        <w:t xml:space="preserve">the </w:t>
      </w:r>
      <w:r w:rsidRPr="0049417A" w:rsidR="00AA34A3">
        <w:rPr>
          <w:rFonts w:eastAsia="Calibri"/>
          <w:szCs w:val="26"/>
        </w:rPr>
        <w:t>C</w:t>
      </w:r>
      <w:r w:rsidRPr="0049417A" w:rsidR="0036496C">
        <w:rPr>
          <w:rFonts w:eastAsia="Calibri"/>
          <w:szCs w:val="26"/>
        </w:rPr>
        <w:t>ommission approved the following standards</w:t>
      </w:r>
      <w:r w:rsidRPr="0049417A" w:rsidR="00555B59">
        <w:rPr>
          <w:rFonts w:eastAsia="Calibri"/>
          <w:szCs w:val="26"/>
        </w:rPr>
        <w:t>:</w:t>
      </w:r>
      <w:r w:rsidRPr="0049417A" w:rsidR="00B275CE">
        <w:rPr>
          <w:szCs w:val="26"/>
        </w:rPr>
        <w:t xml:space="preserve"> FAC-003-</w:t>
      </w:r>
      <w:r w:rsidRPr="0049417A">
        <w:rPr>
          <w:szCs w:val="26"/>
        </w:rPr>
        <w:t>5</w:t>
      </w:r>
      <w:r w:rsidRPr="0049417A" w:rsidR="00B275CE">
        <w:rPr>
          <w:szCs w:val="26"/>
        </w:rPr>
        <w:t xml:space="preserve"> is set out </w:t>
      </w:r>
      <w:r w:rsidRPr="0049417A" w:rsidR="00B275CE">
        <w:rPr>
          <w:rFonts w:eastAsia="Calibri"/>
          <w:szCs w:val="26"/>
        </w:rPr>
        <w:t>to maintain a reliable electric transmission system by using a defense-in-depth strategy to manage vegetation located on transmission rights of way (ROW) and minimize encroachments from vegetation located adjacent to the ROW, thus preventing the risk of those vegetation-related outages that could lead to Cascading.</w:t>
      </w:r>
      <w:r w:rsidRPr="0049417A" w:rsidR="00F12008">
        <w:rPr>
          <w:rFonts w:eastAsia="Calibri"/>
          <w:szCs w:val="26"/>
        </w:rPr>
        <w:t xml:space="preserve"> </w:t>
      </w:r>
      <w:r w:rsidRPr="0049417A">
        <w:rPr>
          <w:rFonts w:eastAsia="Calibri"/>
          <w:bCs/>
          <w:szCs w:val="26"/>
        </w:rPr>
        <w:t xml:space="preserve">FAC-003-5 is applicable to TOs and GOs and NERC has incorporated Applicability Sections 4.2.2 and 4.3.1.2 of FAC-003-5 to replace references to “elements of an IROL under NERC Standard FAC-014 by the Planning Coordinator” with references to facilities: </w:t>
      </w:r>
    </w:p>
    <w:p w:rsidR="00214E9F" w:rsidRPr="0049417A" w:rsidP="00214E9F" w14:paraId="7DEAF0A1" w14:textId="77777777">
      <w:pPr>
        <w:spacing w:line="480" w:lineRule="auto"/>
        <w:rPr>
          <w:rFonts w:eastAsia="Calibri"/>
          <w:bCs/>
          <w:szCs w:val="26"/>
        </w:rPr>
      </w:pPr>
      <w:r w:rsidRPr="0049417A">
        <w:rPr>
          <w:rFonts w:eastAsia="Calibri"/>
          <w:bCs/>
          <w:szCs w:val="26"/>
        </w:rPr>
        <w:t>“Identified by the Planning Coordinator or Transmission Planner, per its Planning Assessment of the Near‐Term Transmission Planning Horizon as a Facility that if lost or degraded are expected to result in instances of instability, Cascading, or uncontrolled separation that adversely impacts the reliability of the Bulk Electric System for a planning event.”</w:t>
      </w:r>
    </w:p>
    <w:p w:rsidR="003B29FB" w:rsidRPr="0049417A" w:rsidP="00856B66" w14:paraId="0393D032" w14:textId="1EB4D728">
      <w:pPr>
        <w:spacing w:line="480" w:lineRule="auto"/>
        <w:rPr>
          <w:rFonts w:eastAsia="Calibri"/>
          <w:szCs w:val="26"/>
        </w:rPr>
      </w:pPr>
      <w:r w:rsidRPr="0049417A">
        <w:rPr>
          <w:rFonts w:eastAsia="Calibri"/>
          <w:szCs w:val="26"/>
        </w:rPr>
        <w:t>Reliability Standard FAC-008-5</w:t>
      </w:r>
      <w:r w:rsidRPr="0049417A" w:rsidR="0025327A">
        <w:rPr>
          <w:rFonts w:eastAsia="Calibri"/>
          <w:szCs w:val="26"/>
        </w:rPr>
        <w:t xml:space="preserve"> ensures that Facility Ratings used in the reliable planning and operation of the Bulk Electric System (BES) are determined based on </w:t>
      </w:r>
      <w:r w:rsidRPr="0049417A" w:rsidR="0025327A">
        <w:rPr>
          <w:rFonts w:eastAsia="Calibri"/>
          <w:szCs w:val="26"/>
        </w:rPr>
        <w:t xml:space="preserve">technically sound principles. A Facility Rating is essential for the determination of System Operating Limits. </w:t>
      </w:r>
    </w:p>
    <w:p w:rsidR="00C46738" w:rsidRPr="0049417A" w:rsidP="004E3713" w14:paraId="10ACEE6B" w14:textId="53437FA3">
      <w:pPr>
        <w:spacing w:line="480" w:lineRule="auto"/>
        <w:rPr>
          <w:i/>
          <w:szCs w:val="26"/>
        </w:rPr>
      </w:pPr>
      <w:r w:rsidRPr="0049417A">
        <w:rPr>
          <w:i/>
          <w:szCs w:val="26"/>
        </w:rPr>
        <w:t xml:space="preserve">Type of Respondents: </w:t>
      </w:r>
      <w:r w:rsidRPr="0049417A" w:rsidR="005922F1">
        <w:rPr>
          <w:szCs w:val="26"/>
        </w:rPr>
        <w:t>TO&amp; GO</w:t>
      </w:r>
      <w:r>
        <w:rPr>
          <w:rStyle w:val="FootnoteReference"/>
        </w:rPr>
        <w:footnoteReference w:id="5"/>
      </w:r>
    </w:p>
    <w:p w:rsidR="00DF4B69" w:rsidRPr="0049417A" w:rsidP="004E3713" w14:paraId="01B8E11C" w14:textId="28EAAF94">
      <w:pPr>
        <w:spacing w:line="480" w:lineRule="auto"/>
        <w:rPr>
          <w:szCs w:val="26"/>
        </w:rPr>
      </w:pPr>
      <w:r w:rsidRPr="0049417A">
        <w:rPr>
          <w:i/>
          <w:szCs w:val="26"/>
        </w:rPr>
        <w:t>Estimate of Annual Burden</w:t>
      </w:r>
      <w:r>
        <w:rPr>
          <w:rStyle w:val="FootnoteReference"/>
          <w:i/>
        </w:rPr>
        <w:footnoteReference w:id="6"/>
      </w:r>
      <w:r w:rsidRPr="0049417A" w:rsidR="00C57D75">
        <w:rPr>
          <w:i/>
          <w:szCs w:val="26"/>
        </w:rPr>
        <w:t xml:space="preserve">and </w:t>
      </w:r>
      <w:r w:rsidRPr="0049417A" w:rsidR="008C7F23">
        <w:rPr>
          <w:i/>
          <w:szCs w:val="26"/>
        </w:rPr>
        <w:t>Cost</w:t>
      </w:r>
      <w:r w:rsidRPr="0049417A">
        <w:rPr>
          <w:i/>
          <w:szCs w:val="26"/>
        </w:rPr>
        <w:t xml:space="preserve">: </w:t>
      </w:r>
      <w:r w:rsidRPr="0049417A">
        <w:rPr>
          <w:szCs w:val="26"/>
        </w:rPr>
        <w:t xml:space="preserve">The Commission </w:t>
      </w:r>
      <w:r w:rsidRPr="0049417A" w:rsidR="00BD7C61">
        <w:rPr>
          <w:szCs w:val="26"/>
        </w:rPr>
        <w:t>estima</w:t>
      </w:r>
      <w:r w:rsidRPr="0049417A" w:rsidR="006B0822">
        <w:rPr>
          <w:szCs w:val="26"/>
        </w:rPr>
        <w:t xml:space="preserve">tes </w:t>
      </w:r>
      <w:r w:rsidRPr="0049417A" w:rsidR="00C0632C">
        <w:rPr>
          <w:szCs w:val="26"/>
        </w:rPr>
        <w:t xml:space="preserve">an increase </w:t>
      </w:r>
      <w:r w:rsidRPr="0049417A" w:rsidR="008C7F23">
        <w:rPr>
          <w:szCs w:val="26"/>
        </w:rPr>
        <w:t xml:space="preserve">(adjustment) </w:t>
      </w:r>
      <w:r w:rsidRPr="0049417A">
        <w:rPr>
          <w:szCs w:val="26"/>
        </w:rPr>
        <w:t>in the annual public reporting burden for the FERC-</w:t>
      </w:r>
      <w:r w:rsidRPr="0049417A" w:rsidR="009A399C">
        <w:rPr>
          <w:szCs w:val="26"/>
        </w:rPr>
        <w:t>725D</w:t>
      </w:r>
      <w:r w:rsidRPr="0049417A" w:rsidR="00925DC5">
        <w:rPr>
          <w:szCs w:val="26"/>
        </w:rPr>
        <w:t>.</w:t>
      </w:r>
      <w:r w:rsidRPr="0049417A" w:rsidR="006B0822">
        <w:rPr>
          <w:szCs w:val="26"/>
        </w:rPr>
        <w:t xml:space="preserve"> </w:t>
      </w:r>
      <w:r w:rsidRPr="0049417A" w:rsidR="00925DC5">
        <w:rPr>
          <w:iCs/>
          <w:szCs w:val="26"/>
        </w:rPr>
        <w:t>In an effort to target similar NERC Reliability Standards by family the following manhours associated with two FAC (Facilities) Reliability Standards (FAC-008-5 and FAC-003-</w:t>
      </w:r>
      <w:r w:rsidRPr="0049417A" w:rsidR="003E1161">
        <w:rPr>
          <w:iCs/>
          <w:szCs w:val="26"/>
        </w:rPr>
        <w:t>5</w:t>
      </w:r>
      <w:r w:rsidRPr="0049417A" w:rsidR="00925DC5">
        <w:rPr>
          <w:iCs/>
          <w:szCs w:val="26"/>
        </w:rPr>
        <w:t>) is being transferred from 725</w:t>
      </w:r>
      <w:r w:rsidRPr="0049417A" w:rsidR="001123B2">
        <w:rPr>
          <w:iCs/>
          <w:szCs w:val="26"/>
        </w:rPr>
        <w:t>A (</w:t>
      </w:r>
      <w:r w:rsidRPr="0049417A" w:rsidR="00925DC5">
        <w:rPr>
          <w:iCs/>
          <w:szCs w:val="26"/>
        </w:rPr>
        <w:t>1902-0244) to the 725D (1902-0247), where other FAC standards are collected</w:t>
      </w:r>
      <w:r w:rsidRPr="0049417A">
        <w:rPr>
          <w:szCs w:val="26"/>
        </w:rPr>
        <w:t xml:space="preserve">, as </w:t>
      </w:r>
      <w:r w:rsidRPr="0049417A" w:rsidR="005B2A79">
        <w:rPr>
          <w:szCs w:val="26"/>
        </w:rPr>
        <w:t>shown below in the table</w:t>
      </w:r>
      <w:r w:rsidRPr="0049417A">
        <w:rPr>
          <w:szCs w:val="26"/>
        </w:rPr>
        <w: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530"/>
        <w:gridCol w:w="1516"/>
        <w:gridCol w:w="1800"/>
      </w:tblGrid>
      <w:tr w14:paraId="23FB3EC6" w14:textId="77777777" w:rsidTr="00692DF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vAlign w:val="bottom"/>
            <w:hideMark/>
          </w:tcPr>
          <w:p w:rsidR="000158B8" w:rsidRPr="0049417A" w:rsidP="00692DFA" w14:paraId="254FA980" w14:textId="77777777">
            <w:pPr>
              <w:rPr>
                <w:b/>
                <w:bCs/>
                <w:szCs w:val="26"/>
              </w:rPr>
            </w:pPr>
          </w:p>
        </w:tc>
        <w:tc>
          <w:tcPr>
            <w:tcW w:w="116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0158B8" w:rsidRPr="0049417A" w:rsidP="00692DFA" w14:paraId="7C266A57" w14:textId="77777777">
            <w:pPr>
              <w:rPr>
                <w:b/>
                <w:bCs/>
                <w:szCs w:val="26"/>
              </w:rPr>
            </w:pPr>
            <w:r w:rsidRPr="0049417A">
              <w:rPr>
                <w:b/>
                <w:bCs/>
                <w:szCs w:val="26"/>
              </w:rPr>
              <w:t>Number of Entity</w:t>
            </w:r>
            <w:r>
              <w:rPr>
                <w:b/>
                <w:bCs/>
                <w:szCs w:val="26"/>
                <w:vertAlign w:val="superscript"/>
              </w:rPr>
              <w:footnoteReference w:id="7"/>
            </w:r>
            <w:r w:rsidRPr="0049417A">
              <w:rPr>
                <w:b/>
                <w:bCs/>
                <w:szCs w:val="26"/>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0158B8" w:rsidRPr="0049417A" w:rsidP="00692DFA" w14:paraId="68CA7973" w14:textId="77777777">
            <w:pPr>
              <w:rPr>
                <w:b/>
                <w:bCs/>
                <w:szCs w:val="26"/>
              </w:rPr>
            </w:pPr>
            <w:r w:rsidRPr="0049417A">
              <w:rPr>
                <w:b/>
                <w:bCs/>
                <w:szCs w:val="26"/>
              </w:rPr>
              <w:t>Number of Annual Responses Per Entity (2)</w:t>
            </w:r>
          </w:p>
        </w:tc>
        <w:tc>
          <w:tcPr>
            <w:tcW w:w="153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0158B8" w:rsidRPr="0049417A" w:rsidP="00692DFA" w14:paraId="3AA215B5" w14:textId="77777777">
            <w:pPr>
              <w:rPr>
                <w:b/>
                <w:bCs/>
                <w:szCs w:val="26"/>
              </w:rPr>
            </w:pPr>
            <w:r w:rsidRPr="0049417A">
              <w:rPr>
                <w:b/>
                <w:bCs/>
                <w:szCs w:val="26"/>
              </w:rPr>
              <w:t>Total Number of Responses (1) *(2) = (3)</w:t>
            </w:r>
          </w:p>
        </w:tc>
        <w:tc>
          <w:tcPr>
            <w:tcW w:w="144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0158B8" w:rsidRPr="0049417A" w:rsidP="00692DFA" w14:paraId="77278DED" w14:textId="77777777">
            <w:pPr>
              <w:rPr>
                <w:b/>
                <w:bCs/>
                <w:szCs w:val="26"/>
              </w:rPr>
            </w:pPr>
            <w:r w:rsidRPr="0049417A">
              <w:rPr>
                <w:b/>
                <w:bCs/>
                <w:szCs w:val="26"/>
              </w:rPr>
              <w:t xml:space="preserve">Average </w:t>
            </w:r>
            <w:r w:rsidRPr="0049417A">
              <w:rPr>
                <w:b/>
                <w:bCs/>
                <w:szCs w:val="26"/>
              </w:rPr>
              <w:t>Number</w:t>
            </w:r>
            <w:r w:rsidRPr="0049417A">
              <w:rPr>
                <w:b/>
                <w:bCs/>
                <w:szCs w:val="26"/>
              </w:rPr>
              <w:t xml:space="preserve"> of Burden Hours per Response</w:t>
            </w:r>
            <w:r>
              <w:rPr>
                <w:b/>
                <w:bCs/>
                <w:szCs w:val="26"/>
              </w:rPr>
              <w:footnoteReference w:id="8"/>
            </w:r>
            <w:r w:rsidRPr="0049417A">
              <w:rPr>
                <w:b/>
                <w:bCs/>
                <w:szCs w:val="26"/>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vAlign w:val="bottom"/>
            <w:hideMark/>
          </w:tcPr>
          <w:p w:rsidR="000158B8" w:rsidRPr="0049417A" w:rsidP="00692DFA" w14:paraId="437CC0BF" w14:textId="77777777">
            <w:pPr>
              <w:rPr>
                <w:b/>
                <w:bCs/>
                <w:szCs w:val="26"/>
              </w:rPr>
            </w:pPr>
            <w:r w:rsidRPr="0049417A">
              <w:rPr>
                <w:b/>
                <w:bCs/>
                <w:szCs w:val="26"/>
              </w:rPr>
              <w:t>Total Burden Hours (3) *(4) = (5)</w:t>
            </w:r>
          </w:p>
        </w:tc>
      </w:tr>
      <w:tr w14:paraId="43F4E952" w14:textId="77777777" w:rsidTr="00692DFA">
        <w:tblPrEx>
          <w:tblW w:w="0" w:type="auto"/>
          <w:tblLook w:val="00A0"/>
        </w:tblPrEx>
        <w:trPr>
          <w:trHeight w:val="219"/>
        </w:trPr>
        <w:tc>
          <w:tcPr>
            <w:tcW w:w="8995" w:type="dxa"/>
            <w:gridSpan w:val="6"/>
            <w:tcBorders>
              <w:top w:val="single" w:sz="4" w:space="0" w:color="auto"/>
              <w:left w:val="single" w:sz="4" w:space="0" w:color="auto"/>
              <w:bottom w:val="single" w:sz="6" w:space="0" w:color="auto"/>
              <w:right w:val="single" w:sz="4" w:space="0" w:color="auto"/>
            </w:tcBorders>
            <w:shd w:val="clear" w:color="auto" w:fill="BFBFBF"/>
            <w:vAlign w:val="bottom"/>
          </w:tcPr>
          <w:p w:rsidR="000158B8" w:rsidRPr="0049417A" w:rsidP="00692DFA" w14:paraId="78A3EE2B" w14:textId="5BEE0637">
            <w:pPr>
              <w:rPr>
                <w:b/>
                <w:bCs/>
                <w:szCs w:val="26"/>
              </w:rPr>
            </w:pPr>
            <w:r w:rsidRPr="0049417A">
              <w:rPr>
                <w:b/>
                <w:bCs/>
                <w:szCs w:val="26"/>
              </w:rPr>
              <w:t>Transferred from FERC-</w:t>
            </w:r>
            <w:r w:rsidRPr="0049417A" w:rsidR="00214E9F">
              <w:rPr>
                <w:b/>
                <w:bCs/>
                <w:szCs w:val="26"/>
              </w:rPr>
              <w:t>725M</w:t>
            </w:r>
            <w:r w:rsidRPr="0049417A">
              <w:rPr>
                <w:b/>
                <w:bCs/>
                <w:szCs w:val="26"/>
              </w:rPr>
              <w:t xml:space="preserve"> to FERC-725D</w:t>
            </w:r>
          </w:p>
        </w:tc>
      </w:tr>
      <w:tr w14:paraId="57BF81CA" w14:textId="77777777" w:rsidTr="00692DFA">
        <w:tblPrEx>
          <w:tblW w:w="0" w:type="auto"/>
          <w:tblLook w:val="00A0"/>
        </w:tblPrEx>
        <w:trPr>
          <w:trHeight w:val="780"/>
        </w:trPr>
        <w:tc>
          <w:tcPr>
            <w:tcW w:w="1617" w:type="dxa"/>
            <w:vMerge w:val="restart"/>
            <w:tcBorders>
              <w:top w:val="single" w:sz="6" w:space="0" w:color="auto"/>
              <w:left w:val="single" w:sz="4" w:space="0" w:color="auto"/>
              <w:right w:val="single" w:sz="6" w:space="0" w:color="auto"/>
            </w:tcBorders>
            <w:hideMark/>
          </w:tcPr>
          <w:p w:rsidR="00FD1E37" w:rsidRPr="0049417A" w:rsidP="00692DFA" w14:paraId="5A475B6F" w14:textId="709D4FFB">
            <w:pPr>
              <w:spacing w:after="160" w:line="259" w:lineRule="auto"/>
              <w:rPr>
                <w:b/>
                <w:bCs/>
                <w:szCs w:val="26"/>
              </w:rPr>
            </w:pPr>
            <w:r w:rsidRPr="0049417A">
              <w:rPr>
                <w:b/>
                <w:bCs/>
                <w:szCs w:val="26"/>
              </w:rPr>
              <w:t xml:space="preserve">Annual </w:t>
            </w:r>
            <w:r w:rsidRPr="0049417A" w:rsidR="003E1161">
              <w:rPr>
                <w:b/>
                <w:bCs/>
                <w:szCs w:val="26"/>
              </w:rPr>
              <w:t>R</w:t>
            </w:r>
            <w:r w:rsidRPr="0049417A">
              <w:rPr>
                <w:b/>
                <w:bCs/>
                <w:szCs w:val="26"/>
              </w:rPr>
              <w:t xml:space="preserve">eview and </w:t>
            </w:r>
            <w:r w:rsidRPr="0049417A" w:rsidR="003E1161">
              <w:rPr>
                <w:b/>
                <w:bCs/>
                <w:szCs w:val="26"/>
              </w:rPr>
              <w:t>R</w:t>
            </w:r>
            <w:r w:rsidRPr="0049417A">
              <w:rPr>
                <w:b/>
                <w:bCs/>
                <w:szCs w:val="26"/>
              </w:rPr>
              <w:t xml:space="preserve">ecord </w:t>
            </w:r>
            <w:r w:rsidRPr="0049417A" w:rsidR="003E1161">
              <w:rPr>
                <w:b/>
                <w:bCs/>
                <w:szCs w:val="26"/>
              </w:rPr>
              <w:t>R</w:t>
            </w:r>
            <w:r w:rsidRPr="0049417A">
              <w:rPr>
                <w:b/>
                <w:bCs/>
                <w:szCs w:val="26"/>
              </w:rPr>
              <w:t>etention</w:t>
            </w:r>
          </w:p>
          <w:p w:rsidR="00FD1E37" w:rsidRPr="0049417A" w:rsidP="00692DFA" w14:paraId="25A7D8D1" w14:textId="76CDF6A0">
            <w:pPr>
              <w:rPr>
                <w:b/>
                <w:bCs/>
                <w:szCs w:val="26"/>
              </w:rPr>
            </w:pPr>
          </w:p>
        </w:tc>
        <w:tc>
          <w:tcPr>
            <w:tcW w:w="1169" w:type="dxa"/>
            <w:tcBorders>
              <w:top w:val="single" w:sz="6" w:space="0" w:color="auto"/>
              <w:left w:val="single" w:sz="6" w:space="0" w:color="auto"/>
              <w:bottom w:val="single" w:sz="6" w:space="0" w:color="auto"/>
              <w:right w:val="single" w:sz="6" w:space="0" w:color="auto"/>
            </w:tcBorders>
            <w:vAlign w:val="bottom"/>
            <w:hideMark/>
          </w:tcPr>
          <w:p w:rsidR="00FD1E37" w:rsidRPr="0049417A" w:rsidP="00692DFA" w14:paraId="33357E3A" w14:textId="61E23D19">
            <w:pPr>
              <w:jc w:val="center"/>
              <w:rPr>
                <w:szCs w:val="26"/>
              </w:rPr>
            </w:pPr>
            <w:r w:rsidRPr="0049417A">
              <w:rPr>
                <w:szCs w:val="26"/>
              </w:rPr>
              <w:t>191(TO)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FD1E37" w:rsidRPr="0049417A" w:rsidP="00692DFA" w14:paraId="263848AB" w14:textId="33F7771A">
            <w:pPr>
              <w:jc w:val="center"/>
              <w:rPr>
                <w:szCs w:val="26"/>
              </w:rPr>
            </w:pPr>
            <w:r w:rsidRPr="0049417A">
              <w:rPr>
                <w:szCs w:val="26"/>
              </w:rPr>
              <w:t>1</w:t>
            </w:r>
          </w:p>
        </w:tc>
        <w:tc>
          <w:tcPr>
            <w:tcW w:w="1530" w:type="dxa"/>
            <w:tcBorders>
              <w:top w:val="single" w:sz="6" w:space="0" w:color="auto"/>
              <w:left w:val="single" w:sz="6" w:space="0" w:color="auto"/>
              <w:bottom w:val="single" w:sz="6" w:space="0" w:color="auto"/>
              <w:right w:val="single" w:sz="6" w:space="0" w:color="auto"/>
            </w:tcBorders>
            <w:vAlign w:val="bottom"/>
            <w:hideMark/>
          </w:tcPr>
          <w:p w:rsidR="00FD1E37" w:rsidRPr="0049417A" w:rsidP="00692DFA" w14:paraId="58489A8B" w14:textId="042D5A9F">
            <w:pPr>
              <w:jc w:val="center"/>
              <w:rPr>
                <w:szCs w:val="26"/>
              </w:rPr>
            </w:pPr>
            <w:r w:rsidRPr="0049417A">
              <w:rPr>
                <w:szCs w:val="26"/>
              </w:rPr>
              <w:t>191</w:t>
            </w:r>
          </w:p>
        </w:tc>
        <w:tc>
          <w:tcPr>
            <w:tcW w:w="1440" w:type="dxa"/>
            <w:tcBorders>
              <w:top w:val="single" w:sz="6" w:space="0" w:color="auto"/>
              <w:left w:val="single" w:sz="6" w:space="0" w:color="auto"/>
              <w:bottom w:val="single" w:sz="6" w:space="0" w:color="auto"/>
              <w:right w:val="single" w:sz="6" w:space="0" w:color="auto"/>
            </w:tcBorders>
            <w:vAlign w:val="bottom"/>
            <w:hideMark/>
          </w:tcPr>
          <w:p w:rsidR="00FD1E37" w:rsidRPr="0049417A" w:rsidP="00692DFA" w14:paraId="745D98D7" w14:textId="2C37A49B">
            <w:pPr>
              <w:jc w:val="right"/>
              <w:rPr>
                <w:szCs w:val="26"/>
              </w:rPr>
            </w:pPr>
            <w:r w:rsidRPr="0049417A">
              <w:rPr>
                <w:szCs w:val="26"/>
              </w:rPr>
              <w:t>1</w:t>
            </w:r>
            <w:r w:rsidRPr="0049417A" w:rsidR="008A5AC0">
              <w:rPr>
                <w:szCs w:val="26"/>
              </w:rPr>
              <w:t>.91</w:t>
            </w:r>
            <w:r w:rsidRPr="0049417A">
              <w:rPr>
                <w:szCs w:val="26"/>
              </w:rPr>
              <w:t xml:space="preserve"> hrs.</w:t>
            </w:r>
          </w:p>
          <w:p w:rsidR="00FD1E37" w:rsidRPr="0049417A" w:rsidP="00692DFA" w14:paraId="45BD61D9" w14:textId="3EEED4F0">
            <w:pPr>
              <w:jc w:val="right"/>
              <w:rPr>
                <w:szCs w:val="26"/>
              </w:rPr>
            </w:pPr>
            <w:r w:rsidRPr="0049417A">
              <w:rPr>
                <w:szCs w:val="26"/>
              </w:rPr>
              <w:t>$</w:t>
            </w:r>
            <w:r w:rsidRPr="0049417A" w:rsidR="008A5AC0">
              <w:rPr>
                <w:szCs w:val="26"/>
              </w:rPr>
              <w:t>134.98</w:t>
            </w:r>
            <w:r w:rsidRPr="0049417A">
              <w:rPr>
                <w:szCs w:val="26"/>
              </w:rPr>
              <w:t>/hrs.</w:t>
            </w:r>
          </w:p>
        </w:tc>
        <w:tc>
          <w:tcPr>
            <w:tcW w:w="1800" w:type="dxa"/>
            <w:tcBorders>
              <w:top w:val="single" w:sz="6" w:space="0" w:color="auto"/>
              <w:left w:val="single" w:sz="6" w:space="0" w:color="auto"/>
              <w:bottom w:val="single" w:sz="6" w:space="0" w:color="auto"/>
              <w:right w:val="single" w:sz="4" w:space="0" w:color="auto"/>
            </w:tcBorders>
            <w:vAlign w:val="bottom"/>
            <w:hideMark/>
          </w:tcPr>
          <w:p w:rsidR="00FD1E37" w:rsidRPr="0049417A" w:rsidP="00692DFA" w14:paraId="0D5F917C" w14:textId="7D0292F3">
            <w:pPr>
              <w:jc w:val="right"/>
              <w:rPr>
                <w:szCs w:val="26"/>
              </w:rPr>
            </w:pPr>
            <w:r w:rsidRPr="0049417A">
              <w:rPr>
                <w:szCs w:val="26"/>
              </w:rPr>
              <w:t xml:space="preserve">364.81 </w:t>
            </w:r>
            <w:r w:rsidRPr="0049417A">
              <w:rPr>
                <w:szCs w:val="26"/>
              </w:rPr>
              <w:t>hrs.</w:t>
            </w:r>
          </w:p>
          <w:p w:rsidR="00FD1E37" w:rsidRPr="0049417A" w:rsidP="00692DFA" w14:paraId="265CF8BF" w14:textId="19B395C7">
            <w:pPr>
              <w:jc w:val="right"/>
              <w:rPr>
                <w:szCs w:val="26"/>
              </w:rPr>
            </w:pPr>
            <w:r w:rsidRPr="0049417A">
              <w:rPr>
                <w:szCs w:val="26"/>
              </w:rPr>
              <w:t>$</w:t>
            </w:r>
            <w:r w:rsidRPr="0049417A" w:rsidR="00BD094F">
              <w:rPr>
                <w:szCs w:val="26"/>
              </w:rPr>
              <w:t>25,781.12</w:t>
            </w:r>
          </w:p>
        </w:tc>
      </w:tr>
      <w:tr w14:paraId="16A2AE24" w14:textId="77777777" w:rsidTr="003E1161">
        <w:tblPrEx>
          <w:tblW w:w="0" w:type="auto"/>
          <w:tblLook w:val="00A0"/>
        </w:tblPrEx>
        <w:trPr>
          <w:trHeight w:val="780"/>
        </w:trPr>
        <w:tc>
          <w:tcPr>
            <w:tcW w:w="1617" w:type="dxa"/>
            <w:vMerge/>
            <w:tcBorders>
              <w:left w:val="single" w:sz="4" w:space="0" w:color="auto"/>
              <w:bottom w:val="single" w:sz="4" w:space="0" w:color="auto"/>
              <w:right w:val="single" w:sz="6" w:space="0" w:color="auto"/>
            </w:tcBorders>
          </w:tcPr>
          <w:p w:rsidR="00FD1E37" w:rsidRPr="0049417A" w:rsidP="00692DFA" w14:paraId="2287D3B5" w14:textId="79AA25E0">
            <w:pPr>
              <w:rPr>
                <w:b/>
                <w:szCs w:val="26"/>
              </w:rPr>
            </w:pPr>
          </w:p>
        </w:tc>
        <w:tc>
          <w:tcPr>
            <w:tcW w:w="1169"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692DFA" w14:paraId="4FD18AA3" w14:textId="45A1476E">
            <w:pPr>
              <w:rPr>
                <w:szCs w:val="26"/>
              </w:rPr>
            </w:pPr>
            <w:r w:rsidRPr="0049417A">
              <w:rPr>
                <w:szCs w:val="26"/>
              </w:rPr>
              <w:t>731(GO)</w:t>
            </w:r>
          </w:p>
        </w:tc>
        <w:tc>
          <w:tcPr>
            <w:tcW w:w="1439"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FD1E37" w14:paraId="34C07EC9" w14:textId="184A55AE">
            <w:pPr>
              <w:jc w:val="center"/>
              <w:rPr>
                <w:szCs w:val="26"/>
              </w:rPr>
            </w:pPr>
            <w:r w:rsidRPr="0049417A">
              <w:rPr>
                <w:szCs w:val="26"/>
              </w:rPr>
              <w:t>1</w:t>
            </w:r>
          </w:p>
        </w:tc>
        <w:tc>
          <w:tcPr>
            <w:tcW w:w="1530"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8A5AC0" w14:paraId="57CCAA41" w14:textId="68865767">
            <w:pPr>
              <w:jc w:val="center"/>
              <w:rPr>
                <w:szCs w:val="26"/>
              </w:rPr>
            </w:pPr>
            <w:r w:rsidRPr="0049417A">
              <w:rPr>
                <w:szCs w:val="26"/>
              </w:rPr>
              <w:t>731</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bottom"/>
          </w:tcPr>
          <w:p w:rsidR="00BD094F" w:rsidRPr="0049417A" w:rsidP="0075627C" w14:paraId="34F8F468" w14:textId="1BE48B52">
            <w:pPr>
              <w:jc w:val="center"/>
              <w:rPr>
                <w:szCs w:val="26"/>
              </w:rPr>
            </w:pPr>
            <w:r w:rsidRPr="0049417A">
              <w:rPr>
                <w:szCs w:val="26"/>
              </w:rPr>
              <w:t>.48</w:t>
            </w:r>
            <w:r w:rsidRPr="0049417A">
              <w:rPr>
                <w:szCs w:val="26"/>
              </w:rPr>
              <w:t xml:space="preserve"> hrs.</w:t>
            </w:r>
          </w:p>
          <w:p w:rsidR="00FD1E37" w:rsidRPr="0049417A" w:rsidP="0075627C" w14:paraId="61AC5328" w14:textId="2A460D1D">
            <w:pPr>
              <w:jc w:val="center"/>
              <w:rPr>
                <w:szCs w:val="26"/>
              </w:rPr>
            </w:pPr>
            <w:r w:rsidRPr="0049417A">
              <w:rPr>
                <w:szCs w:val="26"/>
              </w:rPr>
              <w:t>$33.92 hrs.</w:t>
            </w:r>
          </w:p>
        </w:tc>
        <w:tc>
          <w:tcPr>
            <w:tcW w:w="1800" w:type="dxa"/>
            <w:tcBorders>
              <w:top w:val="single" w:sz="6" w:space="0" w:color="auto"/>
              <w:left w:val="single" w:sz="6" w:space="0" w:color="auto"/>
              <w:bottom w:val="single" w:sz="4" w:space="0" w:color="auto"/>
              <w:right w:val="single" w:sz="4" w:space="0" w:color="auto"/>
            </w:tcBorders>
            <w:vAlign w:val="bottom"/>
          </w:tcPr>
          <w:p w:rsidR="00BD094F" w:rsidRPr="0049417A" w:rsidP="00692DFA" w14:paraId="3A880577" w14:textId="77777777">
            <w:pPr>
              <w:jc w:val="right"/>
              <w:rPr>
                <w:szCs w:val="26"/>
              </w:rPr>
            </w:pPr>
            <w:r w:rsidRPr="0049417A">
              <w:rPr>
                <w:szCs w:val="26"/>
              </w:rPr>
              <w:t>349.41</w:t>
            </w:r>
            <w:r w:rsidRPr="0049417A">
              <w:rPr>
                <w:szCs w:val="26"/>
              </w:rPr>
              <w:t xml:space="preserve"> hrs.</w:t>
            </w:r>
          </w:p>
          <w:p w:rsidR="00FD1E37" w:rsidRPr="0049417A" w:rsidP="00692DFA" w14:paraId="2AFF13AD" w14:textId="63E47835">
            <w:pPr>
              <w:jc w:val="right"/>
              <w:rPr>
                <w:szCs w:val="26"/>
              </w:rPr>
            </w:pPr>
            <w:r w:rsidRPr="0049417A">
              <w:rPr>
                <w:szCs w:val="26"/>
              </w:rPr>
              <w:t>$24,728.14</w:t>
            </w:r>
          </w:p>
        </w:tc>
      </w:tr>
      <w:tr w14:paraId="53C0A78F" w14:textId="77777777" w:rsidTr="003E1161">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FD1E37" w:rsidRPr="0049417A" w:rsidP="00692DFA" w14:paraId="68B0E249" w14:textId="77777777">
            <w:pPr>
              <w:rPr>
                <w:b/>
                <w:szCs w:val="26"/>
              </w:rPr>
            </w:pPr>
            <w:r w:rsidRPr="0049417A">
              <w:rPr>
                <w:b/>
                <w:szCs w:val="26"/>
              </w:rPr>
              <w:t>Carryover from RD22-2</w:t>
            </w:r>
          </w:p>
          <w:p w:rsidR="000D0E78" w:rsidRPr="0049417A" w:rsidP="00692DFA" w14:paraId="521BAE45" w14:textId="07E9A212">
            <w:pPr>
              <w:rPr>
                <w:b/>
                <w:szCs w:val="26"/>
              </w:rPr>
            </w:pPr>
            <w:r w:rsidRPr="0049417A">
              <w:rPr>
                <w:b/>
                <w:szCs w:val="26"/>
              </w:rPr>
              <w:t>Exp. 2026</w:t>
            </w:r>
          </w:p>
        </w:tc>
        <w:tc>
          <w:tcPr>
            <w:tcW w:w="1169"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692DFA" w14:paraId="0AF97CB7" w14:textId="1A7BDC36">
            <w:pPr>
              <w:rPr>
                <w:szCs w:val="26"/>
              </w:rPr>
            </w:pPr>
            <w:r w:rsidRPr="0049417A">
              <w:rPr>
                <w:szCs w:val="26"/>
              </w:rPr>
              <w:t>1,393</w:t>
            </w:r>
          </w:p>
        </w:tc>
        <w:tc>
          <w:tcPr>
            <w:tcW w:w="1439"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BD094F" w14:paraId="20321E52" w14:textId="093E11E5">
            <w:pPr>
              <w:jc w:val="center"/>
              <w:rPr>
                <w:szCs w:val="26"/>
              </w:rPr>
            </w:pPr>
            <w:r w:rsidRPr="0049417A">
              <w:rPr>
                <w:szCs w:val="26"/>
              </w:rPr>
              <w:t>4</w:t>
            </w:r>
          </w:p>
        </w:tc>
        <w:tc>
          <w:tcPr>
            <w:tcW w:w="1530"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0D0E78" w14:paraId="3DC1FF37" w14:textId="6EEA5483">
            <w:pPr>
              <w:jc w:val="center"/>
              <w:rPr>
                <w:szCs w:val="26"/>
              </w:rPr>
            </w:pPr>
            <w:r w:rsidRPr="0049417A">
              <w:rPr>
                <w:szCs w:val="26"/>
              </w:rPr>
              <w:t>5,572</w:t>
            </w:r>
          </w:p>
        </w:tc>
        <w:tc>
          <w:tcPr>
            <w:tcW w:w="1440" w:type="dxa"/>
            <w:tcBorders>
              <w:top w:val="single" w:sz="6" w:space="0" w:color="auto"/>
              <w:left w:val="single" w:sz="6" w:space="0" w:color="auto"/>
              <w:bottom w:val="single" w:sz="4" w:space="0" w:color="auto"/>
              <w:right w:val="single" w:sz="6" w:space="0" w:color="auto"/>
            </w:tcBorders>
            <w:shd w:val="clear" w:color="auto" w:fill="auto"/>
            <w:vAlign w:val="bottom"/>
          </w:tcPr>
          <w:p w:rsidR="00FD1E37" w:rsidRPr="0049417A" w:rsidP="00BD094F" w14:paraId="5668A923" w14:textId="55156D4E">
            <w:pPr>
              <w:jc w:val="center"/>
              <w:rPr>
                <w:szCs w:val="26"/>
              </w:rPr>
            </w:pPr>
            <w:r w:rsidRPr="0049417A">
              <w:rPr>
                <w:szCs w:val="26"/>
              </w:rPr>
              <w:t xml:space="preserve">                   8 hrs. $565.36</w:t>
            </w:r>
          </w:p>
        </w:tc>
        <w:tc>
          <w:tcPr>
            <w:tcW w:w="1800" w:type="dxa"/>
            <w:tcBorders>
              <w:top w:val="single" w:sz="6" w:space="0" w:color="auto"/>
              <w:left w:val="single" w:sz="6" w:space="0" w:color="auto"/>
              <w:bottom w:val="single" w:sz="4" w:space="0" w:color="auto"/>
              <w:right w:val="single" w:sz="4" w:space="0" w:color="auto"/>
            </w:tcBorders>
            <w:vAlign w:val="bottom"/>
          </w:tcPr>
          <w:p w:rsidR="00FD1E37" w:rsidRPr="0049417A" w:rsidP="00BD094F" w14:paraId="082D7A7C" w14:textId="57A2045F">
            <w:pPr>
              <w:jc w:val="right"/>
              <w:rPr>
                <w:szCs w:val="26"/>
              </w:rPr>
            </w:pPr>
            <w:r w:rsidRPr="0049417A">
              <w:rPr>
                <w:szCs w:val="26"/>
              </w:rPr>
              <w:t>44,576 hrs. $3,150,185.92</w:t>
            </w:r>
          </w:p>
        </w:tc>
      </w:tr>
      <w:tr w14:paraId="2BC36FC1" w14:textId="77777777" w:rsidTr="003E1161">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0158B8" w:rsidRPr="0049417A" w:rsidP="00692DFA" w14:paraId="68E30A62" w14:textId="61314F81">
            <w:pPr>
              <w:rPr>
                <w:b/>
                <w:szCs w:val="26"/>
              </w:rPr>
            </w:pPr>
            <w:r w:rsidRPr="0049417A">
              <w:rPr>
                <w:b/>
                <w:szCs w:val="26"/>
              </w:rPr>
              <w:t>Total for FAC-003-</w:t>
            </w:r>
            <w:r w:rsidRPr="0049417A" w:rsidR="00214E9F">
              <w:rPr>
                <w:b/>
                <w:szCs w:val="26"/>
              </w:rPr>
              <w:t>5</w:t>
            </w:r>
          </w:p>
        </w:tc>
        <w:tc>
          <w:tcPr>
            <w:tcW w:w="1169" w:type="dxa"/>
            <w:tcBorders>
              <w:top w:val="single" w:sz="6" w:space="0" w:color="auto"/>
              <w:left w:val="single" w:sz="6" w:space="0" w:color="auto"/>
              <w:bottom w:val="single" w:sz="4" w:space="0" w:color="auto"/>
              <w:right w:val="single" w:sz="6" w:space="0" w:color="auto"/>
            </w:tcBorders>
            <w:shd w:val="clear" w:color="auto" w:fill="BFBFBF"/>
            <w:vAlign w:val="bottom"/>
          </w:tcPr>
          <w:p w:rsidR="000158B8" w:rsidRPr="0049417A" w:rsidP="00692DFA" w14:paraId="69122FEF" w14:textId="77777777">
            <w:pPr>
              <w:rPr>
                <w:szCs w:val="26"/>
              </w:rPr>
            </w:pPr>
          </w:p>
        </w:tc>
        <w:tc>
          <w:tcPr>
            <w:tcW w:w="1439" w:type="dxa"/>
            <w:tcBorders>
              <w:top w:val="single" w:sz="6" w:space="0" w:color="auto"/>
              <w:left w:val="single" w:sz="6" w:space="0" w:color="auto"/>
              <w:bottom w:val="single" w:sz="4" w:space="0" w:color="auto"/>
              <w:right w:val="single" w:sz="6" w:space="0" w:color="auto"/>
            </w:tcBorders>
            <w:shd w:val="clear" w:color="auto" w:fill="BFBFBF"/>
            <w:vAlign w:val="bottom"/>
          </w:tcPr>
          <w:p w:rsidR="000158B8" w:rsidRPr="0049417A" w:rsidP="00692DFA" w14:paraId="79C5D7F6" w14:textId="77777777">
            <w:pPr>
              <w:rPr>
                <w:szCs w:val="26"/>
              </w:rPr>
            </w:pPr>
          </w:p>
        </w:tc>
        <w:tc>
          <w:tcPr>
            <w:tcW w:w="1530" w:type="dxa"/>
            <w:tcBorders>
              <w:top w:val="single" w:sz="6" w:space="0" w:color="auto"/>
              <w:left w:val="single" w:sz="6" w:space="0" w:color="auto"/>
              <w:bottom w:val="single" w:sz="4" w:space="0" w:color="auto"/>
              <w:right w:val="single" w:sz="6" w:space="0" w:color="auto"/>
            </w:tcBorders>
            <w:shd w:val="clear" w:color="auto" w:fill="auto"/>
            <w:vAlign w:val="bottom"/>
          </w:tcPr>
          <w:p w:rsidR="000158B8" w:rsidRPr="0049417A" w:rsidP="003E1161" w14:paraId="35FAE70A" w14:textId="2D06C72C">
            <w:pPr>
              <w:jc w:val="center"/>
              <w:rPr>
                <w:szCs w:val="26"/>
              </w:rPr>
            </w:pPr>
            <w:r w:rsidRPr="0049417A">
              <w:rPr>
                <w:szCs w:val="26"/>
              </w:rPr>
              <w:t>6,494</w:t>
            </w:r>
          </w:p>
        </w:tc>
        <w:tc>
          <w:tcPr>
            <w:tcW w:w="1440" w:type="dxa"/>
            <w:tcBorders>
              <w:top w:val="single" w:sz="6" w:space="0" w:color="auto"/>
              <w:left w:val="single" w:sz="6" w:space="0" w:color="auto"/>
              <w:bottom w:val="single" w:sz="4" w:space="0" w:color="auto"/>
              <w:right w:val="single" w:sz="6" w:space="0" w:color="auto"/>
            </w:tcBorders>
            <w:shd w:val="clear" w:color="auto" w:fill="BFBFBF"/>
            <w:vAlign w:val="bottom"/>
          </w:tcPr>
          <w:p w:rsidR="000158B8" w:rsidRPr="0049417A" w:rsidP="00692DFA" w14:paraId="757E290C" w14:textId="77777777">
            <w:pPr>
              <w:rPr>
                <w:szCs w:val="26"/>
              </w:rPr>
            </w:pPr>
          </w:p>
        </w:tc>
        <w:tc>
          <w:tcPr>
            <w:tcW w:w="1800" w:type="dxa"/>
            <w:tcBorders>
              <w:top w:val="single" w:sz="6" w:space="0" w:color="auto"/>
              <w:left w:val="single" w:sz="6" w:space="0" w:color="auto"/>
              <w:bottom w:val="single" w:sz="4" w:space="0" w:color="auto"/>
              <w:right w:val="single" w:sz="4" w:space="0" w:color="auto"/>
            </w:tcBorders>
            <w:vAlign w:val="bottom"/>
          </w:tcPr>
          <w:p w:rsidR="000158B8" w:rsidRPr="0049417A" w:rsidP="00692DFA" w14:paraId="03F996F7" w14:textId="68E9E66C">
            <w:pPr>
              <w:jc w:val="right"/>
              <w:rPr>
                <w:szCs w:val="26"/>
              </w:rPr>
            </w:pPr>
            <w:r w:rsidRPr="0049417A">
              <w:rPr>
                <w:szCs w:val="26"/>
              </w:rPr>
              <w:t>45,290.22</w:t>
            </w:r>
            <w:r w:rsidRPr="0049417A">
              <w:rPr>
                <w:szCs w:val="26"/>
              </w:rPr>
              <w:t xml:space="preserve"> hrs.</w:t>
            </w:r>
          </w:p>
          <w:p w:rsidR="000158B8" w:rsidRPr="0049417A" w:rsidP="00692DFA" w14:paraId="192140E6" w14:textId="7766691C">
            <w:pPr>
              <w:jc w:val="right"/>
              <w:rPr>
                <w:szCs w:val="26"/>
              </w:rPr>
            </w:pPr>
            <w:r w:rsidRPr="0049417A">
              <w:rPr>
                <w:szCs w:val="26"/>
              </w:rPr>
              <w:t>$</w:t>
            </w:r>
            <w:r w:rsidRPr="0049417A" w:rsidR="003E1161">
              <w:rPr>
                <w:szCs w:val="26"/>
              </w:rPr>
              <w:t>3,200,659.85</w:t>
            </w:r>
          </w:p>
        </w:tc>
      </w:tr>
    </w:tbl>
    <w:p w:rsidR="000158B8" w:rsidRPr="0049417A" w:rsidP="004E3713" w14:paraId="08BD4BC3" w14:textId="77777777">
      <w:pPr>
        <w:spacing w:line="480" w:lineRule="auto"/>
        <w:rPr>
          <w:szCs w:val="26"/>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1617"/>
        <w:gridCol w:w="1169"/>
        <w:gridCol w:w="1439"/>
        <w:gridCol w:w="1530"/>
        <w:gridCol w:w="1440"/>
        <w:gridCol w:w="1800"/>
      </w:tblGrid>
      <w:tr w14:paraId="3B19DC2F" w14:textId="77777777" w:rsidTr="00692DFA">
        <w:tblPrEx>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Ex>
        <w:trPr>
          <w:trHeight w:val="510"/>
        </w:trPr>
        <w:tc>
          <w:tcPr>
            <w:tcW w:w="1617" w:type="dxa"/>
            <w:tcBorders>
              <w:top w:val="single" w:sz="4" w:space="0" w:color="auto"/>
              <w:left w:val="single" w:sz="4" w:space="0" w:color="auto"/>
              <w:bottom w:val="single" w:sz="6" w:space="0" w:color="auto"/>
              <w:right w:val="single" w:sz="6" w:space="0" w:color="auto"/>
            </w:tcBorders>
            <w:shd w:val="clear" w:color="auto" w:fill="BFBFBF"/>
            <w:vAlign w:val="bottom"/>
            <w:hideMark/>
          </w:tcPr>
          <w:p w:rsidR="00C322A6" w:rsidRPr="0049417A" w:rsidP="00692DFA" w14:paraId="5FE904C6" w14:textId="77777777">
            <w:pPr>
              <w:rPr>
                <w:b/>
                <w:bCs/>
                <w:szCs w:val="26"/>
              </w:rPr>
            </w:pPr>
          </w:p>
        </w:tc>
        <w:tc>
          <w:tcPr>
            <w:tcW w:w="116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C322A6" w:rsidRPr="0049417A" w:rsidP="00692DFA" w14:paraId="0968F820" w14:textId="77777777">
            <w:pPr>
              <w:rPr>
                <w:b/>
                <w:bCs/>
                <w:szCs w:val="26"/>
              </w:rPr>
            </w:pPr>
            <w:r w:rsidRPr="0049417A">
              <w:rPr>
                <w:b/>
                <w:bCs/>
                <w:szCs w:val="26"/>
              </w:rPr>
              <w:t>Number of Entity</w:t>
            </w:r>
            <w:r>
              <w:rPr>
                <w:b/>
                <w:bCs/>
                <w:szCs w:val="26"/>
                <w:vertAlign w:val="superscript"/>
              </w:rPr>
              <w:footnoteReference w:id="9"/>
            </w:r>
            <w:r w:rsidRPr="0049417A">
              <w:rPr>
                <w:b/>
                <w:bCs/>
                <w:szCs w:val="26"/>
              </w:rPr>
              <w:t xml:space="preserve"> (1)</w:t>
            </w:r>
          </w:p>
        </w:tc>
        <w:tc>
          <w:tcPr>
            <w:tcW w:w="1439"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C322A6" w:rsidRPr="0049417A" w:rsidP="00692DFA" w14:paraId="1B038F16" w14:textId="77777777">
            <w:pPr>
              <w:rPr>
                <w:b/>
                <w:bCs/>
                <w:szCs w:val="26"/>
              </w:rPr>
            </w:pPr>
            <w:r w:rsidRPr="0049417A">
              <w:rPr>
                <w:b/>
                <w:bCs/>
                <w:szCs w:val="26"/>
              </w:rPr>
              <w:t>Number of Annual Responses Per Entity (2)</w:t>
            </w:r>
          </w:p>
        </w:tc>
        <w:tc>
          <w:tcPr>
            <w:tcW w:w="153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C322A6" w:rsidRPr="0049417A" w:rsidP="00692DFA" w14:paraId="7294FFF4" w14:textId="77777777">
            <w:pPr>
              <w:rPr>
                <w:b/>
                <w:bCs/>
                <w:szCs w:val="26"/>
              </w:rPr>
            </w:pPr>
            <w:r w:rsidRPr="0049417A">
              <w:rPr>
                <w:b/>
                <w:bCs/>
                <w:szCs w:val="26"/>
              </w:rPr>
              <w:t>Total Number of Responses (1) *(2) = (3)</w:t>
            </w:r>
          </w:p>
        </w:tc>
        <w:tc>
          <w:tcPr>
            <w:tcW w:w="1440" w:type="dxa"/>
            <w:tcBorders>
              <w:top w:val="single" w:sz="4" w:space="0" w:color="auto"/>
              <w:left w:val="single" w:sz="6" w:space="0" w:color="auto"/>
              <w:bottom w:val="single" w:sz="6" w:space="0" w:color="auto"/>
              <w:right w:val="single" w:sz="6" w:space="0" w:color="auto"/>
            </w:tcBorders>
            <w:shd w:val="clear" w:color="auto" w:fill="BFBFBF"/>
            <w:vAlign w:val="bottom"/>
            <w:hideMark/>
          </w:tcPr>
          <w:p w:rsidR="00C322A6" w:rsidRPr="0049417A" w:rsidP="00692DFA" w14:paraId="592C1FFC" w14:textId="77777777">
            <w:pPr>
              <w:rPr>
                <w:b/>
                <w:bCs/>
                <w:szCs w:val="26"/>
              </w:rPr>
            </w:pPr>
            <w:r w:rsidRPr="0049417A">
              <w:rPr>
                <w:b/>
                <w:bCs/>
                <w:szCs w:val="26"/>
              </w:rPr>
              <w:t xml:space="preserve">Average </w:t>
            </w:r>
            <w:r w:rsidRPr="0049417A">
              <w:rPr>
                <w:b/>
                <w:bCs/>
                <w:szCs w:val="26"/>
              </w:rPr>
              <w:t>Number</w:t>
            </w:r>
            <w:r w:rsidRPr="0049417A">
              <w:rPr>
                <w:b/>
                <w:bCs/>
                <w:szCs w:val="26"/>
              </w:rPr>
              <w:t xml:space="preserve"> of Burden Hours per Response</w:t>
            </w:r>
            <w:r>
              <w:rPr>
                <w:b/>
                <w:bCs/>
                <w:szCs w:val="26"/>
                <w:vertAlign w:val="superscript"/>
              </w:rPr>
              <w:footnoteReference w:id="10"/>
            </w:r>
            <w:r w:rsidRPr="0049417A">
              <w:rPr>
                <w:b/>
                <w:bCs/>
                <w:szCs w:val="26"/>
              </w:rPr>
              <w:t xml:space="preserve"> (4)</w:t>
            </w:r>
          </w:p>
        </w:tc>
        <w:tc>
          <w:tcPr>
            <w:tcW w:w="1800" w:type="dxa"/>
            <w:tcBorders>
              <w:top w:val="single" w:sz="4" w:space="0" w:color="auto"/>
              <w:left w:val="single" w:sz="6" w:space="0" w:color="auto"/>
              <w:bottom w:val="single" w:sz="6" w:space="0" w:color="auto"/>
              <w:right w:val="single" w:sz="4" w:space="0" w:color="auto"/>
            </w:tcBorders>
            <w:shd w:val="clear" w:color="auto" w:fill="BFBFBF"/>
            <w:vAlign w:val="bottom"/>
            <w:hideMark/>
          </w:tcPr>
          <w:p w:rsidR="00C322A6" w:rsidRPr="0049417A" w:rsidP="00692DFA" w14:paraId="0CD3F991" w14:textId="77777777">
            <w:pPr>
              <w:rPr>
                <w:b/>
                <w:bCs/>
                <w:szCs w:val="26"/>
              </w:rPr>
            </w:pPr>
            <w:r w:rsidRPr="0049417A">
              <w:rPr>
                <w:b/>
                <w:bCs/>
                <w:szCs w:val="26"/>
              </w:rPr>
              <w:t>Total Burden Hours (3) *(4) = (5)</w:t>
            </w:r>
          </w:p>
        </w:tc>
      </w:tr>
      <w:tr w14:paraId="076039AB" w14:textId="77777777" w:rsidTr="00692DFA">
        <w:tblPrEx>
          <w:tblW w:w="0" w:type="auto"/>
          <w:tblLook w:val="00A0"/>
        </w:tblPrEx>
        <w:trPr>
          <w:trHeight w:val="219"/>
        </w:trPr>
        <w:tc>
          <w:tcPr>
            <w:tcW w:w="8995" w:type="dxa"/>
            <w:gridSpan w:val="6"/>
            <w:tcBorders>
              <w:top w:val="single" w:sz="4" w:space="0" w:color="auto"/>
              <w:left w:val="single" w:sz="4" w:space="0" w:color="auto"/>
              <w:bottom w:val="single" w:sz="6" w:space="0" w:color="auto"/>
              <w:right w:val="single" w:sz="4" w:space="0" w:color="auto"/>
            </w:tcBorders>
            <w:shd w:val="clear" w:color="auto" w:fill="BFBFBF"/>
            <w:vAlign w:val="bottom"/>
          </w:tcPr>
          <w:p w:rsidR="00C322A6" w:rsidRPr="0049417A" w:rsidP="00692DFA" w14:paraId="6A20CCDD" w14:textId="7073B30D">
            <w:pPr>
              <w:rPr>
                <w:b/>
                <w:bCs/>
                <w:szCs w:val="26"/>
              </w:rPr>
            </w:pPr>
            <w:r w:rsidRPr="0049417A">
              <w:rPr>
                <w:b/>
                <w:bCs/>
                <w:szCs w:val="26"/>
              </w:rPr>
              <w:t>Transferred from FERC-725A to FERC-725D</w:t>
            </w:r>
          </w:p>
        </w:tc>
      </w:tr>
      <w:tr w14:paraId="096498D7" w14:textId="77777777" w:rsidTr="00692DFA">
        <w:tblPrEx>
          <w:tblW w:w="0" w:type="auto"/>
          <w:tblLook w:val="00A0"/>
        </w:tblPrEx>
        <w:trPr>
          <w:trHeight w:val="780"/>
        </w:trPr>
        <w:tc>
          <w:tcPr>
            <w:tcW w:w="1617" w:type="dxa"/>
            <w:vMerge w:val="restart"/>
            <w:tcBorders>
              <w:top w:val="single" w:sz="6" w:space="0" w:color="auto"/>
              <w:left w:val="single" w:sz="4" w:space="0" w:color="auto"/>
              <w:right w:val="single" w:sz="6" w:space="0" w:color="auto"/>
            </w:tcBorders>
            <w:hideMark/>
          </w:tcPr>
          <w:p w:rsidR="00C322A6" w:rsidRPr="0049417A" w:rsidP="00692DFA" w14:paraId="11910082" w14:textId="77777777">
            <w:pPr>
              <w:spacing w:after="160" w:line="259" w:lineRule="auto"/>
              <w:rPr>
                <w:b/>
                <w:bCs/>
                <w:szCs w:val="26"/>
              </w:rPr>
            </w:pPr>
            <w:r w:rsidRPr="0049417A">
              <w:rPr>
                <w:b/>
                <w:bCs/>
                <w:szCs w:val="26"/>
              </w:rPr>
              <w:t>Annual review and record retention</w:t>
            </w:r>
          </w:p>
        </w:tc>
        <w:tc>
          <w:tcPr>
            <w:tcW w:w="1169" w:type="dxa"/>
            <w:tcBorders>
              <w:top w:val="single" w:sz="6" w:space="0" w:color="auto"/>
              <w:left w:val="single" w:sz="6" w:space="0" w:color="auto"/>
              <w:bottom w:val="single" w:sz="6" w:space="0" w:color="auto"/>
              <w:right w:val="single" w:sz="6" w:space="0" w:color="auto"/>
            </w:tcBorders>
            <w:vAlign w:val="bottom"/>
            <w:hideMark/>
          </w:tcPr>
          <w:p w:rsidR="00C322A6" w:rsidRPr="0049417A" w:rsidP="00692DFA" w14:paraId="02CD353A" w14:textId="77777777">
            <w:pPr>
              <w:jc w:val="center"/>
              <w:rPr>
                <w:szCs w:val="26"/>
              </w:rPr>
            </w:pPr>
            <w:r w:rsidRPr="0049417A">
              <w:rPr>
                <w:szCs w:val="26"/>
              </w:rPr>
              <w:t>324 (TO)</w:t>
            </w:r>
          </w:p>
        </w:tc>
        <w:tc>
          <w:tcPr>
            <w:tcW w:w="1439" w:type="dxa"/>
            <w:tcBorders>
              <w:top w:val="single" w:sz="6" w:space="0" w:color="auto"/>
              <w:left w:val="single" w:sz="6" w:space="0" w:color="auto"/>
              <w:bottom w:val="single" w:sz="6" w:space="0" w:color="auto"/>
              <w:right w:val="single" w:sz="6" w:space="0" w:color="auto"/>
            </w:tcBorders>
            <w:vAlign w:val="bottom"/>
            <w:hideMark/>
          </w:tcPr>
          <w:p w:rsidR="00C322A6" w:rsidRPr="0049417A" w:rsidP="00692DFA" w14:paraId="157F95D0" w14:textId="77777777">
            <w:pPr>
              <w:jc w:val="center"/>
              <w:rPr>
                <w:szCs w:val="26"/>
              </w:rPr>
            </w:pPr>
            <w:r w:rsidRPr="0049417A">
              <w:rPr>
                <w:szCs w:val="26"/>
              </w:rPr>
              <w:t>1</w:t>
            </w:r>
          </w:p>
        </w:tc>
        <w:tc>
          <w:tcPr>
            <w:tcW w:w="1530" w:type="dxa"/>
            <w:tcBorders>
              <w:top w:val="single" w:sz="6" w:space="0" w:color="auto"/>
              <w:left w:val="single" w:sz="6" w:space="0" w:color="auto"/>
              <w:bottom w:val="single" w:sz="6" w:space="0" w:color="auto"/>
              <w:right w:val="single" w:sz="6" w:space="0" w:color="auto"/>
            </w:tcBorders>
            <w:vAlign w:val="bottom"/>
            <w:hideMark/>
          </w:tcPr>
          <w:p w:rsidR="00C322A6" w:rsidRPr="0049417A" w:rsidP="00692DFA" w14:paraId="5AA318B1" w14:textId="77777777">
            <w:pPr>
              <w:jc w:val="center"/>
              <w:rPr>
                <w:szCs w:val="26"/>
              </w:rPr>
            </w:pPr>
            <w:r w:rsidRPr="0049417A">
              <w:rPr>
                <w:szCs w:val="26"/>
              </w:rPr>
              <w:t>324</w:t>
            </w:r>
          </w:p>
        </w:tc>
        <w:tc>
          <w:tcPr>
            <w:tcW w:w="1440" w:type="dxa"/>
            <w:tcBorders>
              <w:top w:val="single" w:sz="6" w:space="0" w:color="auto"/>
              <w:left w:val="single" w:sz="6" w:space="0" w:color="auto"/>
              <w:bottom w:val="single" w:sz="6" w:space="0" w:color="auto"/>
              <w:right w:val="single" w:sz="6" w:space="0" w:color="auto"/>
            </w:tcBorders>
            <w:vAlign w:val="bottom"/>
            <w:hideMark/>
          </w:tcPr>
          <w:p w:rsidR="00C322A6" w:rsidRPr="0049417A" w:rsidP="00692DFA" w14:paraId="3DF71DC3" w14:textId="5FD1DC00">
            <w:pPr>
              <w:jc w:val="right"/>
              <w:rPr>
                <w:szCs w:val="26"/>
              </w:rPr>
            </w:pPr>
            <w:r w:rsidRPr="0049417A">
              <w:rPr>
                <w:szCs w:val="26"/>
              </w:rPr>
              <w:t>200 hrs.</w:t>
            </w:r>
          </w:p>
          <w:p w:rsidR="00C322A6" w:rsidRPr="0049417A" w:rsidP="00692DFA" w14:paraId="4C3D850D" w14:textId="40E2D0F3">
            <w:pPr>
              <w:jc w:val="right"/>
              <w:rPr>
                <w:szCs w:val="26"/>
              </w:rPr>
            </w:pPr>
            <w:r w:rsidRPr="0049417A">
              <w:rPr>
                <w:szCs w:val="26"/>
              </w:rPr>
              <w:t>$70.67/hrs.</w:t>
            </w:r>
          </w:p>
        </w:tc>
        <w:tc>
          <w:tcPr>
            <w:tcW w:w="1800" w:type="dxa"/>
            <w:tcBorders>
              <w:top w:val="single" w:sz="6" w:space="0" w:color="auto"/>
              <w:left w:val="single" w:sz="6" w:space="0" w:color="auto"/>
              <w:bottom w:val="single" w:sz="6" w:space="0" w:color="auto"/>
              <w:right w:val="single" w:sz="4" w:space="0" w:color="auto"/>
            </w:tcBorders>
            <w:vAlign w:val="bottom"/>
            <w:hideMark/>
          </w:tcPr>
          <w:p w:rsidR="00C322A6" w:rsidRPr="0049417A" w:rsidP="00692DFA" w14:paraId="6F261AF0" w14:textId="5868923C">
            <w:pPr>
              <w:jc w:val="right"/>
              <w:rPr>
                <w:szCs w:val="26"/>
              </w:rPr>
            </w:pPr>
            <w:r w:rsidRPr="0049417A">
              <w:rPr>
                <w:szCs w:val="26"/>
              </w:rPr>
              <w:t>64,800 hrs.</w:t>
            </w:r>
          </w:p>
          <w:p w:rsidR="00C322A6" w:rsidRPr="0049417A" w:rsidP="00692DFA" w14:paraId="23E45383" w14:textId="3EBEFA4A">
            <w:pPr>
              <w:jc w:val="right"/>
              <w:rPr>
                <w:szCs w:val="26"/>
              </w:rPr>
            </w:pPr>
            <w:r w:rsidRPr="0049417A">
              <w:rPr>
                <w:szCs w:val="26"/>
              </w:rPr>
              <w:t>$4,579,416</w:t>
            </w:r>
          </w:p>
        </w:tc>
      </w:tr>
      <w:tr w14:paraId="5D1B77B0" w14:textId="77777777" w:rsidTr="00692DFA">
        <w:tblPrEx>
          <w:tblW w:w="0" w:type="auto"/>
          <w:tblLook w:val="00A0"/>
        </w:tblPrEx>
        <w:trPr>
          <w:trHeight w:val="780"/>
        </w:trPr>
        <w:tc>
          <w:tcPr>
            <w:tcW w:w="1617" w:type="dxa"/>
            <w:vMerge/>
            <w:tcBorders>
              <w:left w:val="single" w:sz="4" w:space="0" w:color="auto"/>
              <w:bottom w:val="single" w:sz="4" w:space="0" w:color="auto"/>
              <w:right w:val="single" w:sz="6" w:space="0" w:color="auto"/>
            </w:tcBorders>
            <w:hideMark/>
          </w:tcPr>
          <w:p w:rsidR="00C322A6" w:rsidRPr="0049417A" w:rsidP="00692DFA" w14:paraId="7348382F" w14:textId="77777777">
            <w:pPr>
              <w:rPr>
                <w:b/>
                <w:szCs w:val="26"/>
              </w:rPr>
            </w:pPr>
          </w:p>
        </w:tc>
        <w:tc>
          <w:tcPr>
            <w:tcW w:w="1169" w:type="dxa"/>
            <w:tcBorders>
              <w:top w:val="single" w:sz="6" w:space="0" w:color="auto"/>
              <w:left w:val="single" w:sz="6" w:space="0" w:color="auto"/>
              <w:bottom w:val="single" w:sz="4" w:space="0" w:color="auto"/>
              <w:right w:val="single" w:sz="6" w:space="0" w:color="auto"/>
            </w:tcBorders>
            <w:vAlign w:val="bottom"/>
            <w:hideMark/>
          </w:tcPr>
          <w:p w:rsidR="00C322A6" w:rsidRPr="0049417A" w:rsidP="00692DFA" w14:paraId="34A0593D" w14:textId="77777777">
            <w:pPr>
              <w:jc w:val="center"/>
              <w:rPr>
                <w:szCs w:val="26"/>
              </w:rPr>
            </w:pPr>
            <w:r w:rsidRPr="0049417A">
              <w:rPr>
                <w:szCs w:val="26"/>
              </w:rPr>
              <w:t>1210 (GO)</w:t>
            </w:r>
          </w:p>
        </w:tc>
        <w:tc>
          <w:tcPr>
            <w:tcW w:w="1439" w:type="dxa"/>
            <w:tcBorders>
              <w:top w:val="single" w:sz="6" w:space="0" w:color="auto"/>
              <w:left w:val="single" w:sz="6" w:space="0" w:color="auto"/>
              <w:bottom w:val="single" w:sz="4" w:space="0" w:color="auto"/>
              <w:right w:val="single" w:sz="6" w:space="0" w:color="auto"/>
            </w:tcBorders>
            <w:vAlign w:val="bottom"/>
            <w:hideMark/>
          </w:tcPr>
          <w:p w:rsidR="00C322A6" w:rsidRPr="0049417A" w:rsidP="00692DFA" w14:paraId="068C3DE0" w14:textId="77777777">
            <w:pPr>
              <w:jc w:val="center"/>
              <w:rPr>
                <w:szCs w:val="26"/>
              </w:rPr>
            </w:pPr>
            <w:r w:rsidRPr="0049417A">
              <w:rPr>
                <w:szCs w:val="26"/>
              </w:rPr>
              <w:t>1</w:t>
            </w:r>
          </w:p>
        </w:tc>
        <w:tc>
          <w:tcPr>
            <w:tcW w:w="1530" w:type="dxa"/>
            <w:tcBorders>
              <w:top w:val="single" w:sz="6" w:space="0" w:color="auto"/>
              <w:left w:val="single" w:sz="6" w:space="0" w:color="auto"/>
              <w:bottom w:val="single" w:sz="4" w:space="0" w:color="auto"/>
              <w:right w:val="single" w:sz="6" w:space="0" w:color="auto"/>
            </w:tcBorders>
            <w:vAlign w:val="bottom"/>
            <w:hideMark/>
          </w:tcPr>
          <w:p w:rsidR="00C322A6" w:rsidRPr="0049417A" w:rsidP="00692DFA" w14:paraId="4D2E5D24" w14:textId="77777777">
            <w:pPr>
              <w:jc w:val="center"/>
              <w:rPr>
                <w:szCs w:val="26"/>
              </w:rPr>
            </w:pPr>
            <w:r w:rsidRPr="0049417A">
              <w:rPr>
                <w:szCs w:val="26"/>
              </w:rPr>
              <w:t>1210</w:t>
            </w:r>
          </w:p>
        </w:tc>
        <w:tc>
          <w:tcPr>
            <w:tcW w:w="1440" w:type="dxa"/>
            <w:tcBorders>
              <w:top w:val="single" w:sz="6" w:space="0" w:color="auto"/>
              <w:left w:val="single" w:sz="6" w:space="0" w:color="auto"/>
              <w:bottom w:val="single" w:sz="4" w:space="0" w:color="auto"/>
              <w:right w:val="single" w:sz="6" w:space="0" w:color="auto"/>
            </w:tcBorders>
            <w:vAlign w:val="bottom"/>
            <w:hideMark/>
          </w:tcPr>
          <w:p w:rsidR="00C322A6" w:rsidRPr="0049417A" w:rsidP="00692DFA" w14:paraId="06B812B6" w14:textId="5876CC06">
            <w:pPr>
              <w:jc w:val="right"/>
              <w:rPr>
                <w:szCs w:val="26"/>
              </w:rPr>
            </w:pPr>
            <w:r w:rsidRPr="0049417A">
              <w:rPr>
                <w:szCs w:val="26"/>
              </w:rPr>
              <w:t>80 hrs.</w:t>
            </w:r>
          </w:p>
          <w:p w:rsidR="00C322A6" w:rsidRPr="0049417A" w:rsidP="00692DFA" w14:paraId="5EB2816B" w14:textId="607DE289">
            <w:pPr>
              <w:jc w:val="right"/>
              <w:rPr>
                <w:szCs w:val="26"/>
              </w:rPr>
            </w:pPr>
            <w:r w:rsidRPr="0049417A">
              <w:rPr>
                <w:szCs w:val="26"/>
              </w:rPr>
              <w:t>$70.67/hrs.</w:t>
            </w:r>
          </w:p>
        </w:tc>
        <w:tc>
          <w:tcPr>
            <w:tcW w:w="1800" w:type="dxa"/>
            <w:tcBorders>
              <w:top w:val="single" w:sz="6" w:space="0" w:color="auto"/>
              <w:left w:val="single" w:sz="6" w:space="0" w:color="auto"/>
              <w:bottom w:val="single" w:sz="4" w:space="0" w:color="auto"/>
              <w:right w:val="single" w:sz="4" w:space="0" w:color="auto"/>
            </w:tcBorders>
            <w:vAlign w:val="bottom"/>
            <w:hideMark/>
          </w:tcPr>
          <w:p w:rsidR="00C322A6" w:rsidRPr="0049417A" w:rsidP="00692DFA" w14:paraId="011BD3A5" w14:textId="3F94B157">
            <w:pPr>
              <w:jc w:val="right"/>
              <w:rPr>
                <w:szCs w:val="26"/>
              </w:rPr>
            </w:pPr>
            <w:r w:rsidRPr="0049417A">
              <w:rPr>
                <w:szCs w:val="26"/>
              </w:rPr>
              <w:t>96,800 hrs.</w:t>
            </w:r>
          </w:p>
          <w:p w:rsidR="00C322A6" w:rsidRPr="0049417A" w:rsidP="00692DFA" w14:paraId="23931864" w14:textId="466422E2">
            <w:pPr>
              <w:jc w:val="right"/>
              <w:rPr>
                <w:szCs w:val="26"/>
              </w:rPr>
            </w:pPr>
            <w:r w:rsidRPr="0049417A">
              <w:rPr>
                <w:szCs w:val="26"/>
              </w:rPr>
              <w:t>$6,840,856</w:t>
            </w:r>
          </w:p>
        </w:tc>
      </w:tr>
      <w:tr w14:paraId="48A74005" w14:textId="77777777" w:rsidTr="003E1161">
        <w:tblPrEx>
          <w:tblW w:w="0" w:type="auto"/>
          <w:tblLook w:val="00A0"/>
        </w:tblPrEx>
        <w:trPr>
          <w:trHeight w:val="780"/>
        </w:trPr>
        <w:tc>
          <w:tcPr>
            <w:tcW w:w="1617" w:type="dxa"/>
            <w:tcBorders>
              <w:top w:val="single" w:sz="6" w:space="0" w:color="auto"/>
              <w:left w:val="single" w:sz="4" w:space="0" w:color="auto"/>
              <w:bottom w:val="single" w:sz="4" w:space="0" w:color="auto"/>
              <w:right w:val="single" w:sz="6" w:space="0" w:color="auto"/>
            </w:tcBorders>
          </w:tcPr>
          <w:p w:rsidR="00C322A6" w:rsidRPr="0049417A" w:rsidP="00692DFA" w14:paraId="01CB8B99" w14:textId="391BC1BB">
            <w:pPr>
              <w:rPr>
                <w:b/>
                <w:szCs w:val="26"/>
              </w:rPr>
            </w:pPr>
            <w:r w:rsidRPr="0049417A">
              <w:rPr>
                <w:b/>
                <w:szCs w:val="26"/>
              </w:rPr>
              <w:t>Total for FAC-008-5</w:t>
            </w:r>
          </w:p>
        </w:tc>
        <w:tc>
          <w:tcPr>
            <w:tcW w:w="1169" w:type="dxa"/>
            <w:tcBorders>
              <w:top w:val="single" w:sz="6" w:space="0" w:color="auto"/>
              <w:left w:val="single" w:sz="6" w:space="0" w:color="auto"/>
              <w:bottom w:val="single" w:sz="4" w:space="0" w:color="auto"/>
              <w:right w:val="single" w:sz="6" w:space="0" w:color="auto"/>
            </w:tcBorders>
            <w:shd w:val="clear" w:color="auto" w:fill="BFBFBF"/>
            <w:vAlign w:val="bottom"/>
          </w:tcPr>
          <w:p w:rsidR="00C322A6" w:rsidRPr="0049417A" w:rsidP="00692DFA" w14:paraId="78B7108B" w14:textId="77777777">
            <w:pPr>
              <w:rPr>
                <w:szCs w:val="26"/>
              </w:rPr>
            </w:pPr>
          </w:p>
        </w:tc>
        <w:tc>
          <w:tcPr>
            <w:tcW w:w="1439" w:type="dxa"/>
            <w:tcBorders>
              <w:top w:val="single" w:sz="6" w:space="0" w:color="auto"/>
              <w:left w:val="single" w:sz="6" w:space="0" w:color="auto"/>
              <w:bottom w:val="single" w:sz="4" w:space="0" w:color="auto"/>
              <w:right w:val="single" w:sz="6" w:space="0" w:color="auto"/>
            </w:tcBorders>
            <w:shd w:val="clear" w:color="auto" w:fill="BFBFBF"/>
            <w:vAlign w:val="bottom"/>
          </w:tcPr>
          <w:p w:rsidR="00C322A6" w:rsidRPr="0049417A" w:rsidP="00692DFA" w14:paraId="2202ABE5" w14:textId="77777777">
            <w:pPr>
              <w:rPr>
                <w:szCs w:val="26"/>
              </w:rPr>
            </w:pPr>
          </w:p>
        </w:tc>
        <w:tc>
          <w:tcPr>
            <w:tcW w:w="1530" w:type="dxa"/>
            <w:tcBorders>
              <w:top w:val="single" w:sz="6" w:space="0" w:color="auto"/>
              <w:left w:val="single" w:sz="6" w:space="0" w:color="auto"/>
              <w:bottom w:val="single" w:sz="4" w:space="0" w:color="auto"/>
              <w:right w:val="single" w:sz="6" w:space="0" w:color="auto"/>
            </w:tcBorders>
            <w:shd w:val="clear" w:color="auto" w:fill="auto"/>
            <w:vAlign w:val="bottom"/>
          </w:tcPr>
          <w:p w:rsidR="00C322A6" w:rsidRPr="0049417A" w:rsidP="003E1161" w14:paraId="5B894349" w14:textId="43BDC90B">
            <w:pPr>
              <w:jc w:val="center"/>
              <w:rPr>
                <w:szCs w:val="26"/>
              </w:rPr>
            </w:pPr>
            <w:r w:rsidRPr="0049417A">
              <w:rPr>
                <w:szCs w:val="26"/>
              </w:rPr>
              <w:t>1,534</w:t>
            </w:r>
          </w:p>
        </w:tc>
        <w:tc>
          <w:tcPr>
            <w:tcW w:w="1440" w:type="dxa"/>
            <w:tcBorders>
              <w:top w:val="single" w:sz="6" w:space="0" w:color="auto"/>
              <w:left w:val="single" w:sz="6" w:space="0" w:color="auto"/>
              <w:bottom w:val="single" w:sz="4" w:space="0" w:color="auto"/>
              <w:right w:val="single" w:sz="6" w:space="0" w:color="auto"/>
            </w:tcBorders>
            <w:shd w:val="clear" w:color="auto" w:fill="BFBFBF"/>
            <w:vAlign w:val="bottom"/>
          </w:tcPr>
          <w:p w:rsidR="00C322A6" w:rsidRPr="0049417A" w:rsidP="00692DFA" w14:paraId="3BE73238" w14:textId="77777777">
            <w:pPr>
              <w:rPr>
                <w:szCs w:val="26"/>
              </w:rPr>
            </w:pPr>
          </w:p>
        </w:tc>
        <w:tc>
          <w:tcPr>
            <w:tcW w:w="1800" w:type="dxa"/>
            <w:tcBorders>
              <w:top w:val="single" w:sz="6" w:space="0" w:color="auto"/>
              <w:left w:val="single" w:sz="6" w:space="0" w:color="auto"/>
              <w:bottom w:val="single" w:sz="4" w:space="0" w:color="auto"/>
              <w:right w:val="single" w:sz="4" w:space="0" w:color="auto"/>
            </w:tcBorders>
            <w:vAlign w:val="bottom"/>
          </w:tcPr>
          <w:p w:rsidR="00C322A6" w:rsidRPr="0049417A" w:rsidP="00692DFA" w14:paraId="2F7E5AFF" w14:textId="0A9B0E7F">
            <w:pPr>
              <w:jc w:val="right"/>
              <w:rPr>
                <w:szCs w:val="26"/>
              </w:rPr>
            </w:pPr>
            <w:r w:rsidRPr="0049417A">
              <w:rPr>
                <w:szCs w:val="26"/>
              </w:rPr>
              <w:t>161,600 hrs.</w:t>
            </w:r>
          </w:p>
          <w:p w:rsidR="00C322A6" w:rsidRPr="0049417A" w:rsidP="00692DFA" w14:paraId="1D75BB83" w14:textId="7987E22B">
            <w:pPr>
              <w:jc w:val="right"/>
              <w:rPr>
                <w:szCs w:val="26"/>
              </w:rPr>
            </w:pPr>
            <w:r w:rsidRPr="0049417A">
              <w:rPr>
                <w:szCs w:val="26"/>
              </w:rPr>
              <w:t>$11,420,272</w:t>
            </w:r>
          </w:p>
        </w:tc>
      </w:tr>
    </w:tbl>
    <w:p w:rsidR="007B2872" w:rsidRPr="0049417A" w:rsidP="004E3713" w14:paraId="70CBB90E" w14:textId="77777777">
      <w:pPr>
        <w:spacing w:line="480" w:lineRule="auto"/>
        <w:rPr>
          <w:szCs w:val="26"/>
        </w:rPr>
      </w:pPr>
    </w:p>
    <w:p w:rsidR="00925DC5" w:rsidRPr="0049417A" w:rsidP="004E3713" w14:paraId="3D8349D1" w14:textId="77777777">
      <w:pPr>
        <w:spacing w:line="480" w:lineRule="auto"/>
        <w:rPr>
          <w:szCs w:val="26"/>
        </w:rPr>
      </w:pPr>
    </w:p>
    <w:p w:rsidR="0093522B" w:rsidP="003B29FB" w14:paraId="6F2D097A" w14:textId="77777777">
      <w:pPr>
        <w:spacing w:line="480" w:lineRule="auto"/>
        <w:rPr>
          <w:szCs w:val="26"/>
        </w:rPr>
      </w:pPr>
      <w:r w:rsidRPr="0049417A">
        <w:rPr>
          <w:i/>
          <w:szCs w:val="26"/>
        </w:rPr>
        <w:t xml:space="preserve">Comments:  </w:t>
      </w:r>
      <w:r w:rsidRPr="0049417A">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3B29FB" w:rsidRPr="0049417A" w:rsidP="003B29FB" w14:paraId="50E8392C" w14:textId="6A3838B2">
      <w:pPr>
        <w:spacing w:line="480" w:lineRule="auto"/>
        <w:rPr>
          <w:szCs w:val="26"/>
        </w:rPr>
      </w:pPr>
      <w:r w:rsidRPr="0049417A">
        <w:rPr>
          <w:szCs w:val="26"/>
        </w:rPr>
        <w:t xml:space="preserve">collection of information on those who are to respond, including the use of automated collection techniques or other forms of information technology.  </w:t>
      </w:r>
    </w:p>
    <w:p w:rsidR="004E3713" w:rsidRPr="0049417A" w:rsidP="00964A22" w14:paraId="46680D64" w14:textId="5BC4D186">
      <w:pPr>
        <w:rPr>
          <w:szCs w:val="26"/>
        </w:rPr>
      </w:pPr>
    </w:p>
    <w:p w:rsidR="00964A22" w:rsidRPr="0049417A" w:rsidP="00964A22" w14:paraId="28A6E4D0" w14:textId="40854657">
      <w:pPr>
        <w:rPr>
          <w:szCs w:val="26"/>
        </w:rPr>
      </w:pPr>
    </w:p>
    <w:p w:rsidR="0049417A" w:rsidRPr="0049417A" w:rsidP="0049417A" w14:paraId="3E407150" w14:textId="4C03CDFC">
      <w:pPr>
        <w:ind w:firstLine="2174"/>
        <w:jc w:val="center"/>
      </w:pPr>
      <w:r w:rsidRPr="0049417A">
        <w:t>Carlos D. Clay,</w:t>
      </w:r>
    </w:p>
    <w:p w:rsidR="0049417A" w:rsidRPr="0049417A" w:rsidP="0049417A" w14:paraId="67DEF0FE" w14:textId="49021B1B">
      <w:pPr>
        <w:ind w:firstLine="2174"/>
        <w:jc w:val="center"/>
      </w:pPr>
      <w:r w:rsidRPr="0049417A">
        <w:t xml:space="preserve"> Deputy Secretary.</w:t>
      </w:r>
    </w:p>
    <w:p w:rsidR="0049417A" w:rsidRPr="0049417A" w:rsidP="00964A22" w14:paraId="40CE78F9" w14:textId="77777777">
      <w:pPr>
        <w:rPr>
          <w:szCs w:val="26"/>
        </w:rPr>
      </w:pPr>
    </w:p>
    <w:sectPr w:rsidSect="00DF4B69">
      <w:headerReference w:type="default" r:id="rId14"/>
      <w:headerReference w:type="first" r:id="rId1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00232" w:rsidP="003B29FB" w14:paraId="79F811E1" w14:textId="77777777">
      <w:r>
        <w:separator/>
      </w:r>
    </w:p>
  </w:footnote>
  <w:footnote w:type="continuationSeparator" w:id="1">
    <w:p w:rsidR="00F00232" w:rsidP="003B29FB" w14:paraId="01977AF4" w14:textId="77777777">
      <w:r>
        <w:continuationSeparator/>
      </w:r>
    </w:p>
  </w:footnote>
  <w:footnote w:type="continuationNotice" w:id="2">
    <w:p w:rsidR="00F00232" w14:paraId="6404D19E" w14:textId="77777777"/>
  </w:footnote>
  <w:footnote w:id="3">
    <w:p w:rsidR="006B0822" w:rsidRPr="0049417A" w:rsidP="0093522B" w14:paraId="009DE878" w14:textId="77777777">
      <w:pPr>
        <w:pStyle w:val="FootnoteText"/>
        <w:spacing w:after="260"/>
        <w:ind w:firstLine="720"/>
        <w:rPr>
          <w:sz w:val="26"/>
          <w:szCs w:val="26"/>
        </w:rPr>
      </w:pPr>
      <w:r w:rsidRPr="0049417A">
        <w:rPr>
          <w:rStyle w:val="FootnoteReference"/>
        </w:rPr>
        <w:footnoteRef/>
      </w:r>
      <w:r w:rsidRPr="0049417A">
        <w:rPr>
          <w:sz w:val="26"/>
          <w:szCs w:val="26"/>
        </w:rPr>
        <w:t xml:space="preserve">  16 U.S.C. 824(o).</w:t>
      </w:r>
    </w:p>
  </w:footnote>
  <w:footnote w:id="4">
    <w:p w:rsidR="006B0822" w:rsidRPr="0049417A" w:rsidP="0093522B" w14:paraId="44EBF4F9" w14:textId="77777777">
      <w:pPr>
        <w:pStyle w:val="FootnoteText"/>
        <w:spacing w:after="260"/>
        <w:ind w:firstLine="720"/>
        <w:rPr>
          <w:sz w:val="26"/>
          <w:szCs w:val="26"/>
        </w:rPr>
      </w:pPr>
      <w:r w:rsidRPr="0049417A">
        <w:rPr>
          <w:rStyle w:val="FootnoteReference"/>
        </w:rPr>
        <w:footnoteRef/>
      </w:r>
      <w:r w:rsidRPr="0049417A">
        <w:rPr>
          <w:sz w:val="26"/>
          <w:szCs w:val="26"/>
        </w:rPr>
        <w:t xml:space="preserve"> Order 836 in Docket No. RM16-13 was issued on 9/20/2017 and is posted at https://elibrary.ferc.gov/idmws/common/opennat.asp?fileID=14684897.</w:t>
      </w:r>
    </w:p>
  </w:footnote>
  <w:footnote w:id="5">
    <w:p w:rsidR="006B0822" w:rsidP="0093522B" w14:paraId="4E2C6A02" w14:textId="0E888968">
      <w:pPr>
        <w:pStyle w:val="FootnoteText"/>
        <w:spacing w:after="260"/>
        <w:ind w:firstLine="720"/>
      </w:pPr>
      <w:r>
        <w:rPr>
          <w:rStyle w:val="FootnoteReference"/>
        </w:rPr>
        <w:footnoteRef/>
      </w:r>
      <w:r>
        <w:rPr>
          <w:sz w:val="26"/>
          <w:szCs w:val="24"/>
        </w:rPr>
        <w:t xml:space="preserve"> </w:t>
      </w:r>
      <w:r w:rsidRPr="0007116A">
        <w:rPr>
          <w:sz w:val="26"/>
          <w:szCs w:val="24"/>
        </w:rPr>
        <w:t xml:space="preserve">TO=Transmission Owner; GO=Generator Owner </w:t>
      </w:r>
    </w:p>
  </w:footnote>
  <w:footnote w:id="6">
    <w:p w:rsidR="006B0822" w:rsidRPr="00277B18" w:rsidP="0093522B" w14:paraId="0C63063C" w14:textId="212DA348">
      <w:pPr>
        <w:pStyle w:val="FootnoteText"/>
        <w:spacing w:after="260"/>
        <w:ind w:firstLine="720"/>
        <w:rPr>
          <w:sz w:val="20"/>
        </w:rPr>
      </w:pPr>
      <w:r w:rsidRPr="000D189D">
        <w:rPr>
          <w:rStyle w:val="FootnoteReference"/>
        </w:rPr>
        <w:footnoteRef/>
      </w:r>
      <w:r w:rsidRPr="000D189D">
        <w:rPr>
          <w:sz w:val="26"/>
          <w:szCs w:val="26"/>
        </w:rPr>
        <w:t xml:space="preserve"> Burden is defined as the total time, effort, or financial resources expended by persons to generate, maintain, retain, or disclose or provide information to or for a </w:t>
      </w:r>
      <w:r w:rsidRPr="000D189D" w:rsidR="0002151B">
        <w:rPr>
          <w:sz w:val="26"/>
          <w:szCs w:val="26"/>
        </w:rPr>
        <w:t>federal</w:t>
      </w:r>
      <w:r w:rsidRPr="000D189D">
        <w:rPr>
          <w:sz w:val="26"/>
          <w:szCs w:val="26"/>
        </w:rPr>
        <w:t xml:space="preserve"> agency. For further explanation of what is included in the information collection burden, refer to 5 Code of Federal Regulations 1320.3.</w:t>
      </w:r>
    </w:p>
  </w:footnote>
  <w:footnote w:id="7">
    <w:p w:rsidR="000158B8" w:rsidRPr="0049417A" w:rsidP="0093522B" w14:paraId="03A2FB6F" w14:textId="77777777">
      <w:pPr>
        <w:pStyle w:val="FootnoteText"/>
        <w:spacing w:after="260"/>
        <w:ind w:firstLine="720"/>
        <w:rPr>
          <w:sz w:val="26"/>
          <w:szCs w:val="26"/>
        </w:rPr>
      </w:pPr>
      <w:r w:rsidRPr="0049417A">
        <w:rPr>
          <w:rStyle w:val="FootnoteReference"/>
        </w:rPr>
        <w:footnoteRef/>
      </w:r>
      <w:r w:rsidRPr="0049417A">
        <w:rPr>
          <w:sz w:val="26"/>
          <w:szCs w:val="26"/>
        </w:rPr>
        <w:t xml:space="preserve"> These values were derived from the NERC Compliance data of April 16, 2024, using only unique United States registered entities.</w:t>
      </w:r>
    </w:p>
  </w:footnote>
  <w:footnote w:id="8">
    <w:p w:rsidR="000158B8" w:rsidRPr="0049417A" w:rsidP="0093522B" w14:paraId="1E948D45" w14:textId="77777777">
      <w:pPr>
        <w:pStyle w:val="FootnoteText"/>
        <w:spacing w:after="260"/>
        <w:ind w:firstLine="720"/>
        <w:rPr>
          <w:sz w:val="26"/>
          <w:szCs w:val="26"/>
        </w:rPr>
      </w:pPr>
      <w:r w:rsidRPr="0049417A">
        <w:rPr>
          <w:rStyle w:val="FootnoteReference"/>
        </w:rPr>
        <w:footnoteRef/>
      </w:r>
      <w:r w:rsidRPr="0049417A">
        <w:rPr>
          <w:sz w:val="26"/>
          <w:szCs w:val="26"/>
          <w:vertAlign w:val="superscript"/>
        </w:rPr>
        <w:t xml:space="preserve"> </w:t>
      </w:r>
      <w:r w:rsidRPr="0049417A">
        <w:rPr>
          <w:sz w:val="26"/>
          <w:szCs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footnote>
  <w:footnote w:id="9">
    <w:p w:rsidR="00C322A6" w:rsidRPr="0049417A" w:rsidP="0093522B" w14:paraId="1DEAF591" w14:textId="14723D3C">
      <w:pPr>
        <w:pStyle w:val="FootnoteText"/>
        <w:spacing w:after="260"/>
        <w:ind w:firstLine="720"/>
        <w:rPr>
          <w:sz w:val="26"/>
          <w:szCs w:val="26"/>
        </w:rPr>
      </w:pPr>
      <w:r w:rsidRPr="0049417A">
        <w:rPr>
          <w:rStyle w:val="FootnoteReference"/>
        </w:rPr>
        <w:footnoteRef/>
      </w:r>
      <w:r w:rsidRPr="0049417A">
        <w:rPr>
          <w:sz w:val="26"/>
          <w:szCs w:val="26"/>
        </w:rPr>
        <w:t xml:space="preserve"> These values were derived from the NERC Compliance data of April 16, 2024, using only unique United States registered entities.</w:t>
      </w:r>
    </w:p>
  </w:footnote>
  <w:footnote w:id="10">
    <w:p w:rsidR="00C322A6" w:rsidRPr="0049417A" w:rsidP="0093522B" w14:paraId="59DB87F4" w14:textId="77777777">
      <w:pPr>
        <w:pStyle w:val="FootnoteText"/>
        <w:ind w:firstLine="720"/>
        <w:rPr>
          <w:sz w:val="26"/>
          <w:szCs w:val="26"/>
        </w:rPr>
      </w:pPr>
      <w:r w:rsidRPr="0049417A">
        <w:rPr>
          <w:rStyle w:val="FootnoteReference"/>
        </w:rPr>
        <w:footnoteRef/>
      </w:r>
      <w:r w:rsidRPr="0049417A">
        <w:rPr>
          <w:sz w:val="26"/>
          <w:szCs w:val="26"/>
          <w:vertAlign w:val="superscript"/>
        </w:rPr>
        <w:t xml:space="preserve"> </w:t>
      </w:r>
      <w:r w:rsidRPr="0049417A">
        <w:rPr>
          <w:sz w:val="26"/>
          <w:szCs w:val="26"/>
        </w:rPr>
        <w:t>The estimated hourly cost (salary plus benefits) is a combination based on the Bureau of Labor Statistics (BLS), as of 2024, for 75% of the average of an Electrical Engineer (17-2071) $79.31/hr.,  79.31 x .75 = 59.4825 ($59.48-rounded) ($59.48/hour) and 25% of an Information and Record Clerk (43-4199) $44.74/hr., $44.74 x .25% = 11.185 ($11.19 rounded) ($11.19/hour), for a total ($59.48+$11.19 = $70.67/hour).</w:t>
      </w:r>
    </w:p>
    <w:p w:rsidR="00C322A6" w:rsidRPr="007B7C54" w:rsidP="00C322A6" w14:paraId="55FB7208" w14:textId="77777777">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822" w:rsidP="00DF4B69" w14:paraId="7B0A1907" w14:textId="39D7B4E8">
    <w:pPr>
      <w:pStyle w:val="Header"/>
    </w:pPr>
    <w:sdt>
      <w:sdtPr>
        <w:id w:val="-1913149317"/>
        <w:docPartObj>
          <w:docPartGallery w:val="Page Numbers (Top of Page)"/>
          <w:docPartUnique/>
        </w:docPartObj>
      </w:sdtPr>
      <w:sdtEndPr>
        <w:rPr>
          <w:noProof/>
        </w:rPr>
      </w:sdtEndPr>
      <w:sdtContent>
        <w:r w:rsidRPr="004E2FB0">
          <w:t>Docket No</w:t>
        </w:r>
        <w:r w:rsidRPr="007219DE">
          <w:t>. IC2</w:t>
        </w:r>
        <w:r w:rsidR="00831559">
          <w:t>5</w:t>
        </w:r>
        <w:r w:rsidRPr="007219DE">
          <w:t>-</w:t>
        </w:r>
        <w:r w:rsidR="00831559">
          <w:t>8</w:t>
        </w:r>
        <w:r w:rsidRPr="007219DE">
          <w:t>-000</w:t>
        </w:r>
        <w:r>
          <w:tab/>
        </w:r>
        <w:r>
          <w:fldChar w:fldCharType="begin"/>
        </w:r>
        <w:r>
          <w:instrText xml:space="preserve"> PAGE   \* MERGEFORMAT </w:instrText>
        </w:r>
        <w:r>
          <w:fldChar w:fldCharType="separate"/>
        </w:r>
        <w:r>
          <w:rPr>
            <w:noProof/>
          </w:rPr>
          <w:t>2</w:t>
        </w:r>
        <w:r>
          <w:rPr>
            <w:noProof/>
          </w:rPr>
          <w:fldChar w:fldCharType="end"/>
        </w:r>
      </w:sdtContent>
    </w:sdt>
  </w:p>
  <w:p w:rsidR="006B0822" w14:paraId="3ADA0C13" w14:textId="0333F3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B0822" w14:paraId="7D44EB8A" w14:textId="4097AE4A">
    <w:pPr>
      <w:pStyle w:val="Header"/>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190500</wp:posOffset>
              </wp:positionV>
              <wp:extent cx="7772400" cy="266700"/>
              <wp:effectExtent l="0" t="0" r="0" b="0"/>
              <wp:wrapNone/>
              <wp:docPr id="3" name="MSIPCM1f4e45378febd951af600c74" descr="{&quot;HashCode&quot;:-175139966,&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6B0822" w:rsidRPr="007C30A0" w:rsidP="007C30A0" w14:textId="5C8A1F28">
                          <w:pPr>
                            <w:jc w:val="center"/>
                            <w:rPr>
                              <w:color w:val="A8000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1f4e45378febd951af600c74" o:spid="_x0000_s2049" type="#_x0000_t202" alt="{&quot;HashCode&quot;:-175139966,&quot;Height&quot;:792.0,&quot;Width&quot;:612.0,&quot;Placement&quot;:&quot;Header&quot;,&quot;Index&quot;:&quot;FirstPage&quot;,&quot;Section&quot;:1,&quot;Top&quot;:0.0,&quot;Left&quot;:0.0}" style="width:612pt;height:21pt;margin-top:15pt;margin-left:0;mso-position-horizontal-relative:page;mso-position-vertical-relative:page;mso-wrap-distance-bottom:0;mso-wrap-distance-left:9pt;mso-wrap-distance-right:9pt;mso-wrap-distance-top:0;mso-wrap-style:square;position:absolute;visibility:visible;v-text-anchor:top;z-index:251659264" o:allowincell="f" filled="f" stroked="f" strokeweight="0.5pt">
              <v:textbox inset=",0,,0">
                <w:txbxContent>
                  <w:p w:rsidR="006B0822" w:rsidRPr="007C30A0" w:rsidP="007C30A0" w14:paraId="53BC5F2F" w14:textId="5C8A1F28">
                    <w:pPr>
                      <w:jc w:val="center"/>
                      <w:rPr>
                        <w:color w:val="A8000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A5223B"/>
    <w:multiLevelType w:val="hybridMultilevel"/>
    <w:tmpl w:val="DBA29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4D875D6"/>
    <w:multiLevelType w:val="hybridMultilevel"/>
    <w:tmpl w:val="DC6CBC40"/>
    <w:lvl w:ilvl="0">
      <w:start w:val="1"/>
      <w:numFmt w:val="bullet"/>
      <w:lvlText w:val=""/>
      <w:lvlJc w:val="left"/>
      <w:pPr>
        <w:ind w:left="1860" w:hanging="360"/>
      </w:pPr>
      <w:rPr>
        <w:rFonts w:ascii="Symbol" w:hAnsi="Symbol" w:hint="default"/>
      </w:rPr>
    </w:lvl>
    <w:lvl w:ilvl="1" w:tentative="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4">
    <w:nsid w:val="452D22A2"/>
    <w:multiLevelType w:val="hybridMultilevel"/>
    <w:tmpl w:val="ABE03D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35487929">
    <w:abstractNumId w:val="2"/>
  </w:num>
  <w:num w:numId="2" w16cid:durableId="1102919810">
    <w:abstractNumId w:val="3"/>
  </w:num>
  <w:num w:numId="3" w16cid:durableId="614217763">
    <w:abstractNumId w:val="2"/>
  </w:num>
  <w:num w:numId="4" w16cid:durableId="654337165">
    <w:abstractNumId w:val="4"/>
  </w:num>
  <w:num w:numId="5" w16cid:durableId="128937836">
    <w:abstractNumId w:val="1"/>
  </w:num>
  <w:num w:numId="6" w16cid:durableId="40324231">
    <w:abstractNumId w:val="2"/>
  </w:num>
  <w:num w:numId="7" w16cid:durableId="2128115754">
    <w:abstractNumId w:val="5"/>
  </w:num>
  <w:num w:numId="8" w16cid:durableId="1206679398">
    <w:abstractNumId w:val="0"/>
  </w:num>
  <w:num w:numId="9" w16cid:durableId="1849128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63"/>
    <w:rsid w:val="0000266D"/>
    <w:rsid w:val="000158B8"/>
    <w:rsid w:val="0002151B"/>
    <w:rsid w:val="00022DBB"/>
    <w:rsid w:val="00025C53"/>
    <w:rsid w:val="000315F5"/>
    <w:rsid w:val="000518A2"/>
    <w:rsid w:val="00053244"/>
    <w:rsid w:val="0007116A"/>
    <w:rsid w:val="00081CB8"/>
    <w:rsid w:val="0008609F"/>
    <w:rsid w:val="000A418D"/>
    <w:rsid w:val="000A551A"/>
    <w:rsid w:val="000D0E78"/>
    <w:rsid w:val="000D189D"/>
    <w:rsid w:val="00106554"/>
    <w:rsid w:val="001123B2"/>
    <w:rsid w:val="00127448"/>
    <w:rsid w:val="001311B7"/>
    <w:rsid w:val="00146881"/>
    <w:rsid w:val="001475D4"/>
    <w:rsid w:val="00173CA3"/>
    <w:rsid w:val="001777DC"/>
    <w:rsid w:val="00186C2C"/>
    <w:rsid w:val="001A1468"/>
    <w:rsid w:val="001B1C97"/>
    <w:rsid w:val="001B207F"/>
    <w:rsid w:val="001C1F39"/>
    <w:rsid w:val="001E2C2C"/>
    <w:rsid w:val="001E396E"/>
    <w:rsid w:val="00214E9F"/>
    <w:rsid w:val="00231A26"/>
    <w:rsid w:val="0025327A"/>
    <w:rsid w:val="00257D36"/>
    <w:rsid w:val="00264E27"/>
    <w:rsid w:val="002701BA"/>
    <w:rsid w:val="00277B18"/>
    <w:rsid w:val="002836AC"/>
    <w:rsid w:val="0029053F"/>
    <w:rsid w:val="002A74ED"/>
    <w:rsid w:val="002B46B7"/>
    <w:rsid w:val="002C393B"/>
    <w:rsid w:val="002E1429"/>
    <w:rsid w:val="002F0A84"/>
    <w:rsid w:val="002F3236"/>
    <w:rsid w:val="00312CEF"/>
    <w:rsid w:val="003268EE"/>
    <w:rsid w:val="00340C82"/>
    <w:rsid w:val="00351412"/>
    <w:rsid w:val="003566B1"/>
    <w:rsid w:val="00364232"/>
    <w:rsid w:val="0036496C"/>
    <w:rsid w:val="00377FD4"/>
    <w:rsid w:val="00395DD9"/>
    <w:rsid w:val="003A79FD"/>
    <w:rsid w:val="003B29FB"/>
    <w:rsid w:val="003B7027"/>
    <w:rsid w:val="003C127D"/>
    <w:rsid w:val="003C4E85"/>
    <w:rsid w:val="003E1161"/>
    <w:rsid w:val="004313D5"/>
    <w:rsid w:val="00433BB6"/>
    <w:rsid w:val="00465EEC"/>
    <w:rsid w:val="0049417A"/>
    <w:rsid w:val="004B2BA4"/>
    <w:rsid w:val="004C00FE"/>
    <w:rsid w:val="004D17F8"/>
    <w:rsid w:val="004D75D2"/>
    <w:rsid w:val="004E2FB0"/>
    <w:rsid w:val="004E3713"/>
    <w:rsid w:val="004F60E3"/>
    <w:rsid w:val="00503DBF"/>
    <w:rsid w:val="005068D1"/>
    <w:rsid w:val="005441EB"/>
    <w:rsid w:val="00550E9B"/>
    <w:rsid w:val="00555B59"/>
    <w:rsid w:val="005745B3"/>
    <w:rsid w:val="005759BD"/>
    <w:rsid w:val="005922F1"/>
    <w:rsid w:val="00593F21"/>
    <w:rsid w:val="00597DAA"/>
    <w:rsid w:val="005A2247"/>
    <w:rsid w:val="005B22D0"/>
    <w:rsid w:val="005B2A79"/>
    <w:rsid w:val="005C52C7"/>
    <w:rsid w:val="006002E6"/>
    <w:rsid w:val="00621371"/>
    <w:rsid w:val="0063152F"/>
    <w:rsid w:val="00661FC3"/>
    <w:rsid w:val="00665AB3"/>
    <w:rsid w:val="00687C68"/>
    <w:rsid w:val="00692DFA"/>
    <w:rsid w:val="006A4D0F"/>
    <w:rsid w:val="006A607F"/>
    <w:rsid w:val="006A692D"/>
    <w:rsid w:val="006B0822"/>
    <w:rsid w:val="006B1354"/>
    <w:rsid w:val="006B4F0D"/>
    <w:rsid w:val="006C1F78"/>
    <w:rsid w:val="006C7623"/>
    <w:rsid w:val="006D6D65"/>
    <w:rsid w:val="006F2190"/>
    <w:rsid w:val="0070024F"/>
    <w:rsid w:val="00710898"/>
    <w:rsid w:val="00710F69"/>
    <w:rsid w:val="00717629"/>
    <w:rsid w:val="007219DE"/>
    <w:rsid w:val="0075627C"/>
    <w:rsid w:val="00780EED"/>
    <w:rsid w:val="00791623"/>
    <w:rsid w:val="00794663"/>
    <w:rsid w:val="00796A9C"/>
    <w:rsid w:val="007A30F7"/>
    <w:rsid w:val="007A3197"/>
    <w:rsid w:val="007A6A95"/>
    <w:rsid w:val="007B2872"/>
    <w:rsid w:val="007B7C54"/>
    <w:rsid w:val="007C30A0"/>
    <w:rsid w:val="007D23D1"/>
    <w:rsid w:val="007E05B2"/>
    <w:rsid w:val="007F0A13"/>
    <w:rsid w:val="007F35AE"/>
    <w:rsid w:val="00806A01"/>
    <w:rsid w:val="008109BD"/>
    <w:rsid w:val="0082249B"/>
    <w:rsid w:val="00831559"/>
    <w:rsid w:val="00833713"/>
    <w:rsid w:val="00852B15"/>
    <w:rsid w:val="00856B66"/>
    <w:rsid w:val="008614F2"/>
    <w:rsid w:val="008716FA"/>
    <w:rsid w:val="00871AC1"/>
    <w:rsid w:val="00883FF9"/>
    <w:rsid w:val="00893AF9"/>
    <w:rsid w:val="00896FD7"/>
    <w:rsid w:val="008A5AC0"/>
    <w:rsid w:val="008C4FC4"/>
    <w:rsid w:val="008C7F23"/>
    <w:rsid w:val="008D20FF"/>
    <w:rsid w:val="008E27D9"/>
    <w:rsid w:val="008F2B66"/>
    <w:rsid w:val="00910883"/>
    <w:rsid w:val="00917388"/>
    <w:rsid w:val="0092173D"/>
    <w:rsid w:val="00924936"/>
    <w:rsid w:val="00925DC5"/>
    <w:rsid w:val="00934564"/>
    <w:rsid w:val="0093522B"/>
    <w:rsid w:val="0095777B"/>
    <w:rsid w:val="00964A22"/>
    <w:rsid w:val="00975915"/>
    <w:rsid w:val="00984421"/>
    <w:rsid w:val="00987B8C"/>
    <w:rsid w:val="00995791"/>
    <w:rsid w:val="009A399C"/>
    <w:rsid w:val="009E59D7"/>
    <w:rsid w:val="009F2008"/>
    <w:rsid w:val="00A1596F"/>
    <w:rsid w:val="00A246E7"/>
    <w:rsid w:val="00A3264B"/>
    <w:rsid w:val="00A34F73"/>
    <w:rsid w:val="00A41B88"/>
    <w:rsid w:val="00A54C23"/>
    <w:rsid w:val="00A60763"/>
    <w:rsid w:val="00A6544A"/>
    <w:rsid w:val="00A759FA"/>
    <w:rsid w:val="00AA34A3"/>
    <w:rsid w:val="00AB48DA"/>
    <w:rsid w:val="00AD1402"/>
    <w:rsid w:val="00AE2DEF"/>
    <w:rsid w:val="00B05BBA"/>
    <w:rsid w:val="00B22C21"/>
    <w:rsid w:val="00B275CE"/>
    <w:rsid w:val="00B33F20"/>
    <w:rsid w:val="00B35083"/>
    <w:rsid w:val="00B35859"/>
    <w:rsid w:val="00B35B79"/>
    <w:rsid w:val="00B46664"/>
    <w:rsid w:val="00B50690"/>
    <w:rsid w:val="00B57E5D"/>
    <w:rsid w:val="00B844CF"/>
    <w:rsid w:val="00B922FD"/>
    <w:rsid w:val="00B94DBD"/>
    <w:rsid w:val="00B96868"/>
    <w:rsid w:val="00BA699D"/>
    <w:rsid w:val="00BB4B71"/>
    <w:rsid w:val="00BD094F"/>
    <w:rsid w:val="00BD7C61"/>
    <w:rsid w:val="00BF5F40"/>
    <w:rsid w:val="00C0632C"/>
    <w:rsid w:val="00C322A6"/>
    <w:rsid w:val="00C46738"/>
    <w:rsid w:val="00C57D75"/>
    <w:rsid w:val="00C66D59"/>
    <w:rsid w:val="00C72703"/>
    <w:rsid w:val="00C74F4E"/>
    <w:rsid w:val="00C85B0C"/>
    <w:rsid w:val="00CC18E2"/>
    <w:rsid w:val="00CC40C3"/>
    <w:rsid w:val="00CE1512"/>
    <w:rsid w:val="00CF4C54"/>
    <w:rsid w:val="00D23082"/>
    <w:rsid w:val="00D35412"/>
    <w:rsid w:val="00D47278"/>
    <w:rsid w:val="00D651FD"/>
    <w:rsid w:val="00D70C5C"/>
    <w:rsid w:val="00D81149"/>
    <w:rsid w:val="00DF4B69"/>
    <w:rsid w:val="00E031BF"/>
    <w:rsid w:val="00E237C2"/>
    <w:rsid w:val="00E26855"/>
    <w:rsid w:val="00E26ABB"/>
    <w:rsid w:val="00E4588B"/>
    <w:rsid w:val="00E535B8"/>
    <w:rsid w:val="00E5742E"/>
    <w:rsid w:val="00E57AB0"/>
    <w:rsid w:val="00E70324"/>
    <w:rsid w:val="00E7333B"/>
    <w:rsid w:val="00E77220"/>
    <w:rsid w:val="00EB499B"/>
    <w:rsid w:val="00EB6F6F"/>
    <w:rsid w:val="00EE198F"/>
    <w:rsid w:val="00EE49FE"/>
    <w:rsid w:val="00EF2008"/>
    <w:rsid w:val="00F00232"/>
    <w:rsid w:val="00F12008"/>
    <w:rsid w:val="00F1351F"/>
    <w:rsid w:val="00F40FE9"/>
    <w:rsid w:val="00F56397"/>
    <w:rsid w:val="00F64AC9"/>
    <w:rsid w:val="00F66294"/>
    <w:rsid w:val="00F7561E"/>
    <w:rsid w:val="00F80267"/>
    <w:rsid w:val="00F8491E"/>
    <w:rsid w:val="00FA0BD0"/>
    <w:rsid w:val="00FA13EE"/>
    <w:rsid w:val="00FA194B"/>
    <w:rsid w:val="00FC40B0"/>
    <w:rsid w:val="00FD1E37"/>
    <w:rsid w:val="00FF16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B1F316"/>
  <w15:docId w15:val="{C3ACCFEB-867C-4D2A-B01B-573F9D2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4663"/>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713"/>
    <w:rPr>
      <w:color w:val="0000FF"/>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3B29FB"/>
    <w:rPr>
      <w:rFonts w:ascii="Times New Roman" w:hAnsi="Times New Roman"/>
      <w:b/>
      <w:sz w:val="26"/>
      <w:szCs w:val="26"/>
      <w:vertAlign w:val="superscript"/>
    </w:rPr>
  </w:style>
  <w:style w:type="paragraph" w:styleId="FootnoteText">
    <w:name w:val="footnote text"/>
    <w:aliases w:val=" Char,Char,Footnote Text Char Char,Footnote Text Char Char Char,Footnote Text Char Char Char Char Char1,Footnote Text Char Char1,Footnote Text Char1,Footnote Text Char1 Char,Footnote Text Char1 Char Char Char1,Footnote Text MRP,fn,ft Char"/>
    <w:basedOn w:val="Normal"/>
    <w:link w:val="FootnoteTextChar2"/>
    <w:qFormat/>
    <w:rsid w:val="003B29FB"/>
    <w:rPr>
      <w:sz w:val="22"/>
      <w:szCs w:val="20"/>
    </w:rPr>
  </w:style>
  <w:style w:type="character" w:customStyle="1" w:styleId="FootnoteTextChar">
    <w:name w:val="Footnote Text Char"/>
    <w:basedOn w:val="DefaultParagraphFont"/>
    <w:uiPriority w:val="99"/>
    <w:semiHidden/>
    <w:rsid w:val="003B29FB"/>
    <w:rPr>
      <w:rFonts w:ascii="Times New Roman" w:eastAsia="Times New Roman" w:hAnsi="Times New Roman" w:cs="Times New Roman"/>
      <w:sz w:val="20"/>
      <w:szCs w:val="20"/>
    </w:rPr>
  </w:style>
  <w:style w:type="character" w:customStyle="1" w:styleId="FootnoteTextChar2">
    <w:name w:val="Footnote Text Char2"/>
    <w:aliases w:val=" Char Char,Char Char,Footnote Text Char Char Char Char,Footnote Text Char Char Char1,Footnote Text Char Char1 Char,Footnote Text Char1 Char Char,Footnote Text Char1 Char Char Char1 Char,Footnote Text Char1 Char1,fn Char,ft Char Char"/>
    <w:link w:val="FootnoteText"/>
    <w:rsid w:val="003B29FB"/>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B22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2D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B22D0"/>
    <w:rPr>
      <w:sz w:val="16"/>
      <w:szCs w:val="16"/>
    </w:rPr>
  </w:style>
  <w:style w:type="paragraph" w:styleId="CommentText">
    <w:name w:val="annotation text"/>
    <w:basedOn w:val="Normal"/>
    <w:link w:val="CommentTextChar"/>
    <w:uiPriority w:val="99"/>
    <w:unhideWhenUsed/>
    <w:rsid w:val="005B22D0"/>
    <w:rPr>
      <w:sz w:val="20"/>
      <w:szCs w:val="20"/>
    </w:rPr>
  </w:style>
  <w:style w:type="character" w:customStyle="1" w:styleId="CommentTextChar">
    <w:name w:val="Comment Text Char"/>
    <w:basedOn w:val="DefaultParagraphFont"/>
    <w:link w:val="CommentText"/>
    <w:uiPriority w:val="99"/>
    <w:rsid w:val="005B22D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22D0"/>
    <w:rPr>
      <w:b/>
      <w:bCs/>
    </w:rPr>
  </w:style>
  <w:style w:type="character" w:customStyle="1" w:styleId="CommentSubjectChar">
    <w:name w:val="Comment Subject Char"/>
    <w:basedOn w:val="CommentTextChar"/>
    <w:link w:val="CommentSubject"/>
    <w:uiPriority w:val="99"/>
    <w:semiHidden/>
    <w:rsid w:val="005B22D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F4B69"/>
    <w:pPr>
      <w:tabs>
        <w:tab w:val="center" w:pos="4680"/>
        <w:tab w:val="right" w:pos="9360"/>
      </w:tabs>
    </w:pPr>
  </w:style>
  <w:style w:type="character" w:customStyle="1" w:styleId="HeaderChar">
    <w:name w:val="Header Char"/>
    <w:basedOn w:val="DefaultParagraphFont"/>
    <w:link w:val="Header"/>
    <w:uiPriority w:val="99"/>
    <w:rsid w:val="00DF4B69"/>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DF4B69"/>
    <w:pPr>
      <w:tabs>
        <w:tab w:val="center" w:pos="4680"/>
        <w:tab w:val="right" w:pos="9360"/>
      </w:tabs>
    </w:pPr>
  </w:style>
  <w:style w:type="character" w:customStyle="1" w:styleId="FooterChar">
    <w:name w:val="Footer Char"/>
    <w:basedOn w:val="DefaultParagraphFont"/>
    <w:link w:val="Footer"/>
    <w:uiPriority w:val="99"/>
    <w:rsid w:val="00DF4B6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1777DC"/>
    <w:rPr>
      <w:color w:val="954F72" w:themeColor="followedHyperlink"/>
      <w:u w:val="single"/>
    </w:rPr>
  </w:style>
  <w:style w:type="character" w:styleId="UnresolvedMention">
    <w:name w:val="Unresolved Mention"/>
    <w:basedOn w:val="DefaultParagraphFont"/>
    <w:uiPriority w:val="99"/>
    <w:semiHidden/>
    <w:unhideWhenUsed/>
    <w:rsid w:val="007E05B2"/>
    <w:rPr>
      <w:color w:val="605E5C"/>
      <w:shd w:val="clear" w:color="auto" w:fill="E1DFDD"/>
    </w:rPr>
  </w:style>
  <w:style w:type="paragraph" w:styleId="ListParagraph">
    <w:name w:val="List Paragraph"/>
    <w:basedOn w:val="Normal"/>
    <w:uiPriority w:val="34"/>
    <w:qFormat/>
    <w:rsid w:val="00022DBB"/>
    <w:pPr>
      <w:ind w:left="720"/>
      <w:contextualSpacing/>
    </w:pPr>
  </w:style>
  <w:style w:type="paragraph" w:customStyle="1" w:styleId="Default">
    <w:name w:val="Default"/>
    <w:rsid w:val="007219DE"/>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4F60E3"/>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yperlink" Target="mailto:DataClearance@FERC.gov"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F0C65-9605-4937-A0CF-C4DB61752E32}">
  <ds:schemaRefs>
    <ds:schemaRef ds:uri="http://schemas.openxmlformats.org/officeDocument/2006/bibliography"/>
  </ds:schemaRefs>
</ds:datastoreItem>
</file>

<file path=customXml/itemProps2.xml><?xml version="1.0" encoding="utf-8"?>
<ds:datastoreItem xmlns:ds="http://schemas.openxmlformats.org/officeDocument/2006/customXml" ds:itemID="{D1211447-C4F6-42EE-ACC9-2AF08EEA09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5e8733a2-e908-454b-85cf-c9d17e1d0943"/>
    <ds:schemaRef ds:uri="http://www.w3.org/XML/1998/namespace"/>
    <ds:schemaRef ds:uri="http://purl.org/dc/dcmitype/"/>
  </ds:schemaRefs>
</ds:datastoreItem>
</file>

<file path=customXml/itemProps3.xml><?xml version="1.0" encoding="utf-8"?>
<ds:datastoreItem xmlns:ds="http://schemas.openxmlformats.org/officeDocument/2006/customXml" ds:itemID="{207DFEF8-A4EC-4333-B435-6ED170B9362A}">
  <ds:schemaRefs>
    <ds:schemaRef ds:uri="Microsoft.SharePoint.Taxonomy.ContentTypeSync"/>
  </ds:schemaRefs>
</ds:datastoreItem>
</file>

<file path=customXml/itemProps4.xml><?xml version="1.0" encoding="utf-8"?>
<ds:datastoreItem xmlns:ds="http://schemas.openxmlformats.org/officeDocument/2006/customXml" ds:itemID="{7FA71C13-7B15-4D47-A34C-EF426D9B90D3}">
  <ds:schemaRefs>
    <ds:schemaRef ds:uri="http://schemas.microsoft.com/sharepoint/v3/contenttype/forms"/>
  </ds:schemaRefs>
</ds:datastoreItem>
</file>

<file path=customXml/itemProps5.xml><?xml version="1.0" encoding="utf-8"?>
<ds:datastoreItem xmlns:ds="http://schemas.openxmlformats.org/officeDocument/2006/customXml" ds:itemID="{E7FD814A-527F-46E2-B033-A9CA08FE9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1241</Words>
  <Characters>7075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dcterms:created xsi:type="dcterms:W3CDTF">2025-04-11T11:54:00Z</dcterms:created>
  <dcterms:modified xsi:type="dcterms:W3CDTF">2025-04-11T11:54:00Z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cefce56f-6875-4194-a7dd-ce4ddaa3a040</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2025-04-11T11:54:14Z</vt:lpwstr>
  </property>
  <property fmtid="{D5CDD505-2E9C-101B-9397-08002B2CF9AE}" pid="8" name="MSIP_Label_bd24d06a-0e85-4d57-b1e0-ba34b1abc708_SiteId">
    <vt:lpwstr>19caa9e9-04ff-43fa-885f-d77fac387903</vt:lpwstr>
  </property>
</Properties>
</file>