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52DB" w14:paraId="60229E79" w14:textId="77777777">
      <w:pPr>
        <w:jc w:val="center"/>
      </w:pPr>
      <w:r>
        <w:t>189 FERC ¶ 61,212</w:t>
      </w:r>
    </w:p>
    <w:p w:rsidR="00E3025E" w:rsidRPr="00B61165" w:rsidP="00E3025E" w14:paraId="2F24D8B1" w14:textId="77777777">
      <w:pPr>
        <w:jc w:val="center"/>
      </w:pPr>
      <w:r w:rsidRPr="00B61165">
        <w:t>UNITED STATES OF AMERICA</w:t>
      </w:r>
    </w:p>
    <w:p w:rsidR="00E3025E" w:rsidRPr="00B61165" w:rsidP="00E3025E" w14:paraId="3399BE11" w14:textId="77777777">
      <w:pPr>
        <w:jc w:val="center"/>
      </w:pPr>
      <w:r w:rsidRPr="00B61165">
        <w:t>FEDERAL ENERGY REGULATORY COMMISSION</w:t>
      </w:r>
    </w:p>
    <w:p w:rsidR="00F239F6" w:rsidRPr="00B61165" w14:paraId="76434188" w14:textId="77777777">
      <w:pPr>
        <w:jc w:val="center"/>
      </w:pPr>
    </w:p>
    <w:p w:rsidR="00F239F6" w:rsidRPr="00B61165" w14:paraId="0D35EDFA" w14:textId="4217A82D">
      <w:pPr>
        <w:jc w:val="center"/>
      </w:pPr>
      <w:r w:rsidRPr="00B61165">
        <w:t xml:space="preserve">18 CFR Part </w:t>
      </w:r>
      <w:r w:rsidR="00E3356D">
        <w:t xml:space="preserve">40 </w:t>
      </w:r>
    </w:p>
    <w:p w:rsidR="00F239F6" w:rsidRPr="00B61165" w14:paraId="68F75520" w14:textId="77777777">
      <w:pPr>
        <w:jc w:val="center"/>
      </w:pPr>
    </w:p>
    <w:p w:rsidR="00F239F6" w:rsidRPr="00B61165" w14:paraId="7389AD80" w14:textId="31F4DEF5">
      <w:pPr>
        <w:jc w:val="center"/>
      </w:pPr>
      <w:r w:rsidRPr="00B61165">
        <w:t>[</w:t>
      </w:r>
      <w:r>
        <w:t>Docket No.</w:t>
      </w:r>
      <w:r w:rsidR="00120573">
        <w:t xml:space="preserve"> RM2</w:t>
      </w:r>
      <w:r w:rsidR="006C75F4">
        <w:t>5</w:t>
      </w:r>
      <w:r w:rsidR="00120573">
        <w:t>-</w:t>
      </w:r>
      <w:r w:rsidR="006C75F4">
        <w:t>3-000</w:t>
      </w:r>
      <w:r w:rsidRPr="00B61165">
        <w:t>]</w:t>
      </w:r>
    </w:p>
    <w:p w:rsidR="00F239F6" w14:paraId="03D1F187" w14:textId="3247A815">
      <w:pPr>
        <w:jc w:val="center"/>
      </w:pPr>
    </w:p>
    <w:p w:rsidR="00A62ED3" w:rsidP="003E42E2" w14:paraId="11F8A6F4" w14:textId="44EF876E">
      <w:pPr>
        <w:jc w:val="center"/>
      </w:pPr>
      <w:r w:rsidRPr="00F8072D">
        <w:t>Reliability Standards for Frequency and Voltage Protection Settings and Ride-Through</w:t>
      </w:r>
      <w:r w:rsidR="00985D0D">
        <w:t xml:space="preserve"> for Inverter-Based Resources </w:t>
      </w:r>
    </w:p>
    <w:p w:rsidR="00A62ED3" w:rsidP="003E42E2" w14:paraId="2BD1DDA9" w14:textId="77777777">
      <w:pPr>
        <w:jc w:val="center"/>
      </w:pPr>
    </w:p>
    <w:p w:rsidR="00A62ED3" w:rsidP="00E3025E" w14:paraId="64D9C04E" w14:textId="19DB5628">
      <w:pPr>
        <w:widowControl/>
        <w:jc w:val="center"/>
      </w:pPr>
      <w:r w:rsidRPr="00E3025E">
        <w:t>(Issued December 1</w:t>
      </w:r>
      <w:r>
        <w:t>9</w:t>
      </w:r>
      <w:r w:rsidRPr="00E3025E">
        <w:t>, 2024)</w:t>
      </w:r>
    </w:p>
    <w:p w:rsidR="00F239F6" w:rsidP="00FC34EE" w14:paraId="282B7C6B" w14:textId="54EF5126">
      <w:pPr>
        <w:jc w:val="center"/>
      </w:pPr>
    </w:p>
    <w:p w:rsidR="00F239F6" w:rsidRPr="00B61165" w14:paraId="1A841E03" w14:textId="77777777">
      <w:pPr>
        <w:spacing w:line="480" w:lineRule="auto"/>
      </w:pPr>
      <w:r w:rsidRPr="001E48F9">
        <w:rPr>
          <w:b/>
          <w:bCs/>
        </w:rPr>
        <w:t>AGENCY</w:t>
      </w:r>
      <w:r w:rsidRPr="00B61165">
        <w:t>:  Federal Energy Regulatory Commission.</w:t>
      </w:r>
    </w:p>
    <w:p w:rsidR="00F239F6" w:rsidRPr="00B61165" w14:paraId="59802A16" w14:textId="1B218317">
      <w:pPr>
        <w:spacing w:line="480" w:lineRule="auto"/>
      </w:pPr>
      <w:r w:rsidRPr="001E48F9">
        <w:rPr>
          <w:b/>
          <w:bCs/>
        </w:rPr>
        <w:t>ACTION</w:t>
      </w:r>
      <w:r w:rsidRPr="00B61165">
        <w:t xml:space="preserve">:  Notice of </w:t>
      </w:r>
      <w:r>
        <w:t>p</w:t>
      </w:r>
      <w:r w:rsidRPr="00B61165">
        <w:t xml:space="preserve">roposed </w:t>
      </w:r>
      <w:r>
        <w:t>r</w:t>
      </w:r>
      <w:r w:rsidRPr="00B61165">
        <w:t>ulemaking.</w:t>
      </w:r>
    </w:p>
    <w:p w:rsidR="00F7557A" w14:paraId="006687B2" w14:textId="4C42AAE3">
      <w:pPr>
        <w:spacing w:line="480" w:lineRule="auto"/>
      </w:pPr>
      <w:r w:rsidRPr="102E406C">
        <w:rPr>
          <w:b/>
          <w:bCs/>
        </w:rPr>
        <w:t>SUMMARY</w:t>
      </w:r>
      <w:r>
        <w:t xml:space="preserve">:  </w:t>
      </w:r>
      <w:r w:rsidR="00D85A25">
        <w:t>The Federal Energy Regulatory Commission (Commission) proposes to approve proposed</w:t>
      </w:r>
      <w:r w:rsidR="00673219">
        <w:t xml:space="preserve"> </w:t>
      </w:r>
      <w:r w:rsidR="00597F3A">
        <w:t>Reliability Standard</w:t>
      </w:r>
      <w:r w:rsidR="0029402E">
        <w:t>s</w:t>
      </w:r>
      <w:r w:rsidR="00597F3A">
        <w:t xml:space="preserve"> PRC-024</w:t>
      </w:r>
      <w:r w:rsidR="000F08A0">
        <w:t>-4</w:t>
      </w:r>
      <w:r w:rsidR="00597F3A">
        <w:t xml:space="preserve"> </w:t>
      </w:r>
      <w:r w:rsidR="00212AAC">
        <w:t>(Frequency and</w:t>
      </w:r>
      <w:r w:rsidR="00931DAE">
        <w:t xml:space="preserve"> </w:t>
      </w:r>
      <w:r w:rsidR="00212AAC">
        <w:t>Voltage Protection Setting</w:t>
      </w:r>
      <w:r w:rsidR="00CD4AEA">
        <w:t>s</w:t>
      </w:r>
      <w:r w:rsidR="00212AAC">
        <w:t xml:space="preserve"> for Synchronous Generators</w:t>
      </w:r>
      <w:r w:rsidR="00B20646">
        <w:t xml:space="preserve">, </w:t>
      </w:r>
      <w:r w:rsidR="0080247A">
        <w:t>Type 1 and Type</w:t>
      </w:r>
      <w:r w:rsidR="0029402E">
        <w:t xml:space="preserve"> </w:t>
      </w:r>
      <w:r w:rsidR="0080247A">
        <w:t xml:space="preserve">2 Wind Resources, </w:t>
      </w:r>
      <w:r w:rsidR="00212AAC">
        <w:t>and Synchronous Condensers) and</w:t>
      </w:r>
      <w:r w:rsidR="6BAEF594">
        <w:t xml:space="preserve"> </w:t>
      </w:r>
      <w:r w:rsidR="00212AAC">
        <w:t>PRC-029-1 (Frequency and Voltage Ride-through Requirements for Inverter-Based Resources)</w:t>
      </w:r>
      <w:r w:rsidR="00D85A25">
        <w:t xml:space="preserve">, which the North American </w:t>
      </w:r>
      <w:r w:rsidR="00932A1A">
        <w:t xml:space="preserve">Electric </w:t>
      </w:r>
      <w:r w:rsidR="00D85A25">
        <w:t>Reliability Corporation submitted in response to Commission directive</w:t>
      </w:r>
      <w:r w:rsidR="00702727">
        <w:t>s</w:t>
      </w:r>
      <w:r w:rsidR="00D85A25">
        <w:t xml:space="preserve">. </w:t>
      </w:r>
      <w:r w:rsidR="00120573">
        <w:t xml:space="preserve"> </w:t>
      </w:r>
      <w:r w:rsidR="00CA4C91">
        <w:t>T</w:t>
      </w:r>
      <w:r w:rsidR="00D85A25">
        <w:t xml:space="preserve">he Commission </w:t>
      </w:r>
      <w:r w:rsidR="00120573">
        <w:t xml:space="preserve">seeks comments </w:t>
      </w:r>
      <w:r>
        <w:t xml:space="preserve">on all aspects of the proposed </w:t>
      </w:r>
      <w:r w:rsidR="00A76A2C">
        <w:t>approval</w:t>
      </w:r>
      <w:r>
        <w:t xml:space="preserve">. </w:t>
      </w:r>
    </w:p>
    <w:p w:rsidR="00F239F6" w:rsidRPr="00B61165" w14:paraId="123370A5" w14:textId="6F192FD4">
      <w:pPr>
        <w:spacing w:line="480" w:lineRule="auto"/>
      </w:pPr>
      <w:r w:rsidRPr="001E48F9">
        <w:rPr>
          <w:b/>
          <w:bCs/>
        </w:rPr>
        <w:t>DATES</w:t>
      </w:r>
      <w:r w:rsidRPr="00B61165">
        <w:t>:  Comments are due</w:t>
      </w:r>
      <w:r w:rsidRPr="00B61165">
        <w:rPr>
          <w:b/>
        </w:rPr>
        <w:t xml:space="preserve"> </w:t>
      </w:r>
      <w:r w:rsidRPr="00B3607A">
        <w:rPr>
          <w:b/>
        </w:rPr>
        <w:t xml:space="preserve">[INSERT DATE </w:t>
      </w:r>
      <w:r w:rsidR="00071CFD">
        <w:rPr>
          <w:b/>
        </w:rPr>
        <w:t xml:space="preserve">60 </w:t>
      </w:r>
      <w:r w:rsidRPr="004731B2">
        <w:rPr>
          <w:b/>
        </w:rPr>
        <w:t>DAYS</w:t>
      </w:r>
      <w:r>
        <w:rPr>
          <w:b/>
        </w:rPr>
        <w:t xml:space="preserve"> </w:t>
      </w:r>
      <w:r w:rsidRPr="00B3607A">
        <w:rPr>
          <w:b/>
        </w:rPr>
        <w:t>AFTER DATE OF PUBLICATION IN THE FEDERAL REGISTER]</w:t>
      </w:r>
      <w:r w:rsidRPr="00B3607A">
        <w:rPr>
          <w:bCs/>
        </w:rPr>
        <w:t>.</w:t>
      </w:r>
    </w:p>
    <w:p w:rsidR="00F239F6" w14:paraId="5A753252" w14:textId="1E3890D6">
      <w:pPr>
        <w:spacing w:line="480" w:lineRule="auto"/>
      </w:pPr>
      <w:r w:rsidRPr="001E48F9">
        <w:rPr>
          <w:b/>
          <w:bCs/>
        </w:rPr>
        <w:t>ADDRESSES</w:t>
      </w:r>
      <w:r w:rsidRPr="00B61165">
        <w:t xml:space="preserve">:  </w:t>
      </w:r>
      <w:r w:rsidRPr="007D6683">
        <w:t>Comments, identified by docket numb</w:t>
      </w:r>
      <w:r>
        <w:t xml:space="preserve">er, may be filed in the following ways.  </w:t>
      </w:r>
      <w:r w:rsidRPr="00C32965">
        <w:t>Elec</w:t>
      </w:r>
      <w:r>
        <w:t xml:space="preserve">tronic filing through </w:t>
      </w:r>
      <w:r w:rsidRPr="00103FEC" w:rsidR="00BC5C4C">
        <w:t>http://www.ferc.gov</w:t>
      </w:r>
      <w:r>
        <w:t>, is preferred.</w:t>
      </w:r>
    </w:p>
    <w:p w:rsidR="00F239F6" w14:paraId="5D185F76" w14:textId="3DF264A0">
      <w:pPr>
        <w:pStyle w:val="ListParagraph"/>
        <w:numPr>
          <w:ilvl w:val="0"/>
          <w:numId w:val="22"/>
        </w:numPr>
        <w:spacing w:line="480" w:lineRule="auto"/>
      </w:pPr>
      <w:r w:rsidRPr="004A564C">
        <w:t>Electronic Filing</w:t>
      </w:r>
      <w:r w:rsidRPr="00C32965">
        <w:t>:</w:t>
      </w:r>
      <w:r>
        <w:t xml:space="preserve"> Documents must be filed in acceptable native applications and print-to-PDF, but not in</w:t>
      </w:r>
      <w:r w:rsidRPr="007D6683">
        <w:t xml:space="preserve"> scanned </w:t>
      </w:r>
      <w:r>
        <w:t xml:space="preserve">or picture </w:t>
      </w:r>
      <w:r w:rsidRPr="007D6683">
        <w:t>format.</w:t>
      </w:r>
      <w:r w:rsidR="000A56ED">
        <w:br/>
      </w:r>
    </w:p>
    <w:p w:rsidR="00F239F6" w14:paraId="0B130C62" w14:textId="77777777">
      <w:pPr>
        <w:pStyle w:val="ListParagraph"/>
        <w:numPr>
          <w:ilvl w:val="0"/>
          <w:numId w:val="22"/>
        </w:numPr>
        <w:spacing w:line="480" w:lineRule="auto"/>
      </w:pPr>
      <w:r w:rsidRPr="00C32965">
        <w:t>For</w:t>
      </w:r>
      <w:r w:rsidRPr="00E950E7">
        <w:t xml:space="preserve"> those unable to file electronically, comments may be filed </w:t>
      </w:r>
      <w:r>
        <w:t>by USPS mail or by hand (including courier) delivery.</w:t>
      </w:r>
    </w:p>
    <w:p w:rsidR="00F239F6" w14:paraId="74CECF42" w14:textId="0E8504C4">
      <w:pPr>
        <w:pStyle w:val="ListParagraph"/>
        <w:numPr>
          <w:ilvl w:val="1"/>
          <w:numId w:val="22"/>
        </w:numPr>
        <w:spacing w:line="480" w:lineRule="auto"/>
      </w:pPr>
      <w:r w:rsidRPr="004A564C">
        <w:t>Mail via U.S. Postal Service Only</w:t>
      </w:r>
      <w:r w:rsidRPr="00C32965">
        <w:t xml:space="preserve">: </w:t>
      </w:r>
      <w:r>
        <w:t xml:space="preserve">Addressed </w:t>
      </w:r>
      <w:r w:rsidRPr="00E950E7">
        <w:t xml:space="preserve">to: Federal Energy Regulatory Commission, Secretary of the Commission, 888 First Street, N.E., Washington, DC </w:t>
      </w:r>
      <w:r w:rsidR="00E3025E">
        <w:t xml:space="preserve"> </w:t>
      </w:r>
      <w:r w:rsidRPr="00E950E7">
        <w:t>20426.</w:t>
      </w:r>
    </w:p>
    <w:p w:rsidR="00F239F6" w14:paraId="3CF21801" w14:textId="20148A94">
      <w:pPr>
        <w:pStyle w:val="ListParagraph"/>
        <w:numPr>
          <w:ilvl w:val="1"/>
          <w:numId w:val="22"/>
        </w:numPr>
        <w:spacing w:line="480" w:lineRule="auto"/>
      </w:pPr>
      <w:r w:rsidRPr="004A564C">
        <w:t>Hand (including courier) delivery</w:t>
      </w:r>
      <w:r>
        <w:t>: D</w:t>
      </w:r>
      <w:r w:rsidRPr="00E950E7">
        <w:t>eliver to: Federal Energy Regulatory Commission, 12225 Wilkins Avenue, Rockville, M</w:t>
      </w:r>
      <w:r>
        <w:t>D</w:t>
      </w:r>
      <w:r w:rsidRPr="00E950E7">
        <w:t xml:space="preserve"> </w:t>
      </w:r>
      <w:r w:rsidR="00E3025E">
        <w:t xml:space="preserve"> </w:t>
      </w:r>
      <w:r w:rsidRPr="00E950E7">
        <w:t>20852.</w:t>
      </w:r>
    </w:p>
    <w:p w:rsidR="00F239F6" w14:paraId="59640287" w14:textId="77777777">
      <w:r w:rsidRPr="001E48F9">
        <w:rPr>
          <w:b/>
          <w:bCs/>
        </w:rPr>
        <w:t>FOR FURTHER INFORMATION CONTACT</w:t>
      </w:r>
      <w:r w:rsidRPr="00B61165">
        <w:t>:</w:t>
      </w:r>
    </w:p>
    <w:p w:rsidR="00F239F6" w14:paraId="6CC1E582" w14:textId="77777777"/>
    <w:p w:rsidR="003C1888" w14:paraId="3287D27F" w14:textId="79DC95B7">
      <w:r>
        <w:t xml:space="preserve">Syed </w:t>
      </w:r>
      <w:r w:rsidR="00EA7C5F">
        <w:t>Ahmad</w:t>
      </w:r>
      <w:r>
        <w:tab/>
        <w:t>(</w:t>
      </w:r>
      <w:r w:rsidRPr="00E57C0C">
        <w:t>Technical Information</w:t>
      </w:r>
      <w:r>
        <w:t>)</w:t>
      </w:r>
    </w:p>
    <w:p w:rsidR="003C1888" w14:paraId="525681EE" w14:textId="4AED9EC4">
      <w:r>
        <w:t xml:space="preserve">Office of Electric </w:t>
      </w:r>
      <w:r w:rsidR="00E57C0C">
        <w:t xml:space="preserve">Reliability </w:t>
      </w:r>
    </w:p>
    <w:p w:rsidR="00E57C0C" w:rsidRPr="00F2612A" w:rsidP="00E57C0C" w14:paraId="2E70BE50" w14:textId="77777777">
      <w:r w:rsidRPr="00F2612A">
        <w:t xml:space="preserve">Federal Energy Regulatory Commission </w:t>
      </w:r>
    </w:p>
    <w:p w:rsidR="00E57C0C" w:rsidRPr="00F2612A" w:rsidP="00E57C0C" w14:paraId="3641BFD5" w14:textId="77777777">
      <w:r w:rsidRPr="00F2612A">
        <w:t xml:space="preserve">888 First Street, NE </w:t>
      </w:r>
    </w:p>
    <w:p w:rsidR="00E57C0C" w:rsidP="00E57C0C" w14:paraId="13691946" w14:textId="77777777">
      <w:r w:rsidRPr="00F2612A">
        <w:t>Washington, DC  20426</w:t>
      </w:r>
    </w:p>
    <w:p w:rsidR="00E57C0C" w14:paraId="0B4FE27F" w14:textId="31519E2F">
      <w:r>
        <w:t>(</w:t>
      </w:r>
      <w:r w:rsidRPr="00E57C0C">
        <w:t>202</w:t>
      </w:r>
      <w:r>
        <w:t xml:space="preserve">) </w:t>
      </w:r>
      <w:r w:rsidRPr="00E57C0C">
        <w:t>502</w:t>
      </w:r>
      <w:r>
        <w:t xml:space="preserve"> </w:t>
      </w:r>
      <w:r w:rsidRPr="00E57C0C">
        <w:t>8718</w:t>
      </w:r>
    </w:p>
    <w:p w:rsidR="00E57C0C" w14:paraId="4002DB71" w14:textId="59A3BED3">
      <w:r>
        <w:t xml:space="preserve">Syed.Ahmad@ferc.gov  </w:t>
      </w:r>
    </w:p>
    <w:p w:rsidR="00E57C0C" w:rsidP="00F2612A" w14:paraId="1B6BE080" w14:textId="77777777"/>
    <w:p w:rsidR="00E955AD" w:rsidP="00F2612A" w14:paraId="3C16153F" w14:textId="6C0BAFAE">
      <w:r>
        <w:t>Boris Voynik</w:t>
      </w:r>
      <w:r w:rsidR="007B6696">
        <w:t xml:space="preserve"> (Technical Information)</w:t>
      </w:r>
    </w:p>
    <w:p w:rsidR="003B7772" w:rsidP="003B7772" w14:paraId="211268EF" w14:textId="77777777">
      <w:r>
        <w:t xml:space="preserve">Office of Electric Reliability </w:t>
      </w:r>
    </w:p>
    <w:p w:rsidR="003B7772" w:rsidRPr="00F2612A" w:rsidP="003B7772" w14:paraId="5A50548A" w14:textId="77777777">
      <w:r w:rsidRPr="00F2612A">
        <w:t xml:space="preserve">Federal Energy Regulatory Commission </w:t>
      </w:r>
    </w:p>
    <w:p w:rsidR="003B7772" w:rsidRPr="00F2612A" w:rsidP="003B7772" w14:paraId="56C8296B" w14:textId="77777777">
      <w:r w:rsidRPr="00F2612A">
        <w:t xml:space="preserve">888 First Street, NE </w:t>
      </w:r>
    </w:p>
    <w:p w:rsidR="003B7772" w:rsidP="003B7772" w14:paraId="2291F11A" w14:textId="57E9CE4D">
      <w:r w:rsidRPr="00F2612A">
        <w:t>Washington, DC  20426</w:t>
      </w:r>
    </w:p>
    <w:p w:rsidR="003B7772" w:rsidP="003B7772" w14:paraId="2D4B83A9" w14:textId="63EA109D">
      <w:r>
        <w:t>(202) 5</w:t>
      </w:r>
      <w:r w:rsidR="007B6696">
        <w:t>0</w:t>
      </w:r>
      <w:r>
        <w:t>2 8902</w:t>
      </w:r>
    </w:p>
    <w:p w:rsidR="007B6696" w:rsidP="003B7772" w14:paraId="01C9539E" w14:textId="4F71117C">
      <w:r w:rsidRPr="007B6696">
        <w:t>Boris.Voynik@ferc.gov</w:t>
      </w:r>
    </w:p>
    <w:p w:rsidR="00E955AD" w:rsidP="00F2612A" w14:paraId="713D1BA4" w14:textId="77777777"/>
    <w:p w:rsidR="00F2612A" w:rsidP="00F2612A" w14:paraId="750E2EBD" w14:textId="218C38CD">
      <w:r>
        <w:t>Felicia West (Legal Information)</w:t>
      </w:r>
    </w:p>
    <w:p w:rsidR="00F2612A" w:rsidRPr="00F2612A" w:rsidP="00F2612A" w14:paraId="7357162A" w14:textId="77777777">
      <w:r w:rsidRPr="00F2612A">
        <w:t>Office of General Counsel</w:t>
      </w:r>
    </w:p>
    <w:p w:rsidR="00F2612A" w:rsidRPr="00F2612A" w:rsidP="00F2612A" w14:paraId="6EFA5080" w14:textId="77777777">
      <w:r w:rsidRPr="00F2612A">
        <w:t xml:space="preserve">Federal Energy Regulatory Commission </w:t>
      </w:r>
    </w:p>
    <w:p w:rsidR="00F2612A" w:rsidRPr="00F2612A" w:rsidP="00F2612A" w14:paraId="13EF3976" w14:textId="77777777">
      <w:r w:rsidRPr="00F2612A">
        <w:t xml:space="preserve">888 First Street, NE </w:t>
      </w:r>
    </w:p>
    <w:p w:rsidR="00F2612A" w:rsidP="00F2612A" w14:paraId="39364DE5" w14:textId="430597BA">
      <w:r w:rsidRPr="00F2612A">
        <w:t>Washington, DC  20426</w:t>
      </w:r>
    </w:p>
    <w:p w:rsidR="00F2612A" w:rsidP="00F2612A" w14:paraId="6CB25806" w14:textId="1D0FE59A">
      <w:r>
        <w:t>(202) 502 8948</w:t>
      </w:r>
    </w:p>
    <w:p w:rsidR="00F2612A" w:rsidP="00F2612A" w14:paraId="25601FFF" w14:textId="59350349">
      <w:r>
        <w:t xml:space="preserve">Felicia.West@ferc.gov </w:t>
      </w:r>
    </w:p>
    <w:p w:rsidR="00F2612A" w:rsidP="00F2612A" w14:paraId="4E916B4E" w14:textId="77777777"/>
    <w:p w:rsidR="00F2612A" w:rsidRPr="00F2612A" w:rsidP="00280F6C" w14:paraId="488B0976" w14:textId="3C241048">
      <w:pPr>
        <w:keepNext/>
      </w:pPr>
      <w:r w:rsidRPr="00F2612A">
        <w:t>Hampden T. Macbeth (Legal Information)</w:t>
      </w:r>
    </w:p>
    <w:p w:rsidR="00F2612A" w:rsidRPr="00F2612A" w:rsidP="00280F6C" w14:paraId="18F6DBB8" w14:textId="77777777">
      <w:pPr>
        <w:keepNext/>
      </w:pPr>
      <w:r w:rsidRPr="00F2612A">
        <w:t>Office of General Counsel</w:t>
      </w:r>
    </w:p>
    <w:p w:rsidR="00F2612A" w:rsidRPr="00F2612A" w:rsidP="00280F6C" w14:paraId="5157F23E" w14:textId="77777777">
      <w:pPr>
        <w:keepNext/>
      </w:pPr>
      <w:r w:rsidRPr="00F2612A">
        <w:t xml:space="preserve">Federal Energy Regulatory Commission </w:t>
      </w:r>
    </w:p>
    <w:p w:rsidR="00F2612A" w:rsidRPr="00F2612A" w:rsidP="00280F6C" w14:paraId="35F50A8B" w14:textId="77777777">
      <w:pPr>
        <w:keepNext/>
      </w:pPr>
      <w:r w:rsidRPr="00F2612A">
        <w:t xml:space="preserve">888 First Street, NE </w:t>
      </w:r>
    </w:p>
    <w:p w:rsidR="00F2612A" w:rsidRPr="00F2612A" w:rsidP="00280F6C" w14:paraId="14A23E0E" w14:textId="77777777">
      <w:pPr>
        <w:keepNext/>
      </w:pPr>
      <w:r w:rsidRPr="00F2612A">
        <w:t>Washington, DC  20426</w:t>
      </w:r>
    </w:p>
    <w:p w:rsidR="00F2612A" w:rsidRPr="00F2612A" w:rsidP="00280F6C" w14:paraId="2F336479" w14:textId="77777777">
      <w:pPr>
        <w:keepNext/>
      </w:pPr>
      <w:r w:rsidRPr="00F2612A">
        <w:t>(202) 502 8957</w:t>
      </w:r>
    </w:p>
    <w:p w:rsidR="005D1B37" w14:paraId="01041932" w14:textId="1FD67C26">
      <w:r w:rsidRPr="00F2612A">
        <w:t xml:space="preserve">Hampden.Macbeth@ferc.gov </w:t>
      </w:r>
    </w:p>
    <w:p w:rsidR="00F2612A" w14:paraId="6DFE4334" w14:textId="77777777"/>
    <w:p w:rsidR="00F239F6" w:rsidRPr="00B61165" w14:paraId="08BC8AF7" w14:textId="77777777">
      <w:pPr>
        <w:sectPr w:rsidSect="00F239F6">
          <w:headerReference w:type="even" r:id="rId11"/>
          <w:headerReference w:type="default" r:id="rId12"/>
          <w:headerReference w:type="first" r:id="rId13"/>
          <w:pgSz w:w="12240" w:h="15840"/>
          <w:pgMar w:top="1440" w:right="1440" w:bottom="1440" w:left="1440" w:header="720" w:footer="720" w:gutter="0"/>
          <w:pgNumType w:fmt="lowerRoman" w:start="1"/>
          <w:cols w:space="720"/>
          <w:titlePg/>
          <w:docGrid w:linePitch="360"/>
        </w:sectPr>
      </w:pPr>
      <w:r w:rsidRPr="001E48F9">
        <w:rPr>
          <w:b/>
          <w:bCs/>
        </w:rPr>
        <w:t>SUPPLEMENTARY INFORMATION</w:t>
      </w:r>
      <w:r w:rsidRPr="00B61165">
        <w:t>:</w:t>
      </w:r>
    </w:p>
    <w:p w:rsidR="00503254" w:rsidP="00503254" w14:paraId="11DF3B53" w14:textId="77777777">
      <w:pPr>
        <w:jc w:val="center"/>
      </w:pPr>
      <w:r>
        <w:t>189 FERC ¶ 61,212</w:t>
      </w:r>
    </w:p>
    <w:p w:rsidR="00F239F6" w:rsidRPr="00B61165" w14:paraId="442BE2B9" w14:textId="45D15BB2">
      <w:pPr>
        <w:jc w:val="center"/>
      </w:pPr>
      <w:r w:rsidRPr="00B61165">
        <w:t>UNITED STATES OF AMERICA</w:t>
      </w:r>
    </w:p>
    <w:p w:rsidR="00F239F6" w:rsidRPr="00B61165" w14:paraId="62A5A780" w14:textId="77777777">
      <w:pPr>
        <w:jc w:val="center"/>
      </w:pPr>
      <w:r w:rsidRPr="00B61165">
        <w:t>FEDERAL ENERGY REGULATORY COMMISSION</w:t>
      </w:r>
    </w:p>
    <w:p w:rsidR="00F239F6" w:rsidRPr="00B61165" w14:paraId="0817C09B" w14:textId="77777777">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929"/>
        <w:gridCol w:w="1901"/>
        <w:gridCol w:w="1530"/>
      </w:tblGrid>
      <w:tr w14:paraId="3FAC80F9" w14:textId="77777777" w:rsidTr="00E3025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c>
          <w:tcPr>
            <w:tcW w:w="5929" w:type="dxa"/>
            <w:shd w:val="clear" w:color="auto" w:fill="auto"/>
          </w:tcPr>
          <w:p w:rsidR="00F239F6" w:rsidRPr="00B61165" w14:paraId="2F382831" w14:textId="68C5F7E9">
            <w:r w:rsidRPr="00F8072D">
              <w:t>Reliability Standards for Frequency and Voltage Protection Settings and Ride-Through</w:t>
            </w:r>
            <w:r w:rsidR="00C15BDB">
              <w:t xml:space="preserve"> for Inverter-Based Resources</w:t>
            </w:r>
          </w:p>
        </w:tc>
        <w:tc>
          <w:tcPr>
            <w:tcW w:w="1901" w:type="dxa"/>
            <w:shd w:val="clear" w:color="auto" w:fill="auto"/>
            <w:tcMar>
              <w:left w:w="72" w:type="dxa"/>
            </w:tcMar>
          </w:tcPr>
          <w:p w:rsidR="00F239F6" w:rsidRPr="00B61165" w14:paraId="186AA21D" w14:textId="3D40A5BA">
            <w:r>
              <w:t xml:space="preserve">         </w:t>
            </w:r>
            <w:r>
              <w:t>Docket No.</w:t>
            </w:r>
          </w:p>
        </w:tc>
        <w:tc>
          <w:tcPr>
            <w:tcW w:w="1530" w:type="dxa"/>
            <w:shd w:val="clear" w:color="auto" w:fill="auto"/>
            <w:tcMar>
              <w:left w:w="144" w:type="dxa"/>
            </w:tcMar>
          </w:tcPr>
          <w:p w:rsidR="00F239F6" w:rsidRPr="00B61165" w:rsidP="00E3025E" w14:paraId="4DDA02DC" w14:textId="294EA262">
            <w:pPr>
              <w:ind w:hanging="150"/>
            </w:pPr>
            <w:r>
              <w:t xml:space="preserve"> </w:t>
            </w:r>
            <w:r w:rsidR="00120573">
              <w:t>RM2</w:t>
            </w:r>
            <w:r w:rsidR="006C75F4">
              <w:t>5</w:t>
            </w:r>
            <w:r w:rsidR="00120573">
              <w:t>-</w:t>
            </w:r>
            <w:r w:rsidR="006C75F4">
              <w:t>3-000</w:t>
            </w:r>
          </w:p>
        </w:tc>
      </w:tr>
    </w:tbl>
    <w:p w:rsidR="00F239F6" w:rsidRPr="00B61165" w14:paraId="57DC9C22" w14:textId="77777777">
      <w:pPr>
        <w:jc w:val="center"/>
      </w:pPr>
    </w:p>
    <w:p w:rsidR="00F239F6" w14:paraId="5C883135" w14:textId="77777777">
      <w:pPr>
        <w:jc w:val="center"/>
      </w:pPr>
      <w:r w:rsidRPr="00B61165">
        <w:t>NOTICE OF PROPOSED RULEMAKING</w:t>
      </w:r>
    </w:p>
    <w:p w:rsidR="00E3025E" w:rsidRPr="00B61165" w14:paraId="5ABAF05B" w14:textId="77777777">
      <w:pPr>
        <w:jc w:val="center"/>
      </w:pPr>
    </w:p>
    <w:p w:rsidR="00F239F6" w:rsidP="00E3025E" w14:paraId="4EC0EA01" w14:textId="714E4A7D">
      <w:pPr>
        <w:widowControl/>
        <w:jc w:val="center"/>
      </w:pPr>
      <w:r w:rsidRPr="00E3025E">
        <w:t>(Issued December 1</w:t>
      </w:r>
      <w:r w:rsidR="00503254">
        <w:t>9</w:t>
      </w:r>
      <w:r w:rsidRPr="00E3025E">
        <w:t>, 2024)</w:t>
      </w:r>
    </w:p>
    <w:p w:rsidR="00E3025E" w:rsidRPr="00E3025E" w:rsidP="00E3025E" w14:paraId="455E0BAE" w14:textId="77777777">
      <w:pPr>
        <w:widowControl/>
      </w:pPr>
    </w:p>
    <w:p w:rsidR="00603CF2" w:rsidP="00007EFD" w14:paraId="3341BB09" w14:textId="4F150C28">
      <w:pPr>
        <w:pStyle w:val="FERCparanumber"/>
        <w:numPr>
          <w:ilvl w:val="0"/>
          <w:numId w:val="36"/>
        </w:numPr>
      </w:pPr>
      <w:r w:rsidRPr="00CD28DF">
        <w:t>Pursuant</w:t>
      </w:r>
      <w:r w:rsidRPr="00071CFD">
        <w:t xml:space="preserve"> to section 215(d)(2) of the Federal Power Act (FPA),</w:t>
      </w:r>
      <w:r>
        <w:rPr>
          <w:b/>
          <w:bCs/>
          <w:vertAlign w:val="superscript"/>
        </w:rPr>
        <w:footnoteReference w:id="3"/>
      </w:r>
      <w:r w:rsidRPr="00071CFD">
        <w:t xml:space="preserve"> the Commission proposes to approve</w:t>
      </w:r>
      <w:r w:rsidR="002D0213">
        <w:t xml:space="preserve"> </w:t>
      </w:r>
      <w:r w:rsidRPr="0057471D" w:rsidR="0057471D">
        <w:t>the addition of the newly defined term “Ride-through”</w:t>
      </w:r>
      <w:r w:rsidRPr="0057471D" w:rsidR="0057471D">
        <w:t xml:space="preserve"> </w:t>
      </w:r>
      <w:r w:rsidRPr="0057471D" w:rsidR="0057471D">
        <w:t>to the</w:t>
      </w:r>
      <w:r w:rsidR="007824CF">
        <w:t xml:space="preserve"> North American Electric Reliability Corporation</w:t>
      </w:r>
      <w:r w:rsidRPr="0057471D" w:rsidR="0057471D">
        <w:t xml:space="preserve"> </w:t>
      </w:r>
      <w:r w:rsidR="007824CF">
        <w:t>(</w:t>
      </w:r>
      <w:r w:rsidRPr="0057471D" w:rsidR="0057471D">
        <w:t>NERC</w:t>
      </w:r>
      <w:r w:rsidR="007824CF">
        <w:t>)</w:t>
      </w:r>
      <w:r w:rsidRPr="0057471D" w:rsidR="0057471D">
        <w:t xml:space="preserve"> Glossary of Terms</w:t>
      </w:r>
      <w:r w:rsidR="004D07D5">
        <w:t xml:space="preserve"> and to</w:t>
      </w:r>
      <w:r w:rsidRPr="00071CFD">
        <w:t xml:space="preserve"> </w:t>
      </w:r>
      <w:r w:rsidR="00B7726F">
        <w:t>approve the</w:t>
      </w:r>
      <w:r w:rsidRPr="00071CFD">
        <w:t xml:space="preserve"> proposed</w:t>
      </w:r>
      <w:r w:rsidR="00597F3A">
        <w:t xml:space="preserve"> </w:t>
      </w:r>
      <w:r>
        <w:t>Protection and Control (PRC) Reliability</w:t>
      </w:r>
      <w:r w:rsidR="00597F3A">
        <w:t xml:space="preserve"> </w:t>
      </w:r>
      <w:r>
        <w:t>Standard</w:t>
      </w:r>
      <w:r w:rsidR="00CA4C91">
        <w:t>s</w:t>
      </w:r>
      <w:r w:rsidR="00597F3A">
        <w:t xml:space="preserve"> PRC-024</w:t>
      </w:r>
      <w:r w:rsidR="00105A51">
        <w:t>-4</w:t>
      </w:r>
      <w:r w:rsidR="0082503C">
        <w:t xml:space="preserve"> (Frequency and Voltage Protection Setting</w:t>
      </w:r>
      <w:r w:rsidR="00EC69B4">
        <w:t>s</w:t>
      </w:r>
      <w:r w:rsidR="0082503C">
        <w:t xml:space="preserve"> for Synchronous Generators</w:t>
      </w:r>
      <w:r w:rsidR="00D676DB">
        <w:t xml:space="preserve">, </w:t>
      </w:r>
      <w:r w:rsidR="00261FA4">
        <w:t>Type 1 and Type 2 Wind Resources,</w:t>
      </w:r>
      <w:r w:rsidR="0082503C">
        <w:t xml:space="preserve"> and Synchronous Condensers)</w:t>
      </w:r>
      <w:r>
        <w:rPr>
          <w:rStyle w:val="FootnoteReference"/>
        </w:rPr>
        <w:footnoteReference w:id="4"/>
      </w:r>
      <w:r w:rsidR="007C6EA1">
        <w:t xml:space="preserve"> </w:t>
      </w:r>
      <w:r w:rsidR="0082503C">
        <w:t xml:space="preserve">and </w:t>
      </w:r>
      <w:r w:rsidR="009E1E0D">
        <w:t>PRC-029-1 (Frequency and Voltage Ride-through Requirements for Inverter-</w:t>
      </w:r>
      <w:r w:rsidR="00212AAC">
        <w:t>Based Resources (IBR)</w:t>
      </w:r>
      <w:r w:rsidR="00956E50">
        <w:t>)</w:t>
      </w:r>
      <w:r>
        <w:t xml:space="preserve">.  </w:t>
      </w:r>
      <w:r w:rsidR="00D46576">
        <w:t xml:space="preserve">We also propose </w:t>
      </w:r>
      <w:r w:rsidR="00CA6342">
        <w:t>to approve</w:t>
      </w:r>
      <w:r w:rsidR="002C19AA">
        <w:t xml:space="preserve"> the </w:t>
      </w:r>
      <w:r>
        <w:t>associated violation risk factors</w:t>
      </w:r>
      <w:r w:rsidR="006221EF">
        <w:t>,</w:t>
      </w:r>
      <w:r>
        <w:t xml:space="preserve"> violation severity levels, </w:t>
      </w:r>
      <w:r w:rsidRPr="0063382F" w:rsidR="0063382F">
        <w:t>implementation plans, and effective dates for proposed Reliability Standards PRC-024-4 and PRC-02</w:t>
      </w:r>
      <w:r w:rsidR="00A900F3">
        <w:t>9</w:t>
      </w:r>
      <w:r w:rsidR="00BC60A8">
        <w:t>-</w:t>
      </w:r>
      <w:r w:rsidRPr="0063382F" w:rsidR="0063382F">
        <w:t>1</w:t>
      </w:r>
      <w:r w:rsidR="0063382F">
        <w:t xml:space="preserve">, </w:t>
      </w:r>
      <w:r w:rsidR="00433424">
        <w:t xml:space="preserve">as well as </w:t>
      </w:r>
      <w:r w:rsidR="00CB679C">
        <w:t xml:space="preserve">to approve </w:t>
      </w:r>
      <w:r w:rsidR="00B078E6">
        <w:t xml:space="preserve">the retirement of currently effective </w:t>
      </w:r>
      <w:r w:rsidR="002C19AA">
        <w:t>Reliability</w:t>
      </w:r>
      <w:r w:rsidR="00B078E6">
        <w:t xml:space="preserve"> </w:t>
      </w:r>
      <w:r w:rsidR="002C19AA">
        <w:t>Standard</w:t>
      </w:r>
      <w:r w:rsidR="00B078E6">
        <w:t xml:space="preserve"> PRC</w:t>
      </w:r>
      <w:r w:rsidR="00B65C24">
        <w:noBreakHyphen/>
      </w:r>
      <w:r w:rsidR="00B078E6">
        <w:t>024</w:t>
      </w:r>
      <w:r w:rsidR="00B65C24">
        <w:noBreakHyphen/>
      </w:r>
      <w:r w:rsidR="006B475F">
        <w:t>3</w:t>
      </w:r>
      <w:r w:rsidR="0063382F">
        <w:t>.</w:t>
      </w:r>
      <w:r w:rsidRPr="0063382F" w:rsidR="0063382F">
        <w:t xml:space="preserve"> </w:t>
      </w:r>
    </w:p>
    <w:p w:rsidR="00735FAC" w:rsidP="00007EFD" w14:paraId="15B3DA55" w14:textId="7622002D">
      <w:pPr>
        <w:pStyle w:val="FERCparanumber"/>
        <w:numPr>
          <w:ilvl w:val="0"/>
          <w:numId w:val="36"/>
        </w:numPr>
      </w:pPr>
      <w:r>
        <w:t>In Order No. 901, the Commission directed NERC to develop new or modified Reliability Standards addressing, among other things, reliability gaps associated with IBRs tripping or entering momentary cessation in aggregate.</w:t>
      </w:r>
      <w:r>
        <w:rPr>
          <w:rStyle w:val="FootnoteReference"/>
        </w:rPr>
        <w:footnoteReference w:id="5"/>
      </w:r>
      <w:r>
        <w:t xml:space="preserve">  Specifically, Order No. 901 directed NERC to submit by November 4, 2024 new or modified Reliability Standards that establish IBR performance </w:t>
      </w:r>
      <w:r w:rsidRPr="00CD28DF">
        <w:t>requirements</w:t>
      </w:r>
      <w:r>
        <w:t>, including requirements addressing frequency and voltage ride through, post disturbance ramp rates, phase lock loop synchronization, and other known causes of IBR tripping or momentary cessation.</w:t>
      </w:r>
      <w:r>
        <w:rPr>
          <w:rStyle w:val="FootnoteReference"/>
        </w:rPr>
        <w:footnoteReference w:id="6"/>
      </w:r>
      <w:r>
        <w:t xml:space="preserve">  </w:t>
      </w:r>
    </w:p>
    <w:p w:rsidR="000E2A35" w:rsidP="101FD35E" w14:paraId="17E425FC" w14:textId="4BAE1341">
      <w:pPr>
        <w:pStyle w:val="FERCparanumber"/>
      </w:pPr>
      <w:r>
        <w:t>NERC submitted the proposed Reliability Standards</w:t>
      </w:r>
      <w:r w:rsidR="00AF5C2D">
        <w:t xml:space="preserve"> </w:t>
      </w:r>
      <w:r w:rsidRPr="00071CFD" w:rsidR="00071CFD">
        <w:t>in response to</w:t>
      </w:r>
      <w:r w:rsidR="00071CFD">
        <w:t xml:space="preserve"> Commission directives in Order No. 901.</w:t>
      </w:r>
      <w:r>
        <w:rPr>
          <w:rStyle w:val="FootnoteReference"/>
        </w:rPr>
        <w:footnoteReference w:id="7"/>
      </w:r>
      <w:r w:rsidR="00702727">
        <w:t xml:space="preserve"> </w:t>
      </w:r>
      <w:r w:rsidR="009B2963">
        <w:t xml:space="preserve"> The purpose of </w:t>
      </w:r>
      <w:r w:rsidR="00CA4C91">
        <w:t>proposed</w:t>
      </w:r>
      <w:r w:rsidR="009B2963">
        <w:t xml:space="preserve"> Reliability Standard PRC-024-4 </w:t>
      </w:r>
      <w:r w:rsidR="008C2C9B">
        <w:t>“</w:t>
      </w:r>
      <w:r w:rsidR="009B2963">
        <w:t>is to ensure</w:t>
      </w:r>
      <w:r w:rsidR="008C2C9B">
        <w:t xml:space="preserve"> that protection</w:t>
      </w:r>
      <w:r w:rsidR="00554D5E">
        <w:t xml:space="preserve"> of</w:t>
      </w:r>
      <w:r w:rsidR="009B2963">
        <w:t xml:space="preserve"> </w:t>
      </w:r>
      <w:r w:rsidR="00845AAB">
        <w:t>synchronous generators, type 1 and type 2 wind resources, and synchronous condensers</w:t>
      </w:r>
      <w:r w:rsidR="008C2C9B">
        <w:t xml:space="preserve"> do not cause</w:t>
      </w:r>
      <w:r w:rsidR="00194FA8">
        <w:t xml:space="preserve"> </w:t>
      </w:r>
      <w:r w:rsidR="00845AAB">
        <w:t>tripping</w:t>
      </w:r>
      <w:r w:rsidR="00993C34">
        <w:t xml:space="preserve"> </w:t>
      </w:r>
      <w:r w:rsidR="00845AAB">
        <w:t xml:space="preserve">during </w:t>
      </w:r>
      <w:r w:rsidR="008C2C9B">
        <w:t xml:space="preserve">defined </w:t>
      </w:r>
      <w:r w:rsidR="00845AAB">
        <w:t>frequency and voltage excursions</w:t>
      </w:r>
      <w:r w:rsidR="008C2C9B">
        <w:t xml:space="preserve"> in support” of the Bulk-Power System</w:t>
      </w:r>
      <w:r w:rsidR="00845AAB">
        <w:t>.</w:t>
      </w:r>
      <w:r w:rsidR="008C2C9B">
        <w:t>”</w:t>
      </w:r>
      <w:r>
        <w:rPr>
          <w:rStyle w:val="FootnoteReference"/>
        </w:rPr>
        <w:footnoteReference w:id="8"/>
      </w:r>
      <w:r w:rsidR="00845AAB">
        <w:t xml:space="preserve"> </w:t>
      </w:r>
      <w:r w:rsidR="00494100">
        <w:t xml:space="preserve"> </w:t>
      </w:r>
      <w:r w:rsidR="001E12F5">
        <w:t>T</w:t>
      </w:r>
      <w:r w:rsidR="00BC60A8">
        <w:t>he</w:t>
      </w:r>
      <w:r w:rsidR="00702727">
        <w:t xml:space="preserve"> purpose of proposed</w:t>
      </w:r>
      <w:r w:rsidR="00773CAE">
        <w:t xml:space="preserve"> </w:t>
      </w:r>
      <w:r w:rsidR="00702727">
        <w:t xml:space="preserve">Reliability Standard PRC-029-1 is to </w:t>
      </w:r>
      <w:r w:rsidR="004B0C65">
        <w:t>“</w:t>
      </w:r>
      <w:r w:rsidR="00FC1174">
        <w:t xml:space="preserve">ensure that IBRs </w:t>
      </w:r>
      <w:r w:rsidR="00BC60A8">
        <w:t>R</w:t>
      </w:r>
      <w:r w:rsidR="00662825">
        <w:t>ide</w:t>
      </w:r>
      <w:r w:rsidR="00DE3F99">
        <w:t>-</w:t>
      </w:r>
      <w:r w:rsidR="00662825">
        <w:t>through</w:t>
      </w:r>
      <w:r w:rsidR="00FC1174">
        <w:t xml:space="preserve"> </w:t>
      </w:r>
      <w:r w:rsidR="003E3160">
        <w:t>disturbances</w:t>
      </w:r>
      <w:r w:rsidR="00FC1174">
        <w:t xml:space="preserve"> to support the Bulk-Power System</w:t>
      </w:r>
      <w:r w:rsidR="009040E0">
        <w:t xml:space="preserve"> </w:t>
      </w:r>
      <w:r w:rsidR="009D57BA">
        <w:t>. . .</w:t>
      </w:r>
      <w:r w:rsidR="00FC1174">
        <w:t xml:space="preserve"> </w:t>
      </w:r>
      <w:r w:rsidR="00662825">
        <w:t>during and after</w:t>
      </w:r>
      <w:r w:rsidR="00F27FB6">
        <w:t xml:space="preserve"> defined</w:t>
      </w:r>
      <w:r w:rsidR="00662825">
        <w:t xml:space="preserve"> frequency and voltage excursions.</w:t>
      </w:r>
      <w:r w:rsidR="004B0C65">
        <w:t>”</w:t>
      </w:r>
      <w:r>
        <w:rPr>
          <w:rStyle w:val="FootnoteReference"/>
        </w:rPr>
        <w:footnoteReference w:id="9"/>
      </w:r>
      <w:r w:rsidR="00662825">
        <w:t xml:space="preserve"> </w:t>
      </w:r>
      <w:r>
        <w:t xml:space="preserve"> </w:t>
      </w:r>
      <w:r w:rsidR="001B0C79">
        <w:t>We</w:t>
      </w:r>
      <w:r>
        <w:t xml:space="preserve"> seek comments </w:t>
      </w:r>
      <w:r w:rsidR="00BE7F2E">
        <w:t>on all aspects of the proposed approvals</w:t>
      </w:r>
      <w:r>
        <w:t xml:space="preserve">.  </w:t>
      </w:r>
    </w:p>
    <w:p w:rsidR="00B40E11" w:rsidP="00007EFD" w14:paraId="51B240E7" w14:textId="7DF5334A">
      <w:pPr>
        <w:pStyle w:val="FERCparanumber"/>
        <w:numPr>
          <w:ilvl w:val="0"/>
          <w:numId w:val="36"/>
        </w:numPr>
      </w:pPr>
      <w:r>
        <w:t>We</w:t>
      </w:r>
      <w:r w:rsidR="00272F45">
        <w:t xml:space="preserve"> propose to find that p</w:t>
      </w:r>
      <w:r w:rsidR="007E7337">
        <w:t>roposed</w:t>
      </w:r>
      <w:r w:rsidR="004C399E">
        <w:t xml:space="preserve"> Reliability Standard</w:t>
      </w:r>
      <w:r w:rsidR="006749BD">
        <w:t>s</w:t>
      </w:r>
      <w:r w:rsidR="004C399E">
        <w:t xml:space="preserve"> PRC-024</w:t>
      </w:r>
      <w:r w:rsidR="00105A51">
        <w:t>-4</w:t>
      </w:r>
      <w:r w:rsidR="004C399E">
        <w:t xml:space="preserve"> and </w:t>
      </w:r>
      <w:r w:rsidR="007E7337">
        <w:t xml:space="preserve">PRC-029-1 </w:t>
      </w:r>
      <w:r w:rsidR="004C399E">
        <w:t xml:space="preserve">are consistent </w:t>
      </w:r>
      <w:r w:rsidR="00EF3E34">
        <w:t xml:space="preserve">with </w:t>
      </w:r>
      <w:r w:rsidR="004C399E">
        <w:t>and</w:t>
      </w:r>
      <w:r w:rsidR="00FF0DC7">
        <w:t xml:space="preserve"> </w:t>
      </w:r>
      <w:r w:rsidR="007E7337">
        <w:t>responsive to</w:t>
      </w:r>
      <w:r w:rsidR="00BF4335">
        <w:t xml:space="preserve"> applicable</w:t>
      </w:r>
      <w:r w:rsidR="007E7337">
        <w:t xml:space="preserve"> </w:t>
      </w:r>
      <w:r w:rsidR="00BF4335">
        <w:t>directives</w:t>
      </w:r>
      <w:r w:rsidR="00546683">
        <w:t xml:space="preserve"> </w:t>
      </w:r>
      <w:r w:rsidR="001B5B1B">
        <w:t>in Order No. 901</w:t>
      </w:r>
      <w:r w:rsidR="003731FD">
        <w:t xml:space="preserve"> </w:t>
      </w:r>
      <w:r w:rsidR="004C399E">
        <w:t>in</w:t>
      </w:r>
      <w:r w:rsidR="008A4144">
        <w:t xml:space="preserve"> requir</w:t>
      </w:r>
      <w:r w:rsidR="004C399E">
        <w:t>ing</w:t>
      </w:r>
      <w:r w:rsidR="008A4144">
        <w:t xml:space="preserve"> generator owners </w:t>
      </w:r>
      <w:r w:rsidR="00E22F9F">
        <w:t>of IBRs</w:t>
      </w:r>
      <w:r w:rsidR="00FA5447">
        <w:t xml:space="preserve"> to ride</w:t>
      </w:r>
      <w:r w:rsidR="00FC5B1F">
        <w:t xml:space="preserve"> </w:t>
      </w:r>
      <w:r w:rsidR="00FA5447">
        <w:t xml:space="preserve">through </w:t>
      </w:r>
      <w:r w:rsidR="0020081C">
        <w:t>frequency and voltage excursions</w:t>
      </w:r>
      <w:r w:rsidR="001E6A3C">
        <w:t>, such as a fault on the transmission or sub-transmission system</w:t>
      </w:r>
      <w:r w:rsidR="003731FD">
        <w:t xml:space="preserve">. </w:t>
      </w:r>
      <w:r w:rsidR="004C399E">
        <w:t xml:space="preserve"> </w:t>
      </w:r>
    </w:p>
    <w:p w:rsidR="003227BF" w:rsidRPr="00007EFD" w:rsidP="00007EFD" w14:paraId="0DD5C4BF" w14:textId="702588B7">
      <w:pPr>
        <w:pStyle w:val="FERCparanumber"/>
        <w:numPr>
          <w:ilvl w:val="0"/>
          <w:numId w:val="36"/>
        </w:numPr>
        <w:rPr>
          <w:szCs w:val="26"/>
        </w:rPr>
      </w:pPr>
      <w:r w:rsidRPr="00007EFD">
        <w:rPr>
          <w:szCs w:val="26"/>
        </w:rPr>
        <w:t>In addition, we propose to direct NERC to develop and submit two informational filings</w:t>
      </w:r>
      <w:r w:rsidRPr="00007EFD" w:rsidR="006C77FE">
        <w:rPr>
          <w:szCs w:val="26"/>
        </w:rPr>
        <w:t xml:space="preserve"> </w:t>
      </w:r>
      <w:r w:rsidRPr="00007EFD" w:rsidR="00557F30">
        <w:rPr>
          <w:szCs w:val="26"/>
        </w:rPr>
        <w:t xml:space="preserve">12 months and 24 months after the conclusion of </w:t>
      </w:r>
      <w:r w:rsidR="00EE69B6">
        <w:rPr>
          <w:szCs w:val="26"/>
        </w:rPr>
        <w:t>NERC’s proposed</w:t>
      </w:r>
      <w:r w:rsidRPr="00007EFD" w:rsidR="00557F30">
        <w:rPr>
          <w:szCs w:val="26"/>
        </w:rPr>
        <w:t xml:space="preserve"> 12-month exemption request period</w:t>
      </w:r>
      <w:r w:rsidR="007404F3">
        <w:rPr>
          <w:szCs w:val="26"/>
        </w:rPr>
        <w:t xml:space="preserve"> for existing IBRs</w:t>
      </w:r>
      <w:r w:rsidR="00FC0043">
        <w:rPr>
          <w:szCs w:val="26"/>
        </w:rPr>
        <w:t xml:space="preserve">.  </w:t>
      </w:r>
      <w:r w:rsidR="001879C6">
        <w:rPr>
          <w:szCs w:val="26"/>
        </w:rPr>
        <w:t>Proposed Reliability Standard</w:t>
      </w:r>
      <w:r w:rsidR="00FF5C4C">
        <w:rPr>
          <w:szCs w:val="26"/>
        </w:rPr>
        <w:t xml:space="preserve"> PRC-029</w:t>
      </w:r>
      <w:r w:rsidR="00CA4F98">
        <w:rPr>
          <w:szCs w:val="26"/>
        </w:rPr>
        <w:t>-1</w:t>
      </w:r>
      <w:r w:rsidR="00FF5C4C">
        <w:rPr>
          <w:szCs w:val="26"/>
        </w:rPr>
        <w:t xml:space="preserve"> </w:t>
      </w:r>
      <w:r w:rsidR="00EE430A">
        <w:rPr>
          <w:szCs w:val="26"/>
        </w:rPr>
        <w:t xml:space="preserve">includes a provision that </w:t>
      </w:r>
      <w:r w:rsidR="003A63A3">
        <w:rPr>
          <w:szCs w:val="26"/>
        </w:rPr>
        <w:t xml:space="preserve">allows </w:t>
      </w:r>
      <w:r w:rsidRPr="003A63A3" w:rsidR="003A63A3">
        <w:rPr>
          <w:szCs w:val="26"/>
        </w:rPr>
        <w:t>existing</w:t>
      </w:r>
      <w:r w:rsidR="009B44AE">
        <w:rPr>
          <w:szCs w:val="26"/>
        </w:rPr>
        <w:t xml:space="preserve"> IBRs</w:t>
      </w:r>
      <w:r w:rsidRPr="003A63A3" w:rsidR="003A63A3">
        <w:rPr>
          <w:szCs w:val="26"/>
        </w:rPr>
        <w:t xml:space="preserve"> </w:t>
      </w:r>
      <w:r w:rsidR="00557D75">
        <w:rPr>
          <w:szCs w:val="26"/>
        </w:rPr>
        <w:t>that are already</w:t>
      </w:r>
      <w:r w:rsidR="009B44AE">
        <w:rPr>
          <w:szCs w:val="26"/>
        </w:rPr>
        <w:t xml:space="preserve"> in</w:t>
      </w:r>
      <w:r w:rsidRPr="003A63A3" w:rsidR="003A63A3">
        <w:rPr>
          <w:szCs w:val="26"/>
        </w:rPr>
        <w:t xml:space="preserve"> operation</w:t>
      </w:r>
      <w:r w:rsidR="00557D75">
        <w:rPr>
          <w:szCs w:val="26"/>
        </w:rPr>
        <w:t xml:space="preserve"> when proposed Reliability Standard PRC-029-1 goes into effect</w:t>
      </w:r>
      <w:r w:rsidR="00A12237">
        <w:rPr>
          <w:szCs w:val="26"/>
        </w:rPr>
        <w:t xml:space="preserve"> (legacy</w:t>
      </w:r>
      <w:r w:rsidRPr="003A63A3" w:rsidR="003A63A3">
        <w:rPr>
          <w:szCs w:val="26"/>
        </w:rPr>
        <w:t xml:space="preserve"> </w:t>
      </w:r>
      <w:r w:rsidR="003A63A3">
        <w:rPr>
          <w:szCs w:val="26"/>
        </w:rPr>
        <w:t>IBRs</w:t>
      </w:r>
      <w:r w:rsidR="00A12237">
        <w:rPr>
          <w:szCs w:val="26"/>
        </w:rPr>
        <w:t>)</w:t>
      </w:r>
      <w:r w:rsidR="003A63A3">
        <w:rPr>
          <w:szCs w:val="26"/>
        </w:rPr>
        <w:t xml:space="preserve"> </w:t>
      </w:r>
      <w:r w:rsidR="00DD3290">
        <w:rPr>
          <w:szCs w:val="26"/>
        </w:rPr>
        <w:t xml:space="preserve">to </w:t>
      </w:r>
      <w:r w:rsidRPr="00DD3290" w:rsidR="00DD3290">
        <w:rPr>
          <w:szCs w:val="26"/>
        </w:rPr>
        <w:t xml:space="preserve">obtain an exemption to the voltage and frequency </w:t>
      </w:r>
      <w:r w:rsidR="00A12237">
        <w:rPr>
          <w:szCs w:val="26"/>
        </w:rPr>
        <w:t>R</w:t>
      </w:r>
      <w:r w:rsidRPr="00DD3290" w:rsidR="00DD3290">
        <w:rPr>
          <w:szCs w:val="26"/>
        </w:rPr>
        <w:t>ide-through requirements</w:t>
      </w:r>
      <w:r w:rsidR="00A12237">
        <w:rPr>
          <w:szCs w:val="26"/>
        </w:rPr>
        <w:t xml:space="preserve"> if hardware replacements </w:t>
      </w:r>
      <w:r w:rsidR="00A12237">
        <w:rPr>
          <w:szCs w:val="26"/>
        </w:rPr>
        <w:t>would be</w:t>
      </w:r>
      <w:r w:rsidR="00A12237">
        <w:rPr>
          <w:szCs w:val="26"/>
        </w:rPr>
        <w:t xml:space="preserve"> necessary to comply</w:t>
      </w:r>
      <w:r w:rsidR="00C243F7">
        <w:rPr>
          <w:szCs w:val="26"/>
        </w:rPr>
        <w:t xml:space="preserve">.  </w:t>
      </w:r>
      <w:r w:rsidR="00131468">
        <w:rPr>
          <w:szCs w:val="26"/>
        </w:rPr>
        <w:t xml:space="preserve">The Commission </w:t>
      </w:r>
      <w:r w:rsidR="000A6078">
        <w:rPr>
          <w:szCs w:val="26"/>
        </w:rPr>
        <w:t>seek</w:t>
      </w:r>
      <w:r w:rsidR="000E15F1">
        <w:rPr>
          <w:szCs w:val="26"/>
        </w:rPr>
        <w:t xml:space="preserve">s to understand the </w:t>
      </w:r>
      <w:r w:rsidR="007861AF">
        <w:rPr>
          <w:szCs w:val="26"/>
        </w:rPr>
        <w:t>vol</w:t>
      </w:r>
      <w:r w:rsidR="004C4716">
        <w:rPr>
          <w:szCs w:val="26"/>
        </w:rPr>
        <w:t>ume</w:t>
      </w:r>
      <w:r w:rsidR="006B4BF0">
        <w:rPr>
          <w:szCs w:val="26"/>
        </w:rPr>
        <w:t xml:space="preserve"> </w:t>
      </w:r>
      <w:r w:rsidR="007B3DEB">
        <w:rPr>
          <w:szCs w:val="26"/>
        </w:rPr>
        <w:t>of exemptions</w:t>
      </w:r>
      <w:r w:rsidR="00D347E3">
        <w:rPr>
          <w:szCs w:val="26"/>
        </w:rPr>
        <w:t>, the</w:t>
      </w:r>
      <w:r w:rsidR="008D699E">
        <w:rPr>
          <w:szCs w:val="26"/>
        </w:rPr>
        <w:t xml:space="preserve"> </w:t>
      </w:r>
      <w:r w:rsidR="004E1E59">
        <w:rPr>
          <w:szCs w:val="26"/>
        </w:rPr>
        <w:t>circumstances</w:t>
      </w:r>
      <w:r w:rsidRPr="0045492D" w:rsidR="0045492D">
        <w:rPr>
          <w:szCs w:val="26"/>
        </w:rPr>
        <w:t xml:space="preserve"> </w:t>
      </w:r>
      <w:r w:rsidR="0045492D">
        <w:rPr>
          <w:szCs w:val="26"/>
        </w:rPr>
        <w:t xml:space="preserve">in which entities have invoked the </w:t>
      </w:r>
      <w:r w:rsidRPr="007305F6" w:rsidR="0045492D">
        <w:rPr>
          <w:szCs w:val="26"/>
        </w:rPr>
        <w:t>exe</w:t>
      </w:r>
      <w:r w:rsidRPr="007305F6" w:rsidR="00580679">
        <w:rPr>
          <w:szCs w:val="26"/>
        </w:rPr>
        <w:t>m</w:t>
      </w:r>
      <w:r w:rsidRPr="007305F6" w:rsidR="0045492D">
        <w:rPr>
          <w:szCs w:val="26"/>
        </w:rPr>
        <w:t>ption</w:t>
      </w:r>
      <w:r w:rsidR="0045492D">
        <w:rPr>
          <w:szCs w:val="26"/>
        </w:rPr>
        <w:t xml:space="preserve"> provision</w:t>
      </w:r>
      <w:r w:rsidR="007E3273">
        <w:rPr>
          <w:szCs w:val="26"/>
        </w:rPr>
        <w:t>, and ultimately</w:t>
      </w:r>
      <w:r w:rsidR="00A671B6">
        <w:rPr>
          <w:szCs w:val="26"/>
        </w:rPr>
        <w:t xml:space="preserve"> </w:t>
      </w:r>
      <w:r w:rsidR="00187398">
        <w:rPr>
          <w:szCs w:val="26"/>
        </w:rPr>
        <w:t xml:space="preserve">to understand </w:t>
      </w:r>
      <w:r w:rsidR="00443931">
        <w:rPr>
          <w:szCs w:val="26"/>
        </w:rPr>
        <w:t>wh</w:t>
      </w:r>
      <w:r w:rsidR="00BE6967">
        <w:rPr>
          <w:szCs w:val="26"/>
        </w:rPr>
        <w:t>at if any effect</w:t>
      </w:r>
      <w:r w:rsidR="0033006B">
        <w:rPr>
          <w:szCs w:val="26"/>
        </w:rPr>
        <w:t xml:space="preserve"> t</w:t>
      </w:r>
      <w:r w:rsidR="00443931">
        <w:rPr>
          <w:szCs w:val="26"/>
        </w:rPr>
        <w:t xml:space="preserve">he </w:t>
      </w:r>
      <w:r w:rsidR="00DB70DB">
        <w:rPr>
          <w:szCs w:val="26"/>
        </w:rPr>
        <w:t xml:space="preserve">exemption </w:t>
      </w:r>
      <w:r w:rsidR="003327CA">
        <w:rPr>
          <w:szCs w:val="26"/>
        </w:rPr>
        <w:t xml:space="preserve">provision </w:t>
      </w:r>
      <w:r w:rsidR="00DF52CF">
        <w:rPr>
          <w:szCs w:val="26"/>
        </w:rPr>
        <w:t>has on</w:t>
      </w:r>
      <w:r w:rsidR="00371ACD">
        <w:rPr>
          <w:szCs w:val="26"/>
        </w:rPr>
        <w:t xml:space="preserve"> the efficacy of Reliability Standard PRC-029-1. </w:t>
      </w:r>
      <w:r w:rsidR="004E1E59">
        <w:rPr>
          <w:szCs w:val="26"/>
        </w:rPr>
        <w:t xml:space="preserve"> </w:t>
      </w:r>
      <w:r w:rsidR="00C175B9">
        <w:rPr>
          <w:szCs w:val="26"/>
        </w:rPr>
        <w:t>Therefore, we propose</w:t>
      </w:r>
      <w:r w:rsidR="00621EC9">
        <w:rPr>
          <w:szCs w:val="26"/>
        </w:rPr>
        <w:t xml:space="preserve"> to direct</w:t>
      </w:r>
      <w:r w:rsidR="00D601A7">
        <w:rPr>
          <w:szCs w:val="26"/>
        </w:rPr>
        <w:t xml:space="preserve"> that NERC submit two informational filings</w:t>
      </w:r>
      <w:r w:rsidR="008728D7">
        <w:rPr>
          <w:szCs w:val="26"/>
        </w:rPr>
        <w:t xml:space="preserve"> that provide</w:t>
      </w:r>
      <w:r w:rsidR="00F268DD">
        <w:rPr>
          <w:szCs w:val="26"/>
        </w:rPr>
        <w:t xml:space="preserve"> details </w:t>
      </w:r>
      <w:r w:rsidRPr="00007EFD">
        <w:rPr>
          <w:szCs w:val="26"/>
        </w:rPr>
        <w:t xml:space="preserve">on requested exemptions from generator owners of </w:t>
      </w:r>
      <w:r w:rsidR="00B60535">
        <w:t>legacy IBRs</w:t>
      </w:r>
      <w:r w:rsidRPr="00007EFD" w:rsidR="00B60535">
        <w:rPr>
          <w:szCs w:val="26"/>
        </w:rPr>
        <w:t xml:space="preserve"> </w:t>
      </w:r>
      <w:r w:rsidRPr="00007EFD">
        <w:rPr>
          <w:szCs w:val="26"/>
        </w:rPr>
        <w:t>for frequency and/or voltage Ride-through requirements.</w:t>
      </w:r>
    </w:p>
    <w:p w:rsidR="00F239F6" w:rsidRPr="00E3025E" w:rsidP="00CD28DF" w14:paraId="71A4B6D2" w14:textId="78D27F0B">
      <w:pPr>
        <w:pStyle w:val="Heading1"/>
        <w:rPr>
          <w:u w:val="none"/>
        </w:rPr>
      </w:pPr>
      <w:r w:rsidRPr="00E3025E">
        <w:rPr>
          <w:u w:val="none"/>
        </w:rPr>
        <w:t>Background</w:t>
      </w:r>
    </w:p>
    <w:p w:rsidR="00CB5B45" w:rsidRPr="00E3025E" w:rsidP="00AC0AB7" w14:paraId="7B46BED3" w14:textId="2D47B0AE">
      <w:pPr>
        <w:pStyle w:val="Heading2"/>
        <w:rPr>
          <w:u w:val="none"/>
        </w:rPr>
      </w:pPr>
      <w:bookmarkStart w:id="0" w:name="_Toc172816927"/>
      <w:r w:rsidRPr="00E3025E">
        <w:rPr>
          <w:u w:val="none"/>
        </w:rPr>
        <w:t>Section 215 and Mandatory</w:t>
      </w:r>
      <w:r w:rsidRPr="00E3025E" w:rsidR="00F95955">
        <w:rPr>
          <w:u w:val="none"/>
        </w:rPr>
        <w:t xml:space="preserve"> </w:t>
      </w:r>
      <w:r w:rsidRPr="00E3025E">
        <w:rPr>
          <w:u w:val="none"/>
        </w:rPr>
        <w:t>Reliability Standards</w:t>
      </w:r>
      <w:bookmarkEnd w:id="0"/>
    </w:p>
    <w:p w:rsidR="00E0682C" w:rsidP="00007EFD" w14:paraId="5DDCA0BE" w14:textId="28DC3353">
      <w:pPr>
        <w:pStyle w:val="FERCparanumber"/>
        <w:numPr>
          <w:ilvl w:val="0"/>
          <w:numId w:val="36"/>
        </w:numPr>
      </w:pPr>
      <w:r w:rsidRPr="00007EFD">
        <w:rPr>
          <w:shd w:val="clear" w:color="auto" w:fill="FFFFFF" w:themeFill="background1"/>
        </w:rPr>
        <w:t>Section 215 of the FPA provides that the Commission may certify an</w:t>
      </w:r>
      <w:r w:rsidRPr="00007EFD" w:rsidR="006C77FE">
        <w:rPr>
          <w:shd w:val="clear" w:color="auto" w:fill="FFFFFF" w:themeFill="background1"/>
        </w:rPr>
        <w:t xml:space="preserve"> Electric Reliability Organization</w:t>
      </w:r>
      <w:r w:rsidRPr="00007EFD">
        <w:rPr>
          <w:shd w:val="clear" w:color="auto" w:fill="FFFFFF" w:themeFill="background1"/>
        </w:rPr>
        <w:t xml:space="preserve"> </w:t>
      </w:r>
      <w:r w:rsidRPr="00007EFD" w:rsidR="006C77FE">
        <w:rPr>
          <w:shd w:val="clear" w:color="auto" w:fill="FFFFFF" w:themeFill="background1"/>
        </w:rPr>
        <w:t>(</w:t>
      </w:r>
      <w:r w:rsidRPr="00007EFD">
        <w:rPr>
          <w:shd w:val="clear" w:color="auto" w:fill="FFFFFF" w:themeFill="background1"/>
        </w:rPr>
        <w:t>ERO</w:t>
      </w:r>
      <w:r w:rsidRPr="00007EFD" w:rsidR="006C77FE">
        <w:rPr>
          <w:shd w:val="clear" w:color="auto" w:fill="FFFFFF" w:themeFill="background1"/>
        </w:rPr>
        <w:t>)</w:t>
      </w:r>
      <w:r w:rsidRPr="00007EFD">
        <w:rPr>
          <w:shd w:val="clear" w:color="auto" w:fill="FFFFFF" w:themeFill="background1"/>
        </w:rPr>
        <w:t>, the purpose of which is to develop mandatory and enforceable Reliability Standards, subject to Commission review and approval.</w:t>
      </w:r>
      <w:r>
        <w:rPr>
          <w:rStyle w:val="FootnoteReference"/>
          <w:shd w:val="clear" w:color="auto" w:fill="FFFFFF" w:themeFill="background1"/>
        </w:rPr>
        <w:footnoteReference w:id="10"/>
      </w:r>
      <w:r w:rsidRPr="00007EFD">
        <w:rPr>
          <w:shd w:val="clear" w:color="auto" w:fill="FFFFFF" w:themeFill="background1"/>
        </w:rPr>
        <w:t xml:space="preserve">  Reliability Standards may be enforced by the ERO, subject to Commission oversight, or by the Commission independently.</w:t>
      </w:r>
      <w:r>
        <w:rPr>
          <w:rStyle w:val="FootnoteReference"/>
          <w:shd w:val="clear" w:color="auto" w:fill="FFFFFF" w:themeFill="background1"/>
        </w:rPr>
        <w:footnoteReference w:id="11"/>
      </w:r>
      <w:r w:rsidRPr="00007EFD">
        <w:rPr>
          <w:b/>
          <w:bCs/>
          <w:shd w:val="clear" w:color="auto" w:fill="FFFFFF" w:themeFill="background1"/>
        </w:rPr>
        <w:t xml:space="preserve">  </w:t>
      </w:r>
      <w:r w:rsidRPr="00007EFD">
        <w:rPr>
          <w:shd w:val="clear" w:color="auto" w:fill="FFFFFF" w:themeFill="background1"/>
        </w:rPr>
        <w:t>Pursuant to section 215 of the FPA, the Commission established a process to select and certify an ERO,</w:t>
      </w:r>
      <w:r>
        <w:rPr>
          <w:rStyle w:val="FootnoteReference"/>
          <w:shd w:val="clear" w:color="auto" w:fill="FFFFFF" w:themeFill="background1"/>
        </w:rPr>
        <w:footnoteReference w:id="12"/>
      </w:r>
      <w:r w:rsidRPr="00007EFD">
        <w:rPr>
          <w:b/>
          <w:bCs/>
          <w:shd w:val="clear" w:color="auto" w:fill="FFFFFF" w:themeFill="background1"/>
        </w:rPr>
        <w:t xml:space="preserve"> </w:t>
      </w:r>
      <w:r w:rsidRPr="00007EFD">
        <w:rPr>
          <w:shd w:val="clear" w:color="auto" w:fill="FFFFFF" w:themeFill="background1"/>
        </w:rPr>
        <w:t>and subsequently certified NERC</w:t>
      </w:r>
      <w:r w:rsidRPr="00AA24DC">
        <w:t>.</w:t>
      </w:r>
      <w:r>
        <w:rPr>
          <w:rStyle w:val="FootnoteReference"/>
        </w:rPr>
        <w:footnoteReference w:id="13"/>
      </w:r>
    </w:p>
    <w:p w:rsidR="004C0AB9" w:rsidRPr="00E3025E" w:rsidP="00E0682C" w14:paraId="5CF6C18F" w14:textId="486AAD6A">
      <w:pPr>
        <w:pStyle w:val="Heading2"/>
        <w:rPr>
          <w:u w:val="none"/>
        </w:rPr>
      </w:pPr>
      <w:r w:rsidRPr="00E3025E">
        <w:rPr>
          <w:u w:val="none"/>
        </w:rPr>
        <w:t>Order No. 901</w:t>
      </w:r>
    </w:p>
    <w:p w:rsidR="009A700B" w:rsidRPr="00E241C6" w:rsidP="000512F0" w14:paraId="21496C3E" w14:textId="18A46933">
      <w:pPr>
        <w:pStyle w:val="FERCparanumber"/>
        <w:numPr>
          <w:ilvl w:val="0"/>
          <w:numId w:val="36"/>
        </w:numPr>
      </w:pPr>
      <w:r w:rsidRPr="008B031F">
        <w:t>I</w:t>
      </w:r>
      <w:r w:rsidRPr="008B031F" w:rsidR="00D17D7F">
        <w:t>n</w:t>
      </w:r>
      <w:r w:rsidR="00D17D7F">
        <w:t xml:space="preserve"> Order No. 901,</w:t>
      </w:r>
      <w:r w:rsidR="007B6FF6">
        <w:t xml:space="preserve"> the Commission </w:t>
      </w:r>
      <w:r w:rsidR="00295E6B">
        <w:t xml:space="preserve">explained, among other things, </w:t>
      </w:r>
      <w:r w:rsidR="00AE71AB">
        <w:t>that</w:t>
      </w:r>
      <w:r>
        <w:t xml:space="preserve"> </w:t>
      </w:r>
      <w:r w:rsidRPr="00BD5F13">
        <w:t>the majority of installed IBRs use grid-following inverters,</w:t>
      </w:r>
      <w:r w:rsidRPr="00DD5E29">
        <w:t xml:space="preserve"> which </w:t>
      </w:r>
      <w:r w:rsidRPr="0042352C">
        <w:t>can track grid state parameters (e.g., voltage angle) in milliseconds and react nearly instantaneously to changing grid conditions.</w:t>
      </w:r>
      <w:r>
        <w:rPr>
          <w:rStyle w:val="FootnoteReference"/>
        </w:rPr>
        <w:footnoteReference w:id="14"/>
      </w:r>
      <w:r w:rsidRPr="0042352C">
        <w:t xml:space="preserve">  </w:t>
      </w:r>
      <w:r w:rsidR="000D00CB">
        <w:t>The Commission the</w:t>
      </w:r>
      <w:r w:rsidR="006E52D4">
        <w:t>n</w:t>
      </w:r>
      <w:r w:rsidR="000D00CB">
        <w:t xml:space="preserve"> </w:t>
      </w:r>
      <w:r w:rsidR="00990E4D">
        <w:t>explained that, a</w:t>
      </w:r>
      <w:r w:rsidRPr="00CB7739" w:rsidR="0029481B">
        <w:t xml:space="preserve">s found by multiple </w:t>
      </w:r>
      <w:r w:rsidRPr="00CB7739" w:rsidR="0029481B">
        <w:t>NERC reports,</w:t>
      </w:r>
      <w:r>
        <w:rPr>
          <w:rStyle w:val="FootnoteReference"/>
        </w:rPr>
        <w:footnoteReference w:id="15"/>
      </w:r>
      <w:r w:rsidR="00883E90">
        <w:t xml:space="preserve"> </w:t>
      </w:r>
      <w:r w:rsidRPr="0042352C" w:rsidR="0029481B">
        <w:t>s</w:t>
      </w:r>
      <w:r w:rsidRPr="0042352C">
        <w:t>ome IBRs</w:t>
      </w:r>
      <w:r w:rsidRPr="0042352C" w:rsidR="0029481B">
        <w:t xml:space="preserve"> </w:t>
      </w:r>
      <w:r w:rsidR="00773FB1">
        <w:t>“</w:t>
      </w:r>
      <w:r w:rsidRPr="0042352C">
        <w:t>are not configured or programmed to support grid voltage and frequency in the event of a system disturbance, and, as a result, will reduce power output, exhibit momentary cessation, or trip in response to variations in system voltage or frequency.</w:t>
      </w:r>
      <w:r w:rsidRPr="0042352C" w:rsidR="007461E7">
        <w:t>”</w:t>
      </w:r>
      <w:r>
        <w:rPr>
          <w:b/>
          <w:vertAlign w:val="superscript"/>
        </w:rPr>
        <w:footnoteReference w:id="16"/>
      </w:r>
      <w:r w:rsidRPr="000512F0">
        <w:rPr>
          <w:highlight w:val="lightGray"/>
        </w:rPr>
        <w:t xml:space="preserve">  </w:t>
      </w:r>
    </w:p>
    <w:p w:rsidR="009A700B" w:rsidP="00E241C6" w14:paraId="649A5BB0" w14:textId="55AD41DD">
      <w:pPr>
        <w:pStyle w:val="FERCparanumber"/>
        <w:numPr>
          <w:ilvl w:val="0"/>
          <w:numId w:val="36"/>
        </w:numPr>
      </w:pPr>
      <w:r w:rsidRPr="00CB7739">
        <w:t xml:space="preserve">In addition, the Commission explained that </w:t>
      </w:r>
      <w:r w:rsidRPr="0042352C">
        <w:t>IBRs across the Bulk-Power System exhibit common mode failures that are amplified when IBRs act in the aggregate.</w:t>
      </w:r>
      <w:r>
        <w:rPr>
          <w:b/>
          <w:vertAlign w:val="superscript"/>
        </w:rPr>
        <w:footnoteReference w:id="17"/>
      </w:r>
      <w:r w:rsidRPr="0042352C">
        <w:t xml:space="preserve">  </w:t>
      </w:r>
      <w:r w:rsidRPr="0042352C" w:rsidR="00D975A6">
        <w:t>“</w:t>
      </w:r>
      <w:r w:rsidRPr="0042352C">
        <w:t>IBRs that enter momentary cessation may act in aggregate and cause a reduction in power output far in excess of any individual IBR’s impact on the Bulk-Power System.</w:t>
      </w:r>
      <w:r w:rsidRPr="0042352C" w:rsidR="00D975A6">
        <w:t>”</w:t>
      </w:r>
      <w:r>
        <w:rPr>
          <w:rStyle w:val="FootnoteReference"/>
        </w:rPr>
        <w:footnoteReference w:id="18"/>
      </w:r>
      <w:r w:rsidRPr="00D90264" w:rsidR="00765A3C">
        <w:t xml:space="preserve">  The Commission </w:t>
      </w:r>
      <w:r w:rsidRPr="00D90264" w:rsidR="00B56B23">
        <w:t>e</w:t>
      </w:r>
      <w:r w:rsidRPr="00D90264" w:rsidR="00F31355">
        <w:t>mphasized</w:t>
      </w:r>
      <w:r w:rsidRPr="00D90264" w:rsidR="00241CBC">
        <w:t xml:space="preserve"> that the</w:t>
      </w:r>
      <w:r w:rsidRPr="00D90264" w:rsidR="005E241F">
        <w:t xml:space="preserve"> anticipated growth of IBRs would exacerbate</w:t>
      </w:r>
      <w:r w:rsidRPr="00D90264" w:rsidR="00B61E8D">
        <w:t xml:space="preserve"> the</w:t>
      </w:r>
      <w:r w:rsidRPr="00D90264" w:rsidR="00241CBC">
        <w:t>se reliability concerns</w:t>
      </w:r>
      <w:r w:rsidRPr="00D90264">
        <w:t>.</w:t>
      </w:r>
      <w:r>
        <w:rPr>
          <w:rStyle w:val="FootnoteReference"/>
        </w:rPr>
        <w:footnoteReference w:id="19"/>
      </w:r>
      <w:r w:rsidRPr="00D90264" w:rsidR="006C77FE">
        <w:t xml:space="preserve"> </w:t>
      </w:r>
    </w:p>
    <w:p w:rsidR="008445EA" w:rsidRPr="00E241C6" w:rsidP="00E241C6" w14:paraId="06F1224F" w14:textId="7018FAF5">
      <w:pPr>
        <w:pStyle w:val="FERCparanumber"/>
        <w:numPr>
          <w:ilvl w:val="0"/>
          <w:numId w:val="36"/>
        </w:numPr>
      </w:pPr>
      <w:r>
        <w:t xml:space="preserve">Therefore, the Commission </w:t>
      </w:r>
      <w:r w:rsidR="008E50DF">
        <w:t xml:space="preserve">directed NERC to </w:t>
      </w:r>
      <w:r w:rsidR="00061F9C">
        <w:t xml:space="preserve">develop new or modified Reliability Standards </w:t>
      </w:r>
      <w:r w:rsidR="00E53B7E">
        <w:t xml:space="preserve">pertaining to IBRs in four areas: </w:t>
      </w:r>
      <w:r w:rsidR="005F07B5">
        <w:t xml:space="preserve"> </w:t>
      </w:r>
      <w:r w:rsidRPr="005F07B5" w:rsidR="005F07B5">
        <w:t>(1) data sharing; (2) model validation; (3)</w:t>
      </w:r>
      <w:r w:rsidR="00362085">
        <w:t> </w:t>
      </w:r>
      <w:r w:rsidRPr="005F07B5" w:rsidR="005F07B5">
        <w:t>planning and operational studies; and (4) performance requirements</w:t>
      </w:r>
      <w:r w:rsidR="00594711">
        <w:t>.</w:t>
      </w:r>
      <w:r>
        <w:rPr>
          <w:rStyle w:val="FootnoteReference"/>
        </w:rPr>
        <w:footnoteReference w:id="20"/>
      </w:r>
      <w:r w:rsidR="007C3BE1">
        <w:t xml:space="preserve"> </w:t>
      </w:r>
      <w:r w:rsidR="00B7145C">
        <w:t xml:space="preserve"> </w:t>
      </w:r>
      <w:r w:rsidR="00EB12F6">
        <w:t>T</w:t>
      </w:r>
      <w:r w:rsidR="0039493A">
        <w:t>he Commission required</w:t>
      </w:r>
      <w:r w:rsidR="00CE2C6B">
        <w:t xml:space="preserve"> NERC </w:t>
      </w:r>
      <w:r w:rsidR="00925723">
        <w:t>to</w:t>
      </w:r>
      <w:r w:rsidR="00CE2C6B">
        <w:t xml:space="preserve"> submit </w:t>
      </w:r>
      <w:r w:rsidR="00DB1F9D">
        <w:t xml:space="preserve">by November 4, 2024 </w:t>
      </w:r>
      <w:r w:rsidR="00CE2C6B">
        <w:t>new or modified Reliability Standards</w:t>
      </w:r>
      <w:r w:rsidR="00AB174E">
        <w:t xml:space="preserve"> </w:t>
      </w:r>
      <w:r w:rsidR="00CE2C6B">
        <w:t xml:space="preserve">that require registered IBR generator owners and operators to use appropriate </w:t>
      </w:r>
      <w:r w:rsidR="00CE2C6B">
        <w:t>settings “to ride through frequency and voltage system disturbances and that permit IBR tripping only to protect</w:t>
      </w:r>
      <w:r w:rsidR="00CA35EB">
        <w:t xml:space="preserve"> the IBR</w:t>
      </w:r>
      <w:r w:rsidR="00CE2C6B">
        <w:t xml:space="preserve"> equipment in scenarios similar to when sy</w:t>
      </w:r>
      <w:r w:rsidR="00D403D2">
        <w:t xml:space="preserve">nchronous generation </w:t>
      </w:r>
      <w:r w:rsidR="00B16509">
        <w:t>resources use tripping as protection from internal faults.</w:t>
      </w:r>
      <w:r w:rsidR="00FB0B9B">
        <w:t>”</w:t>
      </w:r>
      <w:r>
        <w:rPr>
          <w:rStyle w:val="FootnoteReference"/>
        </w:rPr>
        <w:footnoteReference w:id="21"/>
      </w:r>
      <w:r w:rsidR="005F6D0E">
        <w:t xml:space="preserve">  </w:t>
      </w:r>
    </w:p>
    <w:p w:rsidR="00B54CA5" w:rsidP="008C437C" w14:paraId="53F2414F" w14:textId="6EF2C8CA">
      <w:pPr>
        <w:pStyle w:val="FERCparanumber"/>
        <w:numPr>
          <w:ilvl w:val="0"/>
          <w:numId w:val="11"/>
        </w:numPr>
      </w:pPr>
      <w:r w:rsidRPr="00132175">
        <w:t xml:space="preserve">The Commission </w:t>
      </w:r>
      <w:r w:rsidR="00322A11">
        <w:t>mandated</w:t>
      </w:r>
      <w:r w:rsidRPr="00132175">
        <w:t xml:space="preserve"> that the new or modified ride through Reliability Standards must require registered IBRs to continue to inject current and perform frequency support during Bulk-Power System disturbance</w:t>
      </w:r>
      <w:r w:rsidR="000117F3">
        <w:t>s</w:t>
      </w:r>
      <w:r w:rsidRPr="00132175">
        <w:t xml:space="preserve">.  Additionally, the new or modified Reliability Standards </w:t>
      </w:r>
      <w:r w:rsidRPr="0057732C">
        <w:t xml:space="preserve">must </w:t>
      </w:r>
      <w:r w:rsidRPr="0057732C" w:rsidR="00342926">
        <w:t xml:space="preserve">assure </w:t>
      </w:r>
      <w:r w:rsidRPr="005701FB" w:rsidR="00342926">
        <w:t>that</w:t>
      </w:r>
      <w:r w:rsidRPr="0057732C">
        <w:t xml:space="preserve"> registered IBR generator owners and operators </w:t>
      </w:r>
      <w:r w:rsidRPr="0057732C" w:rsidR="00A15594">
        <w:t xml:space="preserve">continue to inject energy into the </w:t>
      </w:r>
      <w:r w:rsidRPr="005701FB" w:rsidR="00D819D8">
        <w:t xml:space="preserve">electric </w:t>
      </w:r>
      <w:r w:rsidRPr="0057732C" w:rsidR="00A15594">
        <w:t>grid during disturbances</w:t>
      </w:r>
      <w:r w:rsidRPr="005701FB" w:rsidR="00982DAA">
        <w:t>,</w:t>
      </w:r>
      <w:r w:rsidRPr="0057732C" w:rsidR="00A15594">
        <w:t xml:space="preserve"> with</w:t>
      </w:r>
      <w:r w:rsidRPr="005701FB" w:rsidR="003B5C57">
        <w:t>in</w:t>
      </w:r>
      <w:r w:rsidRPr="0057732C" w:rsidR="00A15594">
        <w:t xml:space="preserve"> an </w:t>
      </w:r>
      <w:r w:rsidRPr="005701FB" w:rsidR="00A15594">
        <w:t>established</w:t>
      </w:r>
      <w:r w:rsidRPr="0057732C">
        <w:t xml:space="preserve"> no-trip zone</w:t>
      </w:r>
      <w:r w:rsidRPr="00132175">
        <w:t xml:space="preserve">.  </w:t>
      </w:r>
      <w:r w:rsidR="00647823">
        <w:t>Finally, the Commission directed that t</w:t>
      </w:r>
      <w:r w:rsidRPr="00132175">
        <w:t>he new or modified Reliability Standard</w:t>
      </w:r>
      <w:r w:rsidR="00247C25">
        <w:t>s</w:t>
      </w:r>
      <w:r w:rsidRPr="00132175">
        <w:t xml:space="preserve"> must </w:t>
      </w:r>
      <w:r w:rsidR="00FF7B7D">
        <w:t>establish requirement</w:t>
      </w:r>
      <w:r w:rsidR="004852F1">
        <w:t>s</w:t>
      </w:r>
      <w:r w:rsidR="00FF7B7D">
        <w:t xml:space="preserve"> </w:t>
      </w:r>
      <w:r w:rsidR="004852F1">
        <w:t>for</w:t>
      </w:r>
      <w:r w:rsidRPr="00132175">
        <w:t xml:space="preserve"> </w:t>
      </w:r>
      <w:r>
        <w:t>frequency and voltage ride through, post disturbance ramp rates, phase lock loop synchronization, and other known causes of IBR tripping or momentary cessation.</w:t>
      </w:r>
      <w:r>
        <w:rPr>
          <w:rStyle w:val="FootnoteReference"/>
        </w:rPr>
        <w:footnoteReference w:id="22"/>
      </w:r>
      <w:r>
        <w:t xml:space="preserve"> </w:t>
      </w:r>
      <w:r w:rsidR="00BC0896">
        <w:t xml:space="preserve"> </w:t>
      </w:r>
    </w:p>
    <w:p w:rsidR="00DC01B7" w:rsidP="008C437C" w14:paraId="287D8588" w14:textId="61A1AA62">
      <w:pPr>
        <w:pStyle w:val="FERCparanumber"/>
        <w:numPr>
          <w:ilvl w:val="0"/>
          <w:numId w:val="11"/>
        </w:numPr>
      </w:pPr>
      <w:r w:rsidRPr="00E527CE">
        <w:t xml:space="preserve">The Commission </w:t>
      </w:r>
      <w:r w:rsidR="00647823">
        <w:t xml:space="preserve">also </w:t>
      </w:r>
      <w:r w:rsidRPr="00E527CE">
        <w:t xml:space="preserve">recognized that some older IBRs </w:t>
      </w:r>
      <w:r w:rsidR="00647823">
        <w:t>may have</w:t>
      </w:r>
      <w:r w:rsidRPr="00E527CE" w:rsidR="00647823">
        <w:t xml:space="preserve"> </w:t>
      </w:r>
      <w:r w:rsidRPr="00E527CE">
        <w:t xml:space="preserve">hardware </w:t>
      </w:r>
      <w:r w:rsidR="004C24E8">
        <w:t>limitations</w:t>
      </w:r>
      <w:r w:rsidRPr="00E527CE">
        <w:t xml:space="preserve"> that </w:t>
      </w:r>
      <w:r w:rsidR="003D7932">
        <w:t xml:space="preserve">IBR owners </w:t>
      </w:r>
      <w:r w:rsidRPr="00E527CE">
        <w:t xml:space="preserve">would have to physically replace and </w:t>
      </w:r>
      <w:r w:rsidR="00647823">
        <w:t>may have</w:t>
      </w:r>
      <w:r w:rsidRPr="00E527CE">
        <w:t xml:space="preserve"> settings and configurations </w:t>
      </w:r>
      <w:r w:rsidR="001D3425">
        <w:t xml:space="preserve">that </w:t>
      </w:r>
      <w:r w:rsidR="008E4666">
        <w:t xml:space="preserve">IBR owners </w:t>
      </w:r>
      <w:r w:rsidR="00A429CE">
        <w:t>could not modify</w:t>
      </w:r>
      <w:r w:rsidRPr="00E527CE">
        <w:t xml:space="preserve"> through </w:t>
      </w:r>
      <w:r w:rsidRPr="00CD28DF">
        <w:t>software</w:t>
      </w:r>
      <w:r w:rsidRPr="00E527CE">
        <w:t xml:space="preserve"> update</w:t>
      </w:r>
      <w:r w:rsidR="00247C25">
        <w:t>s</w:t>
      </w:r>
      <w:r w:rsidRPr="00E527CE">
        <w:t xml:space="preserve"> </w:t>
      </w:r>
      <w:r w:rsidR="001D3425">
        <w:t>and</w:t>
      </w:r>
      <w:r w:rsidRPr="00E527CE">
        <w:t xml:space="preserve"> </w:t>
      </w:r>
      <w:r w:rsidR="008C4AD8">
        <w:t xml:space="preserve">in such circumstances </w:t>
      </w:r>
      <w:r w:rsidR="00805A7E">
        <w:t>could not</w:t>
      </w:r>
      <w:r w:rsidRPr="00E527CE">
        <w:t xml:space="preserve"> implement voltage ride</w:t>
      </w:r>
      <w:r w:rsidR="0004254E">
        <w:t xml:space="preserve"> </w:t>
      </w:r>
      <w:r w:rsidRPr="00E527CE">
        <w:t xml:space="preserve">through performance requirements.  Thus, </w:t>
      </w:r>
      <w:r w:rsidR="0083721E">
        <w:t>the Commission</w:t>
      </w:r>
      <w:r w:rsidRPr="00E527CE">
        <w:t xml:space="preserve"> directed</w:t>
      </w:r>
      <w:r w:rsidR="0083721E">
        <w:t xml:space="preserve"> NERC</w:t>
      </w:r>
      <w:r w:rsidRPr="00E527CE">
        <w:t xml:space="preserve"> to “determine whether the new or modified Reliability Standards should provide for a limited and documented exemption for certain </w:t>
      </w:r>
      <w:r w:rsidRPr="00E527CE">
        <w:t>registered IBRs from voltage ride through performance requirements.”</w:t>
      </w:r>
      <w:r>
        <w:rPr>
          <w:rStyle w:val="FootnoteReference"/>
        </w:rPr>
        <w:footnoteReference w:id="23"/>
      </w:r>
      <w:r>
        <w:t xml:space="preserve">  </w:t>
      </w:r>
      <w:r w:rsidR="001D3425">
        <w:t>The Commission added that i</w:t>
      </w:r>
      <w:r w:rsidRPr="00861B4D">
        <w:t>f NERC determine</w:t>
      </w:r>
      <w:r w:rsidR="004A594F">
        <w:t>d</w:t>
      </w:r>
      <w:r w:rsidRPr="00861B4D">
        <w:t xml:space="preserve"> that an exemption is appropriate, </w:t>
      </w:r>
      <w:r w:rsidRPr="004B3F09" w:rsidR="008D5EEF">
        <w:t xml:space="preserve">the </w:t>
      </w:r>
      <w:r w:rsidRPr="004B3F09">
        <w:t xml:space="preserve">new or modified Reliability Standards </w:t>
      </w:r>
      <w:r w:rsidRPr="004B3F09" w:rsidR="004E2536">
        <w:t>should</w:t>
      </w:r>
      <w:r w:rsidRPr="00861B4D">
        <w:t xml:space="preserve"> mitigate the reliability impacts to the Bulk-Power System of </w:t>
      </w:r>
      <w:r w:rsidR="00F94257">
        <w:t>such an</w:t>
      </w:r>
      <w:r w:rsidRPr="00861B4D">
        <w:t xml:space="preserve"> exemption.</w:t>
      </w:r>
      <w:r>
        <w:rPr>
          <w:rStyle w:val="FootnoteReference"/>
        </w:rPr>
        <w:footnoteReference w:id="24"/>
      </w:r>
      <w:r>
        <w:t xml:space="preserve">  </w:t>
      </w:r>
    </w:p>
    <w:p w:rsidR="00406E32" w:rsidRPr="00E3025E" w:rsidP="00CD28DF" w14:paraId="1C448AC6" w14:textId="17FACC28">
      <w:pPr>
        <w:pStyle w:val="Heading1"/>
        <w:rPr>
          <w:u w:val="none"/>
        </w:rPr>
      </w:pPr>
      <w:r w:rsidRPr="00E3025E">
        <w:rPr>
          <w:u w:val="none"/>
        </w:rPr>
        <w:t>NERC Petition</w:t>
      </w:r>
    </w:p>
    <w:p w:rsidR="00091FAD" w:rsidP="009A6DA5" w14:paraId="4F045C51" w14:textId="45264213">
      <w:pPr>
        <w:pStyle w:val="FERCparanumber"/>
        <w:numPr>
          <w:ilvl w:val="0"/>
          <w:numId w:val="11"/>
        </w:numPr>
      </w:pPr>
      <w:r>
        <w:t xml:space="preserve">On </w:t>
      </w:r>
      <w:r w:rsidRPr="0004254E">
        <w:t xml:space="preserve">November 4, </w:t>
      </w:r>
      <w:r w:rsidRPr="00CD28DF">
        <w:t>2024</w:t>
      </w:r>
      <w:r>
        <w:t>,</w:t>
      </w:r>
      <w:r>
        <w:rPr>
          <w:rStyle w:val="FootnoteReference"/>
        </w:rPr>
        <w:footnoteReference w:id="25"/>
      </w:r>
      <w:r>
        <w:t xml:space="preserve"> </w:t>
      </w:r>
      <w:r w:rsidR="008F55EB">
        <w:t xml:space="preserve">in response to Order No. 901, </w:t>
      </w:r>
      <w:r>
        <w:t xml:space="preserve">NERC </w:t>
      </w:r>
      <w:r w:rsidR="00404340">
        <w:t xml:space="preserve">submitted for Commission approval </w:t>
      </w:r>
      <w:r w:rsidRPr="0032687B" w:rsidR="0032687B">
        <w:t xml:space="preserve">the proposed definition of the term Ride-through for the NERC Glossary of Terms, </w:t>
      </w:r>
      <w:r w:rsidR="00370864">
        <w:t>proposed</w:t>
      </w:r>
      <w:r w:rsidR="003745D4">
        <w:t xml:space="preserve"> Reliability Standard</w:t>
      </w:r>
      <w:r w:rsidR="00B651A2">
        <w:t>s</w:t>
      </w:r>
      <w:r w:rsidR="003745D4">
        <w:t xml:space="preserve"> PRC-024</w:t>
      </w:r>
      <w:r w:rsidR="004970DB">
        <w:t>-4</w:t>
      </w:r>
      <w:r w:rsidR="00B651A2">
        <w:t xml:space="preserve"> and</w:t>
      </w:r>
      <w:r w:rsidR="007407B4">
        <w:t xml:space="preserve"> PRC-029-1</w:t>
      </w:r>
      <w:r w:rsidR="00B651A2">
        <w:t>,</w:t>
      </w:r>
      <w:r w:rsidR="00CA3ED3">
        <w:t xml:space="preserve"> the associated</w:t>
      </w:r>
      <w:r w:rsidR="00820447">
        <w:t xml:space="preserve"> violation risk factors and violation severity </w:t>
      </w:r>
      <w:r w:rsidR="00FA6652">
        <w:t>levels, implementation plan</w:t>
      </w:r>
      <w:r w:rsidR="00877B0E">
        <w:t>s</w:t>
      </w:r>
      <w:r w:rsidR="00FA6652">
        <w:t xml:space="preserve"> and effective date</w:t>
      </w:r>
      <w:r w:rsidR="00D17954">
        <w:t>s for Reliability Standards PRC-024-4 and PRC-029-1, and the retirement of currently effective Reli</w:t>
      </w:r>
      <w:r w:rsidR="009D1C5D">
        <w:t>a</w:t>
      </w:r>
      <w:r w:rsidR="00D17954">
        <w:t>bility Standard PRC-024-3</w:t>
      </w:r>
      <w:r w:rsidR="00F6745D">
        <w:t>.</w:t>
      </w:r>
      <w:r>
        <w:rPr>
          <w:rStyle w:val="FootnoteReference"/>
        </w:rPr>
        <w:footnoteReference w:id="26"/>
      </w:r>
      <w:r w:rsidR="007407B4">
        <w:t xml:space="preserve"> </w:t>
      </w:r>
      <w:r w:rsidR="00F6745D">
        <w:t xml:space="preserve"> </w:t>
      </w:r>
      <w:r w:rsidR="00CC2075">
        <w:t xml:space="preserve">NERC </w:t>
      </w:r>
      <w:r w:rsidR="00B525EE">
        <w:t xml:space="preserve">asserts </w:t>
      </w:r>
      <w:r w:rsidR="00CC2075">
        <w:t xml:space="preserve">that proposed </w:t>
      </w:r>
      <w:r w:rsidR="00CC2075">
        <w:t>Reliability Standard</w:t>
      </w:r>
      <w:r w:rsidR="00D17954">
        <w:t>s</w:t>
      </w:r>
      <w:r w:rsidR="00CC2075">
        <w:t xml:space="preserve"> </w:t>
      </w:r>
      <w:r w:rsidR="00220679">
        <w:t>PRC-024</w:t>
      </w:r>
      <w:r w:rsidR="00B92F44">
        <w:t>-4</w:t>
      </w:r>
      <w:r w:rsidR="00220679">
        <w:t xml:space="preserve"> and </w:t>
      </w:r>
      <w:r w:rsidR="00397DBE">
        <w:t xml:space="preserve">PRC-029-1 </w:t>
      </w:r>
      <w:r w:rsidR="00173AC2">
        <w:t xml:space="preserve">would ensure that applicable Bulk-Power System-connected resources </w:t>
      </w:r>
      <w:r w:rsidR="001563E4">
        <w:t>R</w:t>
      </w:r>
      <w:r w:rsidR="00173AC2">
        <w:t>ide-through system disturbances</w:t>
      </w:r>
      <w:r w:rsidR="00CE608E">
        <w:t xml:space="preserve">, avoiding </w:t>
      </w:r>
      <w:r w:rsidR="00CA2755">
        <w:t>reliability risks associated with unnecessary tripping and momentary cessation.</w:t>
      </w:r>
      <w:r>
        <w:rPr>
          <w:rStyle w:val="FootnoteReference"/>
        </w:rPr>
        <w:footnoteReference w:id="27"/>
      </w:r>
      <w:r w:rsidR="00CE608E">
        <w:t xml:space="preserve"> </w:t>
      </w:r>
      <w:r w:rsidR="00540239">
        <w:t xml:space="preserve"> </w:t>
      </w:r>
      <w:r w:rsidR="00AD52E6">
        <w:t xml:space="preserve">According to </w:t>
      </w:r>
      <w:r w:rsidR="001A33F7">
        <w:t>NERC</w:t>
      </w:r>
      <w:r w:rsidR="00AD52E6">
        <w:t>,</w:t>
      </w:r>
      <w:r w:rsidR="001A33F7">
        <w:t xml:space="preserve"> </w:t>
      </w:r>
      <w:r w:rsidRPr="00554A11" w:rsidR="003254A5">
        <w:t>proposed Reliability Standard PRC-029-1</w:t>
      </w:r>
      <w:r w:rsidR="003254A5">
        <w:t xml:space="preserve"> addresses </w:t>
      </w:r>
      <w:r w:rsidRPr="00554A11" w:rsidR="00540239">
        <w:t>13</w:t>
      </w:r>
      <w:r w:rsidR="00540239">
        <w:t xml:space="preserve"> </w:t>
      </w:r>
      <w:r w:rsidR="003254A5">
        <w:t>of the</w:t>
      </w:r>
      <w:r w:rsidR="009B2CE2">
        <w:t xml:space="preserve"> </w:t>
      </w:r>
      <w:r w:rsidR="00A53D2C">
        <w:br/>
      </w:r>
      <w:r w:rsidR="00540239">
        <w:t>Order No. 901</w:t>
      </w:r>
      <w:r w:rsidRPr="00554A11" w:rsidR="00540239">
        <w:t xml:space="preserve"> </w:t>
      </w:r>
      <w:r w:rsidR="009B2CE2">
        <w:t>directives</w:t>
      </w:r>
      <w:r w:rsidRPr="00554A11" w:rsidR="00540239">
        <w:t>.</w:t>
      </w:r>
      <w:r>
        <w:rPr>
          <w:rStyle w:val="FootnoteReference"/>
        </w:rPr>
        <w:footnoteReference w:id="28"/>
      </w:r>
      <w:r w:rsidRPr="00554A11" w:rsidR="00540239">
        <w:t xml:space="preserve">  </w:t>
      </w:r>
    </w:p>
    <w:p w:rsidR="001563E4" w:rsidRPr="00E3025E" w:rsidP="008C190E" w14:paraId="045ECCE7" w14:textId="048941CA">
      <w:pPr>
        <w:pStyle w:val="Heading2"/>
        <w:rPr>
          <w:u w:val="none"/>
        </w:rPr>
      </w:pPr>
      <w:r w:rsidRPr="00E3025E">
        <w:rPr>
          <w:u w:val="none"/>
        </w:rPr>
        <w:t>Addition of Defined Term Ride-through to NERC Glossary of Terms</w:t>
      </w:r>
    </w:p>
    <w:p w:rsidR="00C70CAC" w:rsidRPr="001D36D9" w:rsidP="009A6DA5" w14:paraId="32B61AD6" w14:textId="3917AEBA">
      <w:pPr>
        <w:pStyle w:val="FERCparanumber"/>
      </w:pPr>
      <w:r w:rsidRPr="00CD28DF">
        <w:t>NERC</w:t>
      </w:r>
      <w:r w:rsidRPr="005E256B">
        <w:t xml:space="preserve"> states that proposed Reliability Standard PRC-029-1 uses the term Ride-through, which NERC proposes to include in the NERC Glossary of Terms.  NERC explains that </w:t>
      </w:r>
      <w:r w:rsidR="006330DE">
        <w:t xml:space="preserve">the term </w:t>
      </w:r>
      <w:r w:rsidRPr="005E256B">
        <w:t xml:space="preserve">Ride-through </w:t>
      </w:r>
      <w:r w:rsidR="00980330">
        <w:t xml:space="preserve">would </w:t>
      </w:r>
      <w:r w:rsidRPr="005E256B">
        <w:t xml:space="preserve">mean that “the plant/facility remains connected and continues to operate through voltage or frequency system </w:t>
      </w:r>
      <w:r w:rsidRPr="00F74953">
        <w:t>disturbances</w:t>
      </w:r>
      <w:r w:rsidRPr="005E256B">
        <w:t>.”</w:t>
      </w:r>
      <w:r>
        <w:rPr>
          <w:b/>
          <w:vertAlign w:val="superscript"/>
        </w:rPr>
        <w:footnoteReference w:id="29"/>
      </w:r>
    </w:p>
    <w:p w:rsidR="008C190E" w:rsidRPr="00E3025E" w:rsidP="008C190E" w14:paraId="3484E24D" w14:textId="3E42FCF3">
      <w:pPr>
        <w:pStyle w:val="Heading2"/>
        <w:rPr>
          <w:u w:val="none"/>
        </w:rPr>
      </w:pPr>
      <w:r w:rsidRPr="00E3025E">
        <w:rPr>
          <w:u w:val="none"/>
        </w:rPr>
        <w:t>Proposed</w:t>
      </w:r>
      <w:r w:rsidRPr="00E3025E">
        <w:rPr>
          <w:u w:val="none"/>
        </w:rPr>
        <w:t xml:space="preserve"> Reliability Standard PRC-024-4</w:t>
      </w:r>
    </w:p>
    <w:p w:rsidR="006B1863" w:rsidRPr="006E0235" w:rsidP="0064495A" w14:paraId="140D2957" w14:textId="5DE5976E">
      <w:pPr>
        <w:pStyle w:val="FERCparanumber"/>
        <w:numPr>
          <w:ilvl w:val="0"/>
          <w:numId w:val="11"/>
        </w:numPr>
        <w:rPr>
          <w:rStyle w:val="FootnoteReference"/>
          <w:rFonts w:eastAsiaTheme="majorEastAsia"/>
          <w:b w:val="0"/>
          <w:kern w:val="32"/>
          <w:szCs w:val="26"/>
          <w:u w:val="single"/>
          <w:vertAlign w:val="baseline"/>
        </w:rPr>
      </w:pPr>
      <w:r>
        <w:t>NERC explains that p</w:t>
      </w:r>
      <w:r w:rsidR="00211D81">
        <w:t>roposed</w:t>
      </w:r>
      <w:r w:rsidR="00EF4618">
        <w:t xml:space="preserve"> </w:t>
      </w:r>
      <w:r w:rsidR="00B12830">
        <w:t xml:space="preserve">Reliability Standard PRC-024-4 </w:t>
      </w:r>
      <w:r w:rsidR="007B0C78">
        <w:t>removes</w:t>
      </w:r>
      <w:r w:rsidR="00410233">
        <w:t xml:space="preserve"> language </w:t>
      </w:r>
      <w:r w:rsidR="007B0C78">
        <w:t>relating</w:t>
      </w:r>
      <w:r w:rsidR="00410233">
        <w:t xml:space="preserve"> to IBR functionality in</w:t>
      </w:r>
      <w:r w:rsidR="00ED3A38">
        <w:t xml:space="preserve"> Requirements R1, R2</w:t>
      </w:r>
      <w:r w:rsidR="00410233">
        <w:t xml:space="preserve">, R3, and R4 </w:t>
      </w:r>
      <w:r w:rsidR="00774ACD">
        <w:t xml:space="preserve">because </w:t>
      </w:r>
      <w:r w:rsidR="00410233">
        <w:t>IBR</w:t>
      </w:r>
      <w:r w:rsidR="00521B0F">
        <w:t xml:space="preserve"> performance</w:t>
      </w:r>
      <w:r w:rsidR="00ED39F2">
        <w:t xml:space="preserve"> requirements</w:t>
      </w:r>
      <w:r w:rsidR="00410233">
        <w:t xml:space="preserve"> </w:t>
      </w:r>
      <w:r w:rsidR="005F696A">
        <w:t>are</w:t>
      </w:r>
      <w:r w:rsidR="00410233">
        <w:t xml:space="preserve"> </w:t>
      </w:r>
      <w:r w:rsidR="00ED39F2">
        <w:t>included</w:t>
      </w:r>
      <w:r w:rsidR="00410233">
        <w:t xml:space="preserve"> in proposed Reliability Standard PRC-</w:t>
      </w:r>
      <w:r w:rsidR="00DB2754">
        <w:t>029</w:t>
      </w:r>
      <w:r w:rsidR="00A97D26">
        <w:t>-1</w:t>
      </w:r>
      <w:r w:rsidR="006E0235">
        <w:t>.</w:t>
      </w:r>
      <w:r w:rsidR="00CD6ABB">
        <w:rPr>
          <w:rStyle w:val="FootnoteReference"/>
        </w:rPr>
        <w:t xml:space="preserve"> </w:t>
      </w:r>
      <w:r w:rsidR="0068258A">
        <w:t xml:space="preserve"> </w:t>
      </w:r>
      <w:r w:rsidR="006E0235">
        <w:t xml:space="preserve">Instead, </w:t>
      </w:r>
      <w:r w:rsidR="009E543A">
        <w:t>p</w:t>
      </w:r>
      <w:r w:rsidR="00774ACD">
        <w:t xml:space="preserve">roposed </w:t>
      </w:r>
      <w:r w:rsidR="001263C5">
        <w:t>Reliability Standard PRC-024-4 would</w:t>
      </w:r>
      <w:r w:rsidR="00C7676C">
        <w:t xml:space="preserve"> </w:t>
      </w:r>
      <w:r w:rsidR="001D7157">
        <w:t>maintain capability-based requirements for synchronous generators, synchronous con</w:t>
      </w:r>
      <w:r w:rsidR="00317786">
        <w:t>densers</w:t>
      </w:r>
      <w:r w:rsidR="00DC084E">
        <w:t>,</w:t>
      </w:r>
      <w:r w:rsidR="00317786">
        <w:t xml:space="preserve"> and type 1 and type 2 </w:t>
      </w:r>
      <w:r w:rsidR="00317786">
        <w:t xml:space="preserve">wind </w:t>
      </w:r>
      <w:r w:rsidR="00936E90">
        <w:t>resources</w:t>
      </w:r>
      <w:r w:rsidR="00317786">
        <w:t>.</w:t>
      </w:r>
      <w:r>
        <w:rPr>
          <w:rStyle w:val="FootnoteReference"/>
        </w:rPr>
        <w:footnoteReference w:id="30"/>
      </w:r>
      <w:r w:rsidR="00F347BC">
        <w:t xml:space="preserve"> </w:t>
      </w:r>
      <w:r w:rsidR="00217FAC">
        <w:t xml:space="preserve"> </w:t>
      </w:r>
      <w:r w:rsidR="00FA1ED0">
        <w:t>NERC also note</w:t>
      </w:r>
      <w:r w:rsidR="00546284">
        <w:t>s</w:t>
      </w:r>
      <w:r w:rsidR="00FA1ED0">
        <w:t xml:space="preserve"> that</w:t>
      </w:r>
      <w:r w:rsidR="00FD620F">
        <w:t>,</w:t>
      </w:r>
      <w:r w:rsidR="00FA1ED0">
        <w:t xml:space="preserve"> consistent with the proposed definition for IBRs in the </w:t>
      </w:r>
      <w:r w:rsidRPr="00766A74" w:rsidR="00FA1ED0">
        <w:t xml:space="preserve">NERC </w:t>
      </w:r>
      <w:r w:rsidRPr="00CD20D2" w:rsidR="00FA1ED0">
        <w:t xml:space="preserve">Glossary </w:t>
      </w:r>
      <w:r w:rsidR="00676326">
        <w:t>of Terms</w:t>
      </w:r>
      <w:r w:rsidR="00FA1ED0">
        <w:t>,</w:t>
      </w:r>
      <w:r>
        <w:rPr>
          <w:b/>
          <w:vertAlign w:val="superscript"/>
        </w:rPr>
        <w:footnoteReference w:id="31"/>
      </w:r>
      <w:r w:rsidR="00FA1ED0">
        <w:t xml:space="preserve"> type 1 and </w:t>
      </w:r>
      <w:r w:rsidR="00820266">
        <w:t xml:space="preserve">type </w:t>
      </w:r>
      <w:r w:rsidR="00FA1ED0">
        <w:t xml:space="preserve">2 wind </w:t>
      </w:r>
      <w:r w:rsidR="00936E90">
        <w:t>resources</w:t>
      </w:r>
      <w:r w:rsidR="00FA1ED0">
        <w:t xml:space="preserve">, which </w:t>
      </w:r>
      <w:r w:rsidR="0078604A">
        <w:t xml:space="preserve">operate as asynchronous resources </w:t>
      </w:r>
      <w:r w:rsidR="00C360FB">
        <w:t xml:space="preserve">and </w:t>
      </w:r>
      <w:r w:rsidR="00FA1ED0">
        <w:t>lack modern controllers capable of riding through system events</w:t>
      </w:r>
      <w:r w:rsidR="00D227C4">
        <w:t xml:space="preserve"> </w:t>
      </w:r>
      <w:r w:rsidR="007A55C4">
        <w:t>as</w:t>
      </w:r>
      <w:r w:rsidR="006213E1">
        <w:t xml:space="preserve"> they do not have a power electronic device</w:t>
      </w:r>
      <w:r w:rsidR="00FA1ED0">
        <w:t>, are not considered IBRs.</w:t>
      </w:r>
      <w:r>
        <w:rPr>
          <w:rStyle w:val="FootnoteReference"/>
        </w:rPr>
        <w:footnoteReference w:id="32"/>
      </w:r>
      <w:r w:rsidR="00FA1ED0">
        <w:t xml:space="preserve"> </w:t>
      </w:r>
      <w:r w:rsidR="00546284">
        <w:t xml:space="preserve"> </w:t>
      </w:r>
      <w:r w:rsidR="00805B7C">
        <w:t xml:space="preserve">Moreover, </w:t>
      </w:r>
      <w:r>
        <w:t>NERC explain</w:t>
      </w:r>
      <w:r w:rsidR="00546284">
        <w:t>s</w:t>
      </w:r>
      <w:r>
        <w:t xml:space="preserve"> that</w:t>
      </w:r>
      <w:r w:rsidR="00FF63E6">
        <w:t>,</w:t>
      </w:r>
      <w:r>
        <w:t xml:space="preserve"> because synchronous units do not require performance-based requirements to </w:t>
      </w:r>
      <w:r w:rsidR="00413EDD">
        <w:t>R</w:t>
      </w:r>
      <w:r>
        <w:t>ide-through system disturbances</w:t>
      </w:r>
      <w:r w:rsidR="00FF63E6">
        <w:t>,</w:t>
      </w:r>
      <w:r>
        <w:t xml:space="preserve"> proposed Reliability Standard PRC-024-4 would continue to address </w:t>
      </w:r>
      <w:r w:rsidR="006A20B7">
        <w:t>R</w:t>
      </w:r>
      <w:r w:rsidR="001C26F0">
        <w:t>ide</w:t>
      </w:r>
      <w:r w:rsidRPr="00785C58" w:rsidR="7C4A4489">
        <w:t>-</w:t>
      </w:r>
      <w:r w:rsidR="001C26F0">
        <w:t xml:space="preserve">through </w:t>
      </w:r>
      <w:r w:rsidR="2BEB43C1">
        <w:t>compatible</w:t>
      </w:r>
      <w:r w:rsidR="001C26F0">
        <w:t xml:space="preserve"> </w:t>
      </w:r>
      <w:r>
        <w:t>frequency and voltage protection setting ranges for synchronous generators, synchronous condensers, and type 1 and type 2 wind</w:t>
      </w:r>
      <w:r w:rsidR="00C12C87">
        <w:t xml:space="preserve"> resources</w:t>
      </w:r>
      <w:r>
        <w:t>.</w:t>
      </w:r>
      <w:r>
        <w:rPr>
          <w:rStyle w:val="FootnoteReference"/>
        </w:rPr>
        <w:footnoteReference w:id="33"/>
      </w:r>
      <w:r>
        <w:rPr>
          <w:rStyle w:val="FootnoteReference"/>
        </w:rPr>
        <w:t xml:space="preserve"> </w:t>
      </w:r>
      <w:r>
        <w:t xml:space="preserve"> </w:t>
      </w:r>
    </w:p>
    <w:p w:rsidR="00100A58" w:rsidP="0064495A" w14:paraId="040F095B" w14:textId="15B59C64">
      <w:pPr>
        <w:pStyle w:val="FERCparanumber"/>
        <w:numPr>
          <w:ilvl w:val="0"/>
          <w:numId w:val="11"/>
        </w:numPr>
      </w:pPr>
      <w:r>
        <w:t xml:space="preserve">NERC </w:t>
      </w:r>
      <w:r w:rsidRPr="00D74005" w:rsidR="00FC05C8">
        <w:t>also</w:t>
      </w:r>
      <w:r w:rsidR="00FC05C8">
        <w:t xml:space="preserve"> </w:t>
      </w:r>
      <w:r>
        <w:t>include</w:t>
      </w:r>
      <w:r w:rsidR="00FC05C8">
        <w:t>s</w:t>
      </w:r>
      <w:r>
        <w:t xml:space="preserve"> minor edits in </w:t>
      </w:r>
      <w:r w:rsidR="00D9038B">
        <w:t xml:space="preserve">proposed Reliability Standard PRC-024-4 </w:t>
      </w:r>
      <w:r w:rsidR="00A47A5C">
        <w:t xml:space="preserve">to </w:t>
      </w:r>
      <w:r w:rsidR="007C0596">
        <w:t xml:space="preserve">maintain the </w:t>
      </w:r>
      <w:r w:rsidR="00FC05C8">
        <w:t>S</w:t>
      </w:r>
      <w:r w:rsidR="007C0596">
        <w:t>tandard</w:t>
      </w:r>
      <w:r w:rsidR="00C47272">
        <w:t xml:space="preserve">’s </w:t>
      </w:r>
      <w:r w:rsidR="00E743BD">
        <w:t xml:space="preserve">frequency and voltage protection capability-based requirements for </w:t>
      </w:r>
      <w:r w:rsidR="00777064">
        <w:t>synchronous resources.</w:t>
      </w:r>
      <w:r w:rsidR="00D9038B">
        <w:t xml:space="preserve">  </w:t>
      </w:r>
      <w:r w:rsidR="00690275">
        <w:t xml:space="preserve">Specifically, </w:t>
      </w:r>
      <w:r w:rsidR="006C171E">
        <w:t xml:space="preserve">NERC modified </w:t>
      </w:r>
      <w:r w:rsidR="00690275">
        <w:t xml:space="preserve">section 4.1.1 to restrict </w:t>
      </w:r>
      <w:r w:rsidR="00FC05C8">
        <w:t xml:space="preserve">the applicability of </w:t>
      </w:r>
      <w:r w:rsidR="00690275">
        <w:t xml:space="preserve">proposed </w:t>
      </w:r>
      <w:r w:rsidR="00926403">
        <w:t xml:space="preserve">Reliability Standard </w:t>
      </w:r>
      <w:r w:rsidR="00690275">
        <w:t>PRC-024-4 to synch</w:t>
      </w:r>
      <w:r w:rsidR="000D56FB">
        <w:t xml:space="preserve">ronous generators and type 1 and type 2 wind </w:t>
      </w:r>
      <w:r w:rsidR="00C12C87">
        <w:t>resources</w:t>
      </w:r>
      <w:r w:rsidR="000D56FB">
        <w:t xml:space="preserve">, </w:t>
      </w:r>
      <w:r w:rsidR="00520670">
        <w:t>and</w:t>
      </w:r>
      <w:r w:rsidR="000D56FB">
        <w:t xml:space="preserve"> </w:t>
      </w:r>
      <w:r w:rsidR="00AA26E7">
        <w:t xml:space="preserve">NERC added </w:t>
      </w:r>
      <w:r w:rsidR="000D56FB">
        <w:t xml:space="preserve">section 4.2.2 </w:t>
      </w:r>
      <w:r w:rsidR="00935C1B">
        <w:t>to include synchronous con</w:t>
      </w:r>
      <w:r w:rsidR="00E313B0">
        <w:t>densers and associated equipment</w:t>
      </w:r>
      <w:r w:rsidR="00A930C0">
        <w:t xml:space="preserve"> as applicable facilities</w:t>
      </w:r>
      <w:r w:rsidR="00E313B0">
        <w:t>.</w:t>
      </w:r>
      <w:r>
        <w:rPr>
          <w:rStyle w:val="FootnoteReference"/>
        </w:rPr>
        <w:footnoteReference w:id="34"/>
      </w:r>
      <w:r w:rsidR="00A94AF2">
        <w:t xml:space="preserve">  </w:t>
      </w:r>
      <w:r w:rsidR="00777064">
        <w:t xml:space="preserve">Further, </w:t>
      </w:r>
      <w:r w:rsidR="00377EEF">
        <w:t xml:space="preserve">NERC modified </w:t>
      </w:r>
      <w:r w:rsidR="00777064">
        <w:t>Requirements R1, R2, R3</w:t>
      </w:r>
      <w:r w:rsidR="00A7655A">
        <w:t>, and R4</w:t>
      </w:r>
      <w:r w:rsidR="004549E7">
        <w:t xml:space="preserve"> to </w:t>
      </w:r>
      <w:r w:rsidR="001E0E2D">
        <w:t xml:space="preserve">apply to </w:t>
      </w:r>
      <w:r w:rsidR="00FC05C8">
        <w:t>t</w:t>
      </w:r>
      <w:r w:rsidR="004549E7">
        <w:t xml:space="preserve">ransmission </w:t>
      </w:r>
      <w:r w:rsidR="00FC05C8">
        <w:t>o</w:t>
      </w:r>
      <w:r w:rsidR="004549E7">
        <w:t>wner</w:t>
      </w:r>
      <w:r w:rsidR="00D63995">
        <w:t xml:space="preserve">s that apply </w:t>
      </w:r>
      <w:r w:rsidR="002B7A3F">
        <w:t>frequency, voltage, and volts per hertz</w:t>
      </w:r>
      <w:r w:rsidR="00D63995">
        <w:t xml:space="preserve"> protection</w:t>
      </w:r>
      <w:r w:rsidR="004549E7">
        <w:t xml:space="preserve"> </w:t>
      </w:r>
      <w:r w:rsidR="00581765">
        <w:t>for</w:t>
      </w:r>
      <w:r w:rsidR="00DE3363">
        <w:t xml:space="preserve"> their synchronous condensers</w:t>
      </w:r>
      <w:r w:rsidR="00C234BC">
        <w:t xml:space="preserve">. </w:t>
      </w:r>
      <w:r w:rsidR="00036BD6">
        <w:t xml:space="preserve"> </w:t>
      </w:r>
    </w:p>
    <w:p w:rsidR="008C190E" w:rsidRPr="00E3025E" w:rsidP="00BA44EF" w14:paraId="3661F2FE" w14:textId="5E317832">
      <w:pPr>
        <w:pStyle w:val="Heading2"/>
        <w:rPr>
          <w:u w:val="none"/>
        </w:rPr>
      </w:pPr>
      <w:r w:rsidRPr="00E3025E">
        <w:rPr>
          <w:u w:val="none"/>
        </w:rPr>
        <w:t>Proposed Reliability Standard PRC-029-1</w:t>
      </w:r>
      <w:r w:rsidRPr="00E3025E" w:rsidR="004E1CC3">
        <w:rPr>
          <w:u w:val="none"/>
        </w:rPr>
        <w:t xml:space="preserve"> </w:t>
      </w:r>
    </w:p>
    <w:p w:rsidR="004E3BAF" w:rsidP="00B07078" w14:paraId="2ABBC352" w14:textId="6CC0AE85">
      <w:pPr>
        <w:pStyle w:val="FERCparanumber"/>
      </w:pPr>
      <w:r>
        <w:t xml:space="preserve">NERC explains that proposed Reliability Standard PRC-029-1 would address </w:t>
      </w:r>
      <w:r w:rsidR="00562CCC">
        <w:t xml:space="preserve">directives in Order No. 901 </w:t>
      </w:r>
      <w:r>
        <w:t xml:space="preserve">by establishing frequency and voltage </w:t>
      </w:r>
      <w:r w:rsidR="00824661">
        <w:t>R</w:t>
      </w:r>
      <w:r>
        <w:t>ide-through performance requirements for</w:t>
      </w:r>
      <w:r w:rsidR="00127216">
        <w:t xml:space="preserve"> generator owners</w:t>
      </w:r>
      <w:r w:rsidR="00ED4D91">
        <w:t xml:space="preserve"> </w:t>
      </w:r>
      <w:r w:rsidRPr="00597AD7" w:rsidR="00ED4D91">
        <w:t>of IBRs</w:t>
      </w:r>
      <w:r>
        <w:t xml:space="preserve">. </w:t>
      </w:r>
      <w:r w:rsidR="00AA2455">
        <w:t xml:space="preserve"> </w:t>
      </w:r>
    </w:p>
    <w:p w:rsidR="00D74005" w:rsidRPr="00E3025E" w:rsidP="0064495A" w14:paraId="77440F1C" w14:textId="3BD4BFC3">
      <w:pPr>
        <w:pStyle w:val="Heading3"/>
        <w:rPr>
          <w:u w:val="none"/>
        </w:rPr>
      </w:pPr>
      <w:r w:rsidRPr="00E3025E">
        <w:rPr>
          <w:u w:val="none"/>
        </w:rPr>
        <w:t>Proposed Requirement R1</w:t>
      </w:r>
    </w:p>
    <w:p w:rsidR="00AA2455" w:rsidP="00644F84" w14:paraId="20346513" w14:textId="5F5DD9F4">
      <w:pPr>
        <w:pStyle w:val="FERCparanumber"/>
        <w:numPr>
          <w:ilvl w:val="0"/>
          <w:numId w:val="11"/>
        </w:numPr>
      </w:pPr>
      <w:r w:rsidRPr="00D74005">
        <w:t>Under</w:t>
      </w:r>
      <w:r>
        <w:t xml:space="preserve"> proposed </w:t>
      </w:r>
      <w:r>
        <w:t>Requirement R1</w:t>
      </w:r>
      <w:r>
        <w:t xml:space="preserve"> each generator owner</w:t>
      </w:r>
      <w:r w:rsidR="005B4184">
        <w:t xml:space="preserve"> of a NERC-registered IBR</w:t>
      </w:r>
      <w:r>
        <w:t xml:space="preserve"> must</w:t>
      </w:r>
      <w:r w:rsidR="0084087D">
        <w:t xml:space="preserve"> </w:t>
      </w:r>
      <w:r w:rsidR="008C3AA5">
        <w:t>“</w:t>
      </w:r>
      <w:r w:rsidR="0084087D">
        <w:t xml:space="preserve">ensure </w:t>
      </w:r>
      <w:r w:rsidRPr="0038303C" w:rsidR="0038303C">
        <w:t>the design and operation is such that each IBR</w:t>
      </w:r>
      <w:r w:rsidR="0038303C">
        <w:t xml:space="preserve"> </w:t>
      </w:r>
      <w:r w:rsidRPr="0038303C" w:rsidR="0038303C">
        <w:t xml:space="preserve">meets or exceeds Ride-through requirements, in accordance with the </w:t>
      </w:r>
      <w:r w:rsidR="00D0640E">
        <w:t>‘</w:t>
      </w:r>
      <w:r w:rsidRPr="0038303C" w:rsidR="0038303C">
        <w:t>must Ride</w:t>
      </w:r>
      <w:r w:rsidR="00D0640E">
        <w:t>-</w:t>
      </w:r>
      <w:r w:rsidRPr="0038303C" w:rsidR="0038303C">
        <w:t>through</w:t>
      </w:r>
      <w:r w:rsidR="00F76596">
        <w:t xml:space="preserve"> zone’</w:t>
      </w:r>
      <w:r w:rsidR="00B60080">
        <w:t xml:space="preserve"> </w:t>
      </w:r>
      <w:r w:rsidR="00632257">
        <w:t xml:space="preserve">as </w:t>
      </w:r>
      <w:r w:rsidR="009621A4">
        <w:t>specified in Attachment 1</w:t>
      </w:r>
      <w:r w:rsidR="00B60080">
        <w:t>”</w:t>
      </w:r>
      <w:r w:rsidR="00AE6B8B">
        <w:t xml:space="preserve"> of </w:t>
      </w:r>
      <w:r w:rsidR="00471B0B">
        <w:t>proposed Reliability Standard PRC-02</w:t>
      </w:r>
      <w:r w:rsidR="00387976">
        <w:t>9</w:t>
      </w:r>
      <w:r w:rsidR="00471B0B">
        <w:t>-</w:t>
      </w:r>
      <w:r w:rsidR="00387976">
        <w:t>1</w:t>
      </w:r>
      <w:r w:rsidR="009621A4">
        <w:t xml:space="preserve">, except in </w:t>
      </w:r>
      <w:r w:rsidR="00243935">
        <w:t>the following</w:t>
      </w:r>
      <w:r w:rsidR="009621A4">
        <w:t xml:space="preserve"> </w:t>
      </w:r>
      <w:r w:rsidR="00243935">
        <w:t xml:space="preserve">four </w:t>
      </w:r>
      <w:r w:rsidR="009621A4">
        <w:t>conditions</w:t>
      </w:r>
      <w:r w:rsidR="00751ECB">
        <w:t xml:space="preserve"> specified by the Standard</w:t>
      </w:r>
      <w:r w:rsidR="00243935">
        <w:t>:</w:t>
      </w:r>
      <w:r>
        <w:rPr>
          <w:rStyle w:val="FootnoteReference"/>
        </w:rPr>
        <w:footnoteReference w:id="35"/>
      </w:r>
      <w:r w:rsidR="00A53D2C">
        <w:br/>
      </w:r>
      <w:r w:rsidR="00177072">
        <w:t xml:space="preserve">  </w:t>
      </w:r>
    </w:p>
    <w:p w:rsidR="00A60794" w:rsidP="005701FB" w14:paraId="4AB137B4" w14:textId="1C6A8D61">
      <w:pPr>
        <w:pStyle w:val="FERCparanumber"/>
        <w:numPr>
          <w:ilvl w:val="0"/>
          <w:numId w:val="34"/>
        </w:numPr>
        <w:spacing w:line="240" w:lineRule="auto"/>
      </w:pPr>
      <w:r w:rsidRPr="00A60794">
        <w:t xml:space="preserve">The IBR needed to electrically disconnect in order to clear a </w:t>
      </w:r>
      <w:r w:rsidRPr="00A60794">
        <w:t>fault;</w:t>
      </w:r>
    </w:p>
    <w:p w:rsidR="00CE1DE8" w:rsidRPr="00CE1DE8" w:rsidP="005701FB" w14:paraId="685E33A1" w14:textId="0623A35D">
      <w:pPr>
        <w:pStyle w:val="FERCparanumber"/>
        <w:numPr>
          <w:ilvl w:val="0"/>
          <w:numId w:val="34"/>
        </w:numPr>
        <w:spacing w:line="240" w:lineRule="auto"/>
      </w:pPr>
      <w:r w:rsidRPr="00CE1DE8">
        <w:t xml:space="preserve">The voltage at the </w:t>
      </w:r>
      <w:r w:rsidRPr="00CE1DE8">
        <w:t>high-side</w:t>
      </w:r>
      <w:r w:rsidRPr="00CE1DE8">
        <w:t xml:space="preserve"> of the main power transformer went outside an accepted hardware limitation, in accordance with Requirement R4;</w:t>
      </w:r>
    </w:p>
    <w:p w:rsidR="00CE1DE8" w:rsidRPr="00CE1DE8" w:rsidP="005701FB" w14:paraId="00EFA0A7" w14:textId="106D4EB6">
      <w:pPr>
        <w:pStyle w:val="FERCparanumber"/>
        <w:numPr>
          <w:ilvl w:val="0"/>
          <w:numId w:val="34"/>
        </w:numPr>
        <w:spacing w:line="240" w:lineRule="auto"/>
      </w:pPr>
      <w:r w:rsidRPr="00CE1DE8">
        <w:t xml:space="preserve">The instantaneous positive sequence voltage phase angle change is more than </w:t>
      </w:r>
      <w:r w:rsidR="0092406D">
        <w:t xml:space="preserve">25 </w:t>
      </w:r>
      <w:r w:rsidRPr="00CE1DE8">
        <w:t xml:space="preserve">electrical degrees at the </w:t>
      </w:r>
      <w:r w:rsidRPr="00CE1DE8">
        <w:t>high-side</w:t>
      </w:r>
      <w:r w:rsidRPr="00CE1DE8">
        <w:t xml:space="preserve"> of the main power transformer and is initiated by a non-fault switching event on the transmission system; or</w:t>
      </w:r>
    </w:p>
    <w:p w:rsidR="00CE1DE8" w:rsidP="004B0C29" w14:paraId="03F2CF22" w14:textId="2B74DC9B">
      <w:pPr>
        <w:pStyle w:val="FERCparanumber"/>
        <w:numPr>
          <w:ilvl w:val="0"/>
          <w:numId w:val="34"/>
        </w:numPr>
        <w:spacing w:line="240" w:lineRule="auto"/>
      </w:pPr>
      <w:r w:rsidRPr="00CE1DE8">
        <w:t xml:space="preserve">The Volts per Hz (V/Hz) at the </w:t>
      </w:r>
      <w:r w:rsidRPr="00CE1DE8">
        <w:t>high-side</w:t>
      </w:r>
      <w:r w:rsidRPr="00CE1DE8">
        <w:t xml:space="preserve"> of the main power transformer exceed 1.1 per unit for longer than 45 seconds or exceed 1.18 per unit for longer than 2 seconds.</w:t>
      </w:r>
      <w:r>
        <w:rPr>
          <w:rStyle w:val="FootnoteReference"/>
        </w:rPr>
        <w:footnoteReference w:id="36"/>
      </w:r>
    </w:p>
    <w:p w:rsidR="004B0C29" w:rsidP="00521B0F" w14:paraId="39AAC7F7" w14:textId="77777777">
      <w:pPr>
        <w:pStyle w:val="FERCparanumber"/>
        <w:numPr>
          <w:ilvl w:val="0"/>
          <w:numId w:val="0"/>
        </w:numPr>
        <w:spacing w:line="240" w:lineRule="auto"/>
      </w:pPr>
    </w:p>
    <w:p w:rsidR="00B67273" w:rsidP="007614B3" w14:paraId="021859A1" w14:textId="0D77CD92">
      <w:pPr>
        <w:pStyle w:val="FERCparanumber"/>
        <w:numPr>
          <w:ilvl w:val="0"/>
          <w:numId w:val="11"/>
        </w:numPr>
      </w:pPr>
      <w:r w:rsidRPr="00B2593F">
        <w:t xml:space="preserve">NERC </w:t>
      </w:r>
      <w:r w:rsidR="00005CE6">
        <w:t xml:space="preserve">explains that it </w:t>
      </w:r>
      <w:r w:rsidRPr="00B2593F">
        <w:t xml:space="preserve">adopted the </w:t>
      </w:r>
      <w:r w:rsidRPr="004E3BAF">
        <w:t>Institute</w:t>
      </w:r>
      <w:r w:rsidRPr="00B2593F">
        <w:t xml:space="preserve"> of Electrical and Electronics Engineers (IEEE) standard 2800-2022’s</w:t>
      </w:r>
      <w:r w:rsidRPr="008D4AD7">
        <w:t xml:space="preserve"> (IEEE</w:t>
      </w:r>
      <w:r w:rsidR="00502882">
        <w:t xml:space="preserve"> 2800-2022</w:t>
      </w:r>
      <w:r w:rsidRPr="008D4AD7">
        <w:t>)</w:t>
      </w:r>
      <w:r w:rsidRPr="00B2593F">
        <w:t xml:space="preserve"> terminology for “must ride-through zones</w:t>
      </w:r>
      <w:r w:rsidR="00BD4712">
        <w:t>,</w:t>
      </w:r>
      <w:r w:rsidRPr="00B2593F">
        <w:t>” which are defined in terms of voltage and frequency magnitude and time duration.</w:t>
      </w:r>
      <w:r>
        <w:rPr>
          <w:rStyle w:val="FootnoteReference"/>
        </w:rPr>
        <w:footnoteReference w:id="37"/>
      </w:r>
      <w:r w:rsidRPr="00B2593F">
        <w:t xml:space="preserve">  NERC </w:t>
      </w:r>
      <w:r w:rsidR="00404AE7">
        <w:t xml:space="preserve">explains that it </w:t>
      </w:r>
      <w:r w:rsidR="00B605EB">
        <w:t xml:space="preserve">considered but </w:t>
      </w:r>
      <w:r w:rsidRPr="00B2593F">
        <w:t xml:space="preserve">ultimately rejected Ride-through criteria </w:t>
      </w:r>
      <w:r w:rsidRPr="00B2593F" w:rsidR="00186BB9">
        <w:t xml:space="preserve">more stringent </w:t>
      </w:r>
      <w:r w:rsidRPr="00B2593F">
        <w:t xml:space="preserve">than </w:t>
      </w:r>
      <w:r w:rsidR="00D576D2">
        <w:t xml:space="preserve">set forth </w:t>
      </w:r>
      <w:r w:rsidRPr="00B2593F">
        <w:t xml:space="preserve">in IEEE 2800-2022 due to industry comments raised during </w:t>
      </w:r>
      <w:r w:rsidR="00394010">
        <w:t>the IBR</w:t>
      </w:r>
      <w:r w:rsidRPr="00B2593F">
        <w:t xml:space="preserve"> technical conference</w:t>
      </w:r>
      <w:r w:rsidR="00394010">
        <w:t xml:space="preserve"> conveyed by NERC</w:t>
      </w:r>
      <w:r w:rsidR="00005CE6">
        <w:t>.</w:t>
      </w:r>
      <w:r>
        <w:rPr>
          <w:rStyle w:val="FootnoteReference"/>
        </w:rPr>
        <w:footnoteReference w:id="38"/>
      </w:r>
      <w:r w:rsidRPr="00B2593F">
        <w:t xml:space="preserve"> </w:t>
      </w:r>
      <w:r w:rsidR="00005CE6">
        <w:t xml:space="preserve"> B</w:t>
      </w:r>
      <w:r w:rsidRPr="00B2593F">
        <w:t>ut</w:t>
      </w:r>
      <w:r w:rsidR="00005CE6">
        <w:t>, NERC adds,</w:t>
      </w:r>
      <w:r w:rsidR="003D7EF4">
        <w:t xml:space="preserve"> </w:t>
      </w:r>
      <w:r w:rsidR="00943975">
        <w:t xml:space="preserve">the </w:t>
      </w:r>
      <w:r w:rsidR="00F66F50">
        <w:t xml:space="preserve">must </w:t>
      </w:r>
      <w:r w:rsidR="006D6ABE">
        <w:t xml:space="preserve">Ride-through </w:t>
      </w:r>
      <w:r w:rsidR="00B00E60">
        <w:t xml:space="preserve">zones </w:t>
      </w:r>
      <w:r w:rsidR="00CA1F3A">
        <w:t>in</w:t>
      </w:r>
      <w:r w:rsidR="00B00E60">
        <w:t xml:space="preserve"> </w:t>
      </w:r>
      <w:r w:rsidR="00B35E30">
        <w:t xml:space="preserve">proposed Requirement R1 </w:t>
      </w:r>
      <w:r w:rsidR="00F04B2D">
        <w:t>are “more similar</w:t>
      </w:r>
      <w:r w:rsidR="00E97AE6">
        <w:t>”</w:t>
      </w:r>
      <w:r w:rsidR="00F04B2D">
        <w:t xml:space="preserve"> to IEEE</w:t>
      </w:r>
      <w:r w:rsidR="00E97AE6">
        <w:t xml:space="preserve"> 2800-2022’s Ride-through zones, </w:t>
      </w:r>
      <w:r w:rsidR="009B46E3">
        <w:t>are</w:t>
      </w:r>
      <w:r w:rsidR="00E97AE6">
        <w:t xml:space="preserve"> </w:t>
      </w:r>
      <w:r w:rsidRPr="00B2593F">
        <w:t>more robust than currently effective PRC-024-3</w:t>
      </w:r>
      <w:r w:rsidR="00132B03">
        <w:t>,</w:t>
      </w:r>
      <w:r w:rsidRPr="00B2593F">
        <w:t xml:space="preserve"> and </w:t>
      </w:r>
      <w:r w:rsidR="00B232BF">
        <w:t>are</w:t>
      </w:r>
      <w:r w:rsidRPr="00B2593F">
        <w:t xml:space="preserve"> </w:t>
      </w:r>
      <w:r w:rsidRPr="00B2593F">
        <w:t>sufficient to address the recommendations NERC identified in response to reports and assessments analyzing IBR loss of power events.</w:t>
      </w:r>
      <w:r>
        <w:rPr>
          <w:rStyle w:val="FootnoteReference"/>
        </w:rPr>
        <w:footnoteReference w:id="39"/>
      </w:r>
      <w:r>
        <w:t xml:space="preserve"> </w:t>
      </w:r>
    </w:p>
    <w:p w:rsidR="00B67273" w:rsidP="007614B3" w14:paraId="34167D51" w14:textId="14788103">
      <w:pPr>
        <w:pStyle w:val="FERCparanumber"/>
        <w:numPr>
          <w:ilvl w:val="0"/>
          <w:numId w:val="11"/>
        </w:numPr>
      </w:pPr>
      <w:r w:rsidRPr="00B2593F">
        <w:t xml:space="preserve">NERC </w:t>
      </w:r>
      <w:r w:rsidR="00602A92">
        <w:t>asserts</w:t>
      </w:r>
      <w:r w:rsidRPr="00B2593F">
        <w:t xml:space="preserve"> that </w:t>
      </w:r>
      <w:r w:rsidRPr="008D4AD7">
        <w:t xml:space="preserve">proposed </w:t>
      </w:r>
      <w:r w:rsidRPr="00B2593F">
        <w:t>Requirement R1 is responsive to the directive that NERC develop performance-based Reliability Standards that require IBRs to ride through voltage system disturbances and require post-disturbance ramp rates to return to pre-disturbance levels.</w:t>
      </w:r>
      <w:r>
        <w:rPr>
          <w:rStyle w:val="FootnoteReference"/>
        </w:rPr>
        <w:footnoteReference w:id="40"/>
      </w:r>
      <w:r w:rsidRPr="00B2593F">
        <w:t xml:space="preserve">  Similarly, NERC avers that proposed Requirement R1 is consistent with the directive that IBRs inject current and perform frequency support during a disturbance by requiring IBRs remain connected and fulfill control and regulation functions to </w:t>
      </w:r>
      <w:r w:rsidRPr="008D4AD7">
        <w:t>Ride-through</w:t>
      </w:r>
      <w:r w:rsidRPr="00B2593F">
        <w:t xml:space="preserve"> a system disturbance.</w:t>
      </w:r>
      <w:r>
        <w:rPr>
          <w:rStyle w:val="FootnoteReference"/>
        </w:rPr>
        <w:footnoteReference w:id="41"/>
      </w:r>
      <w:r w:rsidRPr="00B2593F">
        <w:t xml:space="preserve">  Additionally, NERC asserts that the provision in proposed Requirement R1 requiring IBRs to meet or exceed </w:t>
      </w:r>
      <w:r w:rsidRPr="008D4AD7">
        <w:t>Ride-through</w:t>
      </w:r>
      <w:r w:rsidRPr="00B2593F">
        <w:t xml:space="preserve"> requirements in Attachment 1 of proposed Reliability Standard PRC-029-1 that restricts the use of momentary cessation satisfies the directive to prohibit momentary cessation in the no-trip zone during disturbances.</w:t>
      </w:r>
      <w:r>
        <w:rPr>
          <w:rStyle w:val="FootnoteReference"/>
        </w:rPr>
        <w:footnoteReference w:id="42"/>
      </w:r>
      <w:r>
        <w:t xml:space="preserve">  </w:t>
      </w:r>
    </w:p>
    <w:p w:rsidR="00177072" w:rsidRPr="00E3025E" w:rsidP="007614B3" w14:paraId="2EB09EB8" w14:textId="60BDC3CD">
      <w:pPr>
        <w:pStyle w:val="Heading3"/>
        <w:rPr>
          <w:u w:val="none"/>
        </w:rPr>
      </w:pPr>
      <w:r w:rsidRPr="00E3025E">
        <w:rPr>
          <w:u w:val="none"/>
        </w:rPr>
        <w:t>Proposed Requirement R2</w:t>
      </w:r>
    </w:p>
    <w:p w:rsidR="0040116F" w:rsidP="0064495A" w14:paraId="157CDCC6" w14:textId="1BD2E7E3">
      <w:pPr>
        <w:pStyle w:val="FERCparanumber"/>
        <w:numPr>
          <w:ilvl w:val="0"/>
          <w:numId w:val="11"/>
        </w:numPr>
      </w:pPr>
      <w:r>
        <w:t xml:space="preserve">Under proposed </w:t>
      </w:r>
      <w:r>
        <w:t>Requirement R2</w:t>
      </w:r>
      <w:r w:rsidR="00623E75">
        <w:t>,</w:t>
      </w:r>
      <w:r>
        <w:t xml:space="preserve"> </w:t>
      </w:r>
      <w:r>
        <w:t xml:space="preserve">each generator </w:t>
      </w:r>
      <w:r w:rsidR="00A9281D">
        <w:t>owner of</w:t>
      </w:r>
      <w:r w:rsidR="00EB5C7F">
        <w:t xml:space="preserve"> a</w:t>
      </w:r>
      <w:r w:rsidR="00294E85">
        <w:t xml:space="preserve"> NERC-registered</w:t>
      </w:r>
      <w:r w:rsidR="00A9281D">
        <w:t xml:space="preserve"> IBR must</w:t>
      </w:r>
      <w:r w:rsidR="00DD64C0">
        <w:t xml:space="preserve"> </w:t>
      </w:r>
      <w:r w:rsidR="000D28F1">
        <w:t xml:space="preserve">adhere </w:t>
      </w:r>
      <w:r w:rsidR="008F16E8">
        <w:t xml:space="preserve">to </w:t>
      </w:r>
      <w:r w:rsidR="002D3763">
        <w:t xml:space="preserve">voltage </w:t>
      </w:r>
      <w:r w:rsidR="00A9281D">
        <w:t>R</w:t>
      </w:r>
      <w:r w:rsidR="002D3763">
        <w:t>ide-through performance criteria during system disturbances</w:t>
      </w:r>
      <w:r w:rsidR="005954BE">
        <w:t xml:space="preserve"> unless a documented hardware limitation exists in accordance with </w:t>
      </w:r>
      <w:r w:rsidR="005954BE">
        <w:t>Requirement R4.</w:t>
      </w:r>
      <w:r>
        <w:rPr>
          <w:rStyle w:val="FootnoteReference"/>
        </w:rPr>
        <w:footnoteReference w:id="43"/>
      </w:r>
      <w:r w:rsidR="00D11C8B">
        <w:t xml:space="preserve"> </w:t>
      </w:r>
      <w:r w:rsidR="00546E96">
        <w:t xml:space="preserve"> </w:t>
      </w:r>
      <w:r w:rsidRPr="00432BCD" w:rsidR="00432BCD">
        <w:t xml:space="preserve">Similar to Requirement R1, NERC asserts that proposed Requirement R2 satisfies the following directives:  </w:t>
      </w:r>
      <w:r w:rsidR="00DD5FED">
        <w:t>(</w:t>
      </w:r>
      <w:r w:rsidRPr="00432BCD" w:rsidR="00432BCD">
        <w:t xml:space="preserve">1) </w:t>
      </w:r>
      <w:r w:rsidR="004767E0">
        <w:t>that</w:t>
      </w:r>
      <w:r w:rsidRPr="00432BCD" w:rsidR="00432BCD">
        <w:t xml:space="preserve"> NERC develop performance-based Reliability Standards that require IBRs to ride through voltage system disturbances; and </w:t>
      </w:r>
      <w:r w:rsidR="000605D1">
        <w:t>(</w:t>
      </w:r>
      <w:r w:rsidRPr="00432BCD" w:rsidR="00432BCD">
        <w:t>2) that IBRs inject current and perform frequency support during a disturbance by requiring IBRs remain connected and fulfill control and regulation functions to Ride-through a system disturbance.</w:t>
      </w:r>
      <w:r>
        <w:rPr>
          <w:b/>
          <w:vertAlign w:val="superscript"/>
        </w:rPr>
        <w:footnoteReference w:id="44"/>
      </w:r>
      <w:r w:rsidRPr="00432BCD" w:rsidR="00432BCD">
        <w:t xml:space="preserve">  </w:t>
      </w:r>
    </w:p>
    <w:p w:rsidR="00432BCD" w:rsidRPr="00E3025E" w:rsidP="0064495A" w14:paraId="50BBAA15" w14:textId="4D5FDFA6">
      <w:pPr>
        <w:pStyle w:val="Heading3"/>
        <w:rPr>
          <w:u w:val="none"/>
        </w:rPr>
      </w:pPr>
      <w:r w:rsidRPr="00E3025E">
        <w:rPr>
          <w:u w:val="none"/>
        </w:rPr>
        <w:t>Proposed Requirement R3</w:t>
      </w:r>
    </w:p>
    <w:p w:rsidR="00EF3DA9" w:rsidP="0064495A" w14:paraId="76BFE534" w14:textId="31BD9BA7">
      <w:pPr>
        <w:pStyle w:val="FERCparanumber"/>
        <w:numPr>
          <w:ilvl w:val="0"/>
          <w:numId w:val="11"/>
        </w:numPr>
      </w:pPr>
      <w:r>
        <w:t xml:space="preserve">Under proposed </w:t>
      </w:r>
      <w:r>
        <w:t>Requirement R3</w:t>
      </w:r>
      <w:r w:rsidR="00406042">
        <w:t>,</w:t>
      </w:r>
      <w:r w:rsidR="004211AE">
        <w:t xml:space="preserve"> </w:t>
      </w:r>
      <w:r w:rsidR="00F61B3B">
        <w:t xml:space="preserve">each </w:t>
      </w:r>
      <w:r w:rsidR="004211AE">
        <w:t xml:space="preserve">generator owner </w:t>
      </w:r>
      <w:r w:rsidR="00F61B3B">
        <w:t>of</w:t>
      </w:r>
      <w:r w:rsidR="00B00BF2">
        <w:t xml:space="preserve"> a</w:t>
      </w:r>
      <w:r w:rsidR="00503943">
        <w:t xml:space="preserve"> NERC-registered </w:t>
      </w:r>
      <w:r w:rsidR="00F61B3B">
        <w:t xml:space="preserve">IBR </w:t>
      </w:r>
      <w:r w:rsidRPr="004E3BAF" w:rsidR="004211AE">
        <w:t>must</w:t>
      </w:r>
      <w:r>
        <w:t xml:space="preserve"> </w:t>
      </w:r>
      <w:r w:rsidR="00D97D64">
        <w:t xml:space="preserve">ensure that </w:t>
      </w:r>
      <w:r w:rsidR="00F61B3B">
        <w:t xml:space="preserve">its </w:t>
      </w:r>
      <w:r w:rsidR="00D97D64">
        <w:t>IBR adhere</w:t>
      </w:r>
      <w:r w:rsidR="00B00BF2">
        <w:t>s</w:t>
      </w:r>
      <w:r w:rsidR="00D97D64">
        <w:t xml:space="preserve"> to </w:t>
      </w:r>
      <w:r w:rsidR="004211AE">
        <w:t>R</w:t>
      </w:r>
      <w:r w:rsidR="006446EC">
        <w:t>ide</w:t>
      </w:r>
      <w:r w:rsidR="004A4306">
        <w:t>-</w:t>
      </w:r>
      <w:r w:rsidR="006446EC">
        <w:t xml:space="preserve">through requirements </w:t>
      </w:r>
      <w:r w:rsidR="004A4306">
        <w:t xml:space="preserve">during </w:t>
      </w:r>
      <w:r w:rsidR="004A3DB7">
        <w:t xml:space="preserve">frequency excursion </w:t>
      </w:r>
      <w:r w:rsidR="004B0A2B">
        <w:t>events</w:t>
      </w:r>
      <w:r w:rsidR="00525F22">
        <w:t xml:space="preserve"> </w:t>
      </w:r>
      <w:r w:rsidR="00F463B6">
        <w:t xml:space="preserve">by continuing to exchange current and remain electrically connected in accordance with </w:t>
      </w:r>
      <w:r w:rsidR="007C5462">
        <w:t xml:space="preserve">the “must ride-through zone” </w:t>
      </w:r>
      <w:r w:rsidR="00F463B6">
        <w:t>as specified in</w:t>
      </w:r>
      <w:r w:rsidR="007C5462">
        <w:t xml:space="preserve"> </w:t>
      </w:r>
      <w:r w:rsidR="000605D1">
        <w:t xml:space="preserve">the </w:t>
      </w:r>
      <w:r w:rsidR="00311EEB">
        <w:t xml:space="preserve">proposed Reliability </w:t>
      </w:r>
      <w:r w:rsidR="000605D1">
        <w:t xml:space="preserve">Standard’s </w:t>
      </w:r>
      <w:r w:rsidR="007C5462">
        <w:t xml:space="preserve">Attachment 2 </w:t>
      </w:r>
      <w:r w:rsidR="00F91CB6">
        <w:t>and</w:t>
      </w:r>
      <w:r w:rsidR="002A5FFD">
        <w:t xml:space="preserve"> while</w:t>
      </w:r>
      <w:r w:rsidR="00F91CB6">
        <w:t xml:space="preserve"> the </w:t>
      </w:r>
      <w:r w:rsidR="000B403D">
        <w:t>“</w:t>
      </w:r>
      <w:r w:rsidR="00F91CB6">
        <w:t>absolute rate of change of frequency (</w:t>
      </w:r>
      <w:r w:rsidR="00F91CB6">
        <w:t>Ro</w:t>
      </w:r>
      <w:r w:rsidR="000A3239">
        <w:t>CoF</w:t>
      </w:r>
      <w:r w:rsidR="000A3239">
        <w:t xml:space="preserve">) magnitude is less than or equal </w:t>
      </w:r>
      <w:r w:rsidR="000605D1">
        <w:t>to</w:t>
      </w:r>
      <w:r w:rsidR="006D16B0">
        <w:t xml:space="preserve"> </w:t>
      </w:r>
      <w:r w:rsidR="000A3239">
        <w:t>5 Hz/second</w:t>
      </w:r>
      <w:r w:rsidR="00BA44FF">
        <w:t>, unless a documented hardware limitation exists in accordance with Requirement R4.</w:t>
      </w:r>
      <w:r w:rsidR="004E27D8">
        <w:t>”</w:t>
      </w:r>
      <w:r>
        <w:rPr>
          <w:rStyle w:val="FootnoteReference"/>
        </w:rPr>
        <w:footnoteReference w:id="45"/>
      </w:r>
      <w:r w:rsidR="008556D1">
        <w:t xml:space="preserve">  </w:t>
      </w:r>
      <w:r w:rsidR="006B38E8">
        <w:t>NERC explains that p</w:t>
      </w:r>
      <w:r w:rsidRPr="008556D1" w:rsidR="008556D1">
        <w:t>roposed Requirement R3 contains a wider frequency Ride-through band than presently exists in Reliability Standard PRC-024-3 and is consistent with IEEE 2800-2022.</w:t>
      </w:r>
      <w:r>
        <w:rPr>
          <w:b/>
          <w:vertAlign w:val="superscript"/>
        </w:rPr>
        <w:footnoteReference w:id="46"/>
      </w:r>
    </w:p>
    <w:p w:rsidR="002A2A80" w:rsidP="003D47DA" w14:paraId="5B28C99A" w14:textId="690228EC">
      <w:pPr>
        <w:pStyle w:val="FERCparanumber"/>
        <w:numPr>
          <w:ilvl w:val="0"/>
          <w:numId w:val="11"/>
        </w:numPr>
      </w:pPr>
      <w:r w:rsidRPr="00A15FD1">
        <w:t xml:space="preserve">NERC </w:t>
      </w:r>
      <w:r w:rsidR="00311EEB">
        <w:t>asserts</w:t>
      </w:r>
      <w:r w:rsidRPr="00A15FD1">
        <w:t xml:space="preserve"> </w:t>
      </w:r>
      <w:r w:rsidR="00311EEB">
        <w:t>that</w:t>
      </w:r>
      <w:r w:rsidRPr="00A15FD1">
        <w:t xml:space="preserve"> proposed </w:t>
      </w:r>
      <w:r w:rsidRPr="004E3BAF">
        <w:t>Requirement</w:t>
      </w:r>
      <w:r w:rsidRPr="00A15FD1">
        <w:t xml:space="preserve"> R3 is responsive to the directive that NERC develop performance-based Reliability Standards that require IBRs to ride through frequency system disturbances.</w:t>
      </w:r>
      <w:r>
        <w:rPr>
          <w:rStyle w:val="FootnoteReference"/>
        </w:rPr>
        <w:footnoteReference w:id="47"/>
      </w:r>
      <w:r w:rsidRPr="00A15FD1">
        <w:t xml:space="preserve">  Additionally, NERC contends that proposed Requirement R3 satisfies the directive that IBRs inject current and perform frequency support during a disturbance by requiring IBRs remain connected and fulfill control and regulation functions to Ride-through a system disturbance.</w:t>
      </w:r>
      <w:r>
        <w:rPr>
          <w:rStyle w:val="FootnoteReference"/>
        </w:rPr>
        <w:footnoteReference w:id="48"/>
      </w:r>
      <w:r w:rsidRPr="00A15FD1">
        <w:t xml:space="preserve">  </w:t>
      </w:r>
    </w:p>
    <w:p w:rsidR="002A2A80" w:rsidRPr="00E3025E" w:rsidP="003D47DA" w14:paraId="083F7211" w14:textId="1002C426">
      <w:pPr>
        <w:pStyle w:val="Heading3"/>
        <w:rPr>
          <w:u w:val="none"/>
        </w:rPr>
      </w:pPr>
      <w:r w:rsidRPr="00E3025E">
        <w:rPr>
          <w:u w:val="none"/>
        </w:rPr>
        <w:t xml:space="preserve">Proposed Requirement R4 </w:t>
      </w:r>
    </w:p>
    <w:p w:rsidR="00A075F9" w:rsidP="00B60535" w14:paraId="370E8D17" w14:textId="07ABEA4D">
      <w:pPr>
        <w:pStyle w:val="FERCparanumber"/>
        <w:numPr>
          <w:ilvl w:val="0"/>
          <w:numId w:val="11"/>
        </w:numPr>
      </w:pPr>
      <w:r>
        <w:t>Proposed Requirement R4</w:t>
      </w:r>
      <w:r w:rsidR="00E13CEE">
        <w:t xml:space="preserve"> </w:t>
      </w:r>
      <w:r w:rsidR="00547A32">
        <w:t xml:space="preserve">would allow </w:t>
      </w:r>
      <w:r w:rsidR="005767FB">
        <w:t>each</w:t>
      </w:r>
      <w:r w:rsidR="00146876">
        <w:t xml:space="preserve"> generator owner of </w:t>
      </w:r>
      <w:r w:rsidR="00B00BF2">
        <w:t xml:space="preserve">an </w:t>
      </w:r>
      <w:r w:rsidR="00547A32">
        <w:t>existing legacy IBR</w:t>
      </w:r>
      <w:r w:rsidR="00C9137F">
        <w:t xml:space="preserve">, i.e., one in service by the effective date of </w:t>
      </w:r>
      <w:r w:rsidR="00CA59FA">
        <w:t>PRC-0</w:t>
      </w:r>
      <w:r w:rsidR="003459BA">
        <w:t>29-</w:t>
      </w:r>
      <w:r w:rsidR="00927198">
        <w:t>1</w:t>
      </w:r>
      <w:r w:rsidR="003459BA">
        <w:t>,</w:t>
      </w:r>
      <w:r w:rsidR="00547A32">
        <w:t xml:space="preserve"> to obtain an exemption to the voltage and frequency Ride-through </w:t>
      </w:r>
      <w:r w:rsidR="00D53FBA">
        <w:t>r</w:t>
      </w:r>
      <w:r w:rsidR="00547A32">
        <w:t>equirements if</w:t>
      </w:r>
      <w:r w:rsidR="00E82AF3">
        <w:t xml:space="preserve"> </w:t>
      </w:r>
      <w:r w:rsidR="007A7104">
        <w:t>the</w:t>
      </w:r>
      <w:r w:rsidR="00E82AF3">
        <w:t xml:space="preserve"> generator owner would need</w:t>
      </w:r>
      <w:r w:rsidR="00547A32">
        <w:t xml:space="preserve"> hardware replacements to comply </w:t>
      </w:r>
      <w:r w:rsidR="00D53FBA">
        <w:t xml:space="preserve">with Requirements R1 through R3. </w:t>
      </w:r>
      <w:r w:rsidR="00856001">
        <w:t xml:space="preserve"> Specifically, Requirement R4 provides that</w:t>
      </w:r>
      <w:r w:rsidR="00233049">
        <w:t xml:space="preserve"> </w:t>
      </w:r>
      <w:r>
        <w:t>“</w:t>
      </w:r>
      <w:r w:rsidR="00233049">
        <w:t>[e]</w:t>
      </w:r>
      <w:r w:rsidRPr="00A075F9">
        <w:t>ach Generator Owner identifying an IBR that is in-service by the effective date of PRC</w:t>
      </w:r>
      <w:r w:rsidR="00CA42B1">
        <w:t>-</w:t>
      </w:r>
      <w:r w:rsidRPr="00A075F9">
        <w:t xml:space="preserve">029-1, has known hardware </w:t>
      </w:r>
      <w:r w:rsidRPr="00A075F9" w:rsidR="00C464F6">
        <w:t>limitations that</w:t>
      </w:r>
      <w:r w:rsidRPr="00A075F9">
        <w:t xml:space="preserve"> prevent the IBR from meeting Ride-through criteria as detailed in Requirements R1-R3, and requires an exemption from specific</w:t>
      </w:r>
      <w:r w:rsidR="00C464F6">
        <w:t xml:space="preserve"> </w:t>
      </w:r>
      <w:r w:rsidRPr="00BD4287" w:rsidR="00BD4287">
        <w:t>Ride-through criteria shall</w:t>
      </w:r>
      <w:r w:rsidR="00AE0C5D">
        <w:t xml:space="preserve"> … </w:t>
      </w:r>
      <w:r w:rsidR="00841FDC">
        <w:t>[d]</w:t>
      </w:r>
      <w:r w:rsidRPr="00AE0C5D" w:rsidR="00AE0C5D">
        <w:t>ocument</w:t>
      </w:r>
      <w:r w:rsidRPr="00AE0C5D" w:rsidR="00AE0C5D">
        <w:t xml:space="preserve"> information supporting the identified hardware limitation</w:t>
      </w:r>
      <w:r w:rsidR="00013083">
        <w:t>…</w:t>
      </w:r>
      <w:r w:rsidR="00AE42AF">
        <w:t xml:space="preserve"> </w:t>
      </w:r>
      <w:r w:rsidR="00B0698B">
        <w:t>.</w:t>
      </w:r>
      <w:r>
        <w:t>”</w:t>
      </w:r>
      <w:r>
        <w:rPr>
          <w:rStyle w:val="FootnoteReference"/>
        </w:rPr>
        <w:footnoteReference w:id="49"/>
      </w:r>
      <w:r w:rsidR="00841FDC">
        <w:t xml:space="preserve"> </w:t>
      </w:r>
      <w:r w:rsidR="00AE7D65">
        <w:t xml:space="preserve"> </w:t>
      </w:r>
      <w:r w:rsidR="00653B75">
        <w:t>Each</w:t>
      </w:r>
      <w:r w:rsidR="007F1312">
        <w:t xml:space="preserve"> g</w:t>
      </w:r>
      <w:r w:rsidR="00AE7D65">
        <w:t>enerat</w:t>
      </w:r>
      <w:r w:rsidR="001C683C">
        <w:t>or</w:t>
      </w:r>
      <w:r w:rsidR="00AE7D65">
        <w:t xml:space="preserve"> owner</w:t>
      </w:r>
      <w:r w:rsidR="00653B75">
        <w:t xml:space="preserve"> of </w:t>
      </w:r>
      <w:r w:rsidR="00B00BF2">
        <w:t xml:space="preserve">an </w:t>
      </w:r>
      <w:r w:rsidR="00653B75">
        <w:t>IBR</w:t>
      </w:r>
      <w:r w:rsidR="00AE7D65">
        <w:t xml:space="preserve"> must </w:t>
      </w:r>
      <w:r w:rsidR="00F6097A">
        <w:t>p</w:t>
      </w:r>
      <w:r w:rsidRPr="00F6097A" w:rsidR="00F6097A">
        <w:t>rovide the information</w:t>
      </w:r>
      <w:r w:rsidR="00340C1B">
        <w:t xml:space="preserve"> (unless </w:t>
      </w:r>
      <w:r w:rsidR="00E23B10">
        <w:t xml:space="preserve">it is </w:t>
      </w:r>
      <w:r w:rsidR="002036AC">
        <w:t>consider</w:t>
      </w:r>
      <w:r w:rsidR="00E23B10">
        <w:t>ed</w:t>
      </w:r>
      <w:r w:rsidR="002036AC">
        <w:t xml:space="preserve"> </w:t>
      </w:r>
      <w:r w:rsidR="00976CE9">
        <w:t xml:space="preserve">proprietary </w:t>
      </w:r>
      <w:r w:rsidR="002036AC">
        <w:t>by</w:t>
      </w:r>
      <w:r w:rsidRPr="00F6097A" w:rsidR="00F6097A">
        <w:t xml:space="preserve"> the original equipment manufacturer</w:t>
      </w:r>
      <w:r w:rsidR="0015785F">
        <w:t>)</w:t>
      </w:r>
      <w:r w:rsidRPr="00F6097A" w:rsidR="00F6097A">
        <w:t xml:space="preserve"> to </w:t>
      </w:r>
      <w:r w:rsidR="00A63045">
        <w:t>each</w:t>
      </w:r>
      <w:r w:rsidR="00321337">
        <w:t xml:space="preserve"> </w:t>
      </w:r>
      <w:r w:rsidR="00A22C9A">
        <w:t>p</w:t>
      </w:r>
      <w:r w:rsidRPr="00F6097A" w:rsidR="00F6097A">
        <w:t xml:space="preserve">lanning </w:t>
      </w:r>
      <w:r w:rsidR="00321337">
        <w:t>c</w:t>
      </w:r>
      <w:r w:rsidRPr="00F6097A" w:rsidR="00F6097A">
        <w:t xml:space="preserve">oordinator, </w:t>
      </w:r>
      <w:r w:rsidR="00084697">
        <w:t>t</w:t>
      </w:r>
      <w:r w:rsidRPr="00F6097A" w:rsidR="00F6097A">
        <w:t xml:space="preserve">ransmission </w:t>
      </w:r>
      <w:r w:rsidR="00084697">
        <w:t>p</w:t>
      </w:r>
      <w:r w:rsidRPr="00F6097A" w:rsidR="00F6097A">
        <w:t xml:space="preserve">lanner, </w:t>
      </w:r>
      <w:r w:rsidR="00455319">
        <w:t>t</w:t>
      </w:r>
      <w:r w:rsidRPr="00F6097A" w:rsidR="00F6097A">
        <w:t xml:space="preserve">ransmission </w:t>
      </w:r>
      <w:r w:rsidR="00455319">
        <w:t>o</w:t>
      </w:r>
      <w:r w:rsidRPr="00F6097A" w:rsidR="00F6097A">
        <w:t xml:space="preserve">perator, </w:t>
      </w:r>
      <w:r w:rsidR="00DA43BD">
        <w:t xml:space="preserve">and </w:t>
      </w:r>
      <w:r w:rsidR="00455319">
        <w:t>r</w:t>
      </w:r>
      <w:r w:rsidRPr="00F6097A" w:rsidR="00F6097A">
        <w:t xml:space="preserve">eliability </w:t>
      </w:r>
      <w:r w:rsidR="00455319">
        <w:t>c</w:t>
      </w:r>
      <w:r w:rsidRPr="00F6097A" w:rsidR="00F6097A">
        <w:t>oordinator</w:t>
      </w:r>
      <w:r w:rsidR="003406FE">
        <w:t xml:space="preserve"> in the footp</w:t>
      </w:r>
      <w:r w:rsidR="00625323">
        <w:t xml:space="preserve">rint in which the </w:t>
      </w:r>
      <w:r w:rsidR="008B0AF1">
        <w:t xml:space="preserve">legacy </w:t>
      </w:r>
      <w:r w:rsidR="00625323">
        <w:t xml:space="preserve">IBR </w:t>
      </w:r>
      <w:r w:rsidR="001D5D85">
        <w:t>i</w:t>
      </w:r>
      <w:r w:rsidR="00625323">
        <w:t>s located</w:t>
      </w:r>
      <w:r w:rsidR="00DE191D">
        <w:t>.</w:t>
      </w:r>
      <w:r>
        <w:rPr>
          <w:rStyle w:val="FootnoteReference"/>
        </w:rPr>
        <w:footnoteReference w:id="50"/>
      </w:r>
      <w:r w:rsidR="00841FDC">
        <w:t xml:space="preserve"> </w:t>
      </w:r>
      <w:r w:rsidR="00BF720D">
        <w:t xml:space="preserve"> </w:t>
      </w:r>
      <w:r w:rsidR="005267FE">
        <w:t>Moreover, the</w:t>
      </w:r>
      <w:r w:rsidR="008B0AF1">
        <w:t xml:space="preserve"> </w:t>
      </w:r>
      <w:r w:rsidR="005267FE">
        <w:t>generat</w:t>
      </w:r>
      <w:r w:rsidR="001C683C">
        <w:t>or</w:t>
      </w:r>
      <w:r w:rsidR="005267FE">
        <w:t xml:space="preserve"> owner</w:t>
      </w:r>
      <w:r w:rsidR="00653B75">
        <w:t xml:space="preserve"> </w:t>
      </w:r>
      <w:r w:rsidR="005267FE">
        <w:t>must submit</w:t>
      </w:r>
      <w:r w:rsidR="00D36389">
        <w:t xml:space="preserve"> documentation to the relevant Compliance </w:t>
      </w:r>
      <w:r w:rsidR="007C421B">
        <w:t>Enfor</w:t>
      </w:r>
      <w:r w:rsidR="00FE47C1">
        <w:t>cement</w:t>
      </w:r>
      <w:r w:rsidR="00D36389">
        <w:t xml:space="preserve"> Authority</w:t>
      </w:r>
      <w:r w:rsidRPr="00A81589" w:rsidR="00A81589">
        <w:t>—</w:t>
      </w:r>
      <w:r w:rsidR="00D36389">
        <w:t>typically a Regional Entity</w:t>
      </w:r>
      <w:r w:rsidRPr="00A81589" w:rsidR="00A81589">
        <w:t>—</w:t>
      </w:r>
      <w:r w:rsidR="00415909">
        <w:t>that</w:t>
      </w:r>
      <w:r w:rsidR="00D36389">
        <w:t xml:space="preserve"> </w:t>
      </w:r>
      <w:r w:rsidR="00C17912">
        <w:t>“</w:t>
      </w:r>
      <w:r w:rsidRPr="00A13822" w:rsidR="00A13822">
        <w:t xml:space="preserve">must accept that all aspects of the documentation specified in proposed Requirement R4 have been provided by the Generator Owner before an exemption can </w:t>
      </w:r>
      <w:r w:rsidR="001C2B63">
        <w:t>[</w:t>
      </w:r>
      <w:r w:rsidR="00CF2B37">
        <w:t>be</w:t>
      </w:r>
      <w:r w:rsidR="001C2B63">
        <w:t>]</w:t>
      </w:r>
      <w:r w:rsidR="0006067D">
        <w:t xml:space="preserve"> </w:t>
      </w:r>
      <w:r w:rsidRPr="00A13822" w:rsidR="00A13822">
        <w:t>granted.</w:t>
      </w:r>
      <w:r w:rsidR="00C17912">
        <w:t>”</w:t>
      </w:r>
      <w:r>
        <w:rPr>
          <w:rStyle w:val="FootnoteReference"/>
        </w:rPr>
        <w:footnoteReference w:id="51"/>
      </w:r>
      <w:r w:rsidRPr="00A13822" w:rsidR="00A13822">
        <w:t xml:space="preserve"> </w:t>
      </w:r>
      <w:r w:rsidR="00501C31">
        <w:t xml:space="preserve"> </w:t>
      </w:r>
      <w:r w:rsidR="00994526">
        <w:t>According to NERC, t</w:t>
      </w:r>
      <w:r w:rsidRPr="00A13822" w:rsidR="00A13822">
        <w:t xml:space="preserve">his </w:t>
      </w:r>
      <w:r w:rsidR="00C115F8">
        <w:t>last requirement</w:t>
      </w:r>
      <w:r w:rsidRPr="00A13822" w:rsidR="00A13822">
        <w:t xml:space="preserve"> </w:t>
      </w:r>
      <w:r w:rsidR="00FB4828">
        <w:t>“</w:t>
      </w:r>
      <w:r w:rsidRPr="00A13822" w:rsidR="00A13822">
        <w:t xml:space="preserve">would ensure that NERC has visibility into each hardware exemption that is granted and that </w:t>
      </w:r>
      <w:r w:rsidRPr="0023483E" w:rsidR="0023483E">
        <w:t>[</w:t>
      </w:r>
      <w:r w:rsidRPr="0023483E" w:rsidR="00F42FDE">
        <w:t>it has</w:t>
      </w:r>
      <w:r w:rsidRPr="0023483E" w:rsidR="0023483E">
        <w:t>]</w:t>
      </w:r>
      <w:r w:rsidRPr="0023483E" w:rsidR="00A13822">
        <w:t xml:space="preserve"> been</w:t>
      </w:r>
      <w:r w:rsidRPr="00A13822" w:rsidR="00A13822">
        <w:t xml:space="preserve"> accurately limited to the particular limitation of the hardware.</w:t>
      </w:r>
      <w:r w:rsidR="00A13822">
        <w:t>”</w:t>
      </w:r>
      <w:r>
        <w:rPr>
          <w:rStyle w:val="FootnoteReference"/>
        </w:rPr>
        <w:footnoteReference w:id="52"/>
      </w:r>
    </w:p>
    <w:p w:rsidR="00676326" w:rsidP="00B60535" w14:paraId="20A0A3B2" w14:textId="29A722DE">
      <w:pPr>
        <w:pStyle w:val="FERCparanumber"/>
        <w:numPr>
          <w:ilvl w:val="0"/>
          <w:numId w:val="11"/>
        </w:numPr>
      </w:pPr>
      <w:r w:rsidRPr="00C213ED">
        <w:t xml:space="preserve">NERC </w:t>
      </w:r>
      <w:r w:rsidR="00613D81">
        <w:t>explains</w:t>
      </w:r>
      <w:r w:rsidR="00814178">
        <w:t xml:space="preserve"> that it </w:t>
      </w:r>
      <w:r w:rsidRPr="004E3BAF">
        <w:t>determined</w:t>
      </w:r>
      <w:r w:rsidRPr="00C213ED">
        <w:t xml:space="preserve"> that an exemption process for generator owners of legacy IBRs for voltage and frequency performance requirements </w:t>
      </w:r>
      <w:r w:rsidR="007F7F01">
        <w:t>i</w:t>
      </w:r>
      <w:r w:rsidRPr="00C213ED">
        <w:t xml:space="preserve">s necessary. </w:t>
      </w:r>
      <w:r w:rsidR="00BE27BA">
        <w:t xml:space="preserve"> </w:t>
      </w:r>
      <w:r w:rsidR="007F7F01">
        <w:t>In its petition,</w:t>
      </w:r>
      <w:r w:rsidR="00BE27BA">
        <w:t xml:space="preserve"> </w:t>
      </w:r>
      <w:r w:rsidRPr="00C213ED">
        <w:t>NERC expressed concern that hardware limitations would lead entities to take units offline to retrofit IBRs or risk noncompliance and could determine that the economically prudent course of action is to retire the units.</w:t>
      </w:r>
      <w:r>
        <w:rPr>
          <w:b/>
          <w:vertAlign w:val="superscript"/>
        </w:rPr>
        <w:footnoteReference w:id="53"/>
      </w:r>
      <w:r w:rsidRPr="00C213ED">
        <w:t xml:space="preserve">  </w:t>
      </w:r>
      <w:r w:rsidRPr="008B6BDF" w:rsidR="008B6BDF">
        <w:t xml:space="preserve">The implementation plan </w:t>
      </w:r>
      <w:r w:rsidR="008B6BDF">
        <w:t>gives generator owners</w:t>
      </w:r>
      <w:r w:rsidRPr="008B6BDF" w:rsidR="008B6BDF">
        <w:t xml:space="preserve"> 12</w:t>
      </w:r>
      <w:r w:rsidR="0078451B">
        <w:t xml:space="preserve"> </w:t>
      </w:r>
      <w:r w:rsidRPr="008B6BDF" w:rsidR="008B6BDF">
        <w:t>month</w:t>
      </w:r>
      <w:r w:rsidR="008B6BDF">
        <w:t>s</w:t>
      </w:r>
      <w:r w:rsidRPr="008B6BDF" w:rsidR="008B6BDF">
        <w:t xml:space="preserve"> </w:t>
      </w:r>
      <w:r w:rsidR="008B6BDF">
        <w:t>to request an</w:t>
      </w:r>
      <w:r w:rsidRPr="008B6BDF" w:rsidR="008B6BDF">
        <w:t xml:space="preserve"> exemption following the e</w:t>
      </w:r>
      <w:r w:rsidR="008E342B">
        <w:t>ffective</w:t>
      </w:r>
      <w:r w:rsidRPr="008B6BDF" w:rsidR="008B6BDF">
        <w:t xml:space="preserve"> date</w:t>
      </w:r>
      <w:r w:rsidR="008B6BDF">
        <w:t xml:space="preserve"> of the </w:t>
      </w:r>
      <w:r w:rsidR="00E23EF6">
        <w:t>Reliability</w:t>
      </w:r>
      <w:r w:rsidR="008B6BDF">
        <w:t xml:space="preserve"> Standard, after which NERC will not accept f</w:t>
      </w:r>
      <w:r w:rsidRPr="008B6BDF" w:rsidR="008B6BDF">
        <w:t>urther exemption</w:t>
      </w:r>
      <w:r w:rsidR="008B6BDF">
        <w:t xml:space="preserve"> </w:t>
      </w:r>
      <w:r w:rsidRPr="008B6BDF" w:rsidR="008B6BDF">
        <w:t>requests.</w:t>
      </w:r>
      <w:r>
        <w:rPr>
          <w:rStyle w:val="FootnoteReference"/>
        </w:rPr>
        <w:footnoteReference w:id="54"/>
      </w:r>
      <w:r w:rsidR="008B6BDF">
        <w:t xml:space="preserve">  </w:t>
      </w:r>
      <w:r w:rsidR="00B0244E">
        <w:t>If the hardware causing the limitation is replaced</w:t>
      </w:r>
      <w:r w:rsidR="008E342B">
        <w:t xml:space="preserve"> later</w:t>
      </w:r>
      <w:r w:rsidR="00B0244E">
        <w:t xml:space="preserve">, the generator owner must </w:t>
      </w:r>
      <w:r w:rsidR="00B0244E">
        <w:t>communicate t</w:t>
      </w:r>
      <w:r w:rsidR="00950879">
        <w:t>h</w:t>
      </w:r>
      <w:r w:rsidR="00B0244E">
        <w:t xml:space="preserve">is information to </w:t>
      </w:r>
      <w:r w:rsidR="00027462">
        <w:t xml:space="preserve">the </w:t>
      </w:r>
      <w:r w:rsidRPr="00974EF9" w:rsidR="00974EF9">
        <w:t xml:space="preserve">planning coordinator, transmission planner, reliability coordinator, and transmission operator </w:t>
      </w:r>
      <w:r w:rsidR="008C72D5">
        <w:t xml:space="preserve">within 90 days of the hardware </w:t>
      </w:r>
      <w:r w:rsidRPr="00B07078" w:rsidR="008C72D5">
        <w:t>replacement</w:t>
      </w:r>
      <w:r w:rsidR="008C72D5">
        <w:t xml:space="preserve"> </w:t>
      </w:r>
      <w:r w:rsidR="00B175B5">
        <w:t>and</w:t>
      </w:r>
      <w:r w:rsidR="00C47C4D">
        <w:t xml:space="preserve"> comply with Requirements R1</w:t>
      </w:r>
      <w:r w:rsidR="00927DDD">
        <w:t xml:space="preserve"> through</w:t>
      </w:r>
      <w:r w:rsidR="00172745">
        <w:t xml:space="preserve"> </w:t>
      </w:r>
      <w:r w:rsidR="00C47C4D">
        <w:t>R3</w:t>
      </w:r>
      <w:r w:rsidR="00B175B5">
        <w:t>.</w:t>
      </w:r>
      <w:r>
        <w:rPr>
          <w:rStyle w:val="FootnoteReference"/>
        </w:rPr>
        <w:footnoteReference w:id="55"/>
      </w:r>
      <w:r w:rsidR="009B63D1">
        <w:t xml:space="preserve"> </w:t>
      </w:r>
      <w:r w:rsidR="00214121">
        <w:t xml:space="preserve"> Further, NERC explains that the</w:t>
      </w:r>
      <w:r w:rsidR="00867DED">
        <w:t xml:space="preserve"> exemptions must be specific and limited to the voltage or frequency bands and associated duration that cannot be satisfied or as to the number of cumulative voltage deviations within a ten-second period that the equipment can Ride-through</w:t>
      </w:r>
      <w:r w:rsidR="00D2015F">
        <w:t xml:space="preserve"> if it</w:t>
      </w:r>
      <w:r w:rsidR="006D54BC">
        <w:t xml:space="preserve"> i</w:t>
      </w:r>
      <w:r w:rsidR="00D2015F">
        <w:t>s less than four deviations within any ten-second period.</w:t>
      </w:r>
      <w:r>
        <w:rPr>
          <w:rStyle w:val="FootnoteReference"/>
        </w:rPr>
        <w:footnoteReference w:id="56"/>
      </w:r>
      <w:r>
        <w:t xml:space="preserve">  </w:t>
      </w:r>
      <w:r>
        <w:tab/>
      </w:r>
      <w:r w:rsidR="003B2EB7">
        <w:t xml:space="preserve"> </w:t>
      </w:r>
    </w:p>
    <w:p w:rsidR="007C5634" w:rsidP="00E870DE" w14:paraId="06273CB6" w14:textId="3B53678F">
      <w:pPr>
        <w:pStyle w:val="FERCparanumber"/>
        <w:numPr>
          <w:ilvl w:val="0"/>
          <w:numId w:val="11"/>
        </w:numPr>
      </w:pPr>
      <w:r>
        <w:t>NERC</w:t>
      </w:r>
      <w:r w:rsidR="00A5669E">
        <w:t xml:space="preserve"> </w:t>
      </w:r>
      <w:r>
        <w:t xml:space="preserve">asserts </w:t>
      </w:r>
      <w:r w:rsidR="00636C34">
        <w:t>that proposed</w:t>
      </w:r>
      <w:r>
        <w:t xml:space="preserve"> </w:t>
      </w:r>
      <w:r w:rsidR="009026FB">
        <w:t>Requirement R4</w:t>
      </w:r>
      <w:r w:rsidR="00C72A60">
        <w:t xml:space="preserve"> </w:t>
      </w:r>
      <w:r w:rsidR="00C8710F">
        <w:t xml:space="preserve">meets the directive </w:t>
      </w:r>
      <w:r w:rsidR="0093079E">
        <w:t xml:space="preserve">that NERC determine </w:t>
      </w:r>
      <w:r w:rsidRPr="004E3BAF" w:rsidR="0093079E">
        <w:t>whether</w:t>
      </w:r>
      <w:r w:rsidR="0093079E">
        <w:t xml:space="preserve"> the new or modified Reliability Standards </w:t>
      </w:r>
      <w:r w:rsidR="00F6110D">
        <w:t xml:space="preserve">provide </w:t>
      </w:r>
      <w:r w:rsidR="00240CF0">
        <w:t xml:space="preserve">an opportunity for </w:t>
      </w:r>
      <w:r w:rsidR="00425A11">
        <w:t xml:space="preserve">certain </w:t>
      </w:r>
      <w:r w:rsidR="00240CF0">
        <w:t xml:space="preserve">generator owners of IBRs </w:t>
      </w:r>
      <w:r w:rsidR="00E97D8F">
        <w:t xml:space="preserve">that are currently in operation and unable to </w:t>
      </w:r>
      <w:r w:rsidR="006802F0">
        <w:t xml:space="preserve">meet </w:t>
      </w:r>
      <w:r w:rsidR="000E65D8">
        <w:t>performance requirements</w:t>
      </w:r>
      <w:r w:rsidR="00EE6776">
        <w:t xml:space="preserve"> to</w:t>
      </w:r>
      <w:r w:rsidR="000E65D8">
        <w:t xml:space="preserve"> request </w:t>
      </w:r>
      <w:r w:rsidR="00240CF0">
        <w:t>an exemption from voltage ride-through performance requirements</w:t>
      </w:r>
      <w:r w:rsidR="003B3657">
        <w:t>.</w:t>
      </w:r>
      <w:r>
        <w:rPr>
          <w:rStyle w:val="FootnoteReference"/>
        </w:rPr>
        <w:footnoteReference w:id="57"/>
      </w:r>
      <w:r w:rsidR="003B3657">
        <w:t xml:space="preserve"> </w:t>
      </w:r>
      <w:r w:rsidR="00745D51">
        <w:t xml:space="preserve"> </w:t>
      </w:r>
      <w:r w:rsidR="00724366">
        <w:t xml:space="preserve">NERC determined that a frequency exemption was </w:t>
      </w:r>
      <w:r w:rsidR="00FC20CD">
        <w:t>also</w:t>
      </w:r>
      <w:r w:rsidR="00724366">
        <w:t xml:space="preserve"> necessary and appropriate because of hardware-based capability limitations for a significant amount of installed IBRs, a concern that was raised during the </w:t>
      </w:r>
      <w:r w:rsidRPr="00C97929" w:rsidR="008C44E7">
        <w:t>IBR</w:t>
      </w:r>
      <w:r w:rsidR="008C44E7">
        <w:t xml:space="preserve"> </w:t>
      </w:r>
      <w:r w:rsidR="00724366">
        <w:t>technical conference</w:t>
      </w:r>
      <w:r w:rsidR="00724366">
        <w:t xml:space="preserve"> </w:t>
      </w:r>
      <w:r w:rsidRPr="0096360B" w:rsidR="00724366">
        <w:t xml:space="preserve">convened </w:t>
      </w:r>
      <w:r w:rsidRPr="0096360B" w:rsidR="00DA08AE">
        <w:t>by NERC</w:t>
      </w:r>
      <w:r w:rsidR="00724366">
        <w:t>.</w:t>
      </w:r>
      <w:r>
        <w:rPr>
          <w:rStyle w:val="FootnoteReference"/>
        </w:rPr>
        <w:footnoteReference w:id="58"/>
      </w:r>
      <w:r w:rsidR="00724366">
        <w:t xml:space="preserve">  </w:t>
      </w:r>
    </w:p>
    <w:p w:rsidR="001C4CEB" w:rsidP="00E870DE" w14:paraId="015C5788" w14:textId="41B327AF">
      <w:pPr>
        <w:pStyle w:val="FERCparanumber"/>
        <w:numPr>
          <w:ilvl w:val="0"/>
          <w:numId w:val="11"/>
        </w:numPr>
      </w:pPr>
      <w:r>
        <w:t>Regarding</w:t>
      </w:r>
      <w:r w:rsidR="0039190D">
        <w:t xml:space="preserve"> the </w:t>
      </w:r>
      <w:r w:rsidRPr="004E3BAF" w:rsidR="0039190D">
        <w:t>Commission</w:t>
      </w:r>
      <w:r w:rsidR="0039190D">
        <w:t xml:space="preserve"> directive to </w:t>
      </w:r>
      <w:r w:rsidRPr="00861B4D" w:rsidR="0039190D">
        <w:t>NERC to develop new or modified Reliability Standards to mitigate the reliability impacts to the Bulk-Power System of</w:t>
      </w:r>
      <w:r w:rsidR="008255EE">
        <w:t xml:space="preserve"> </w:t>
      </w:r>
      <w:r w:rsidR="008255EE">
        <w:t>approved</w:t>
      </w:r>
      <w:r w:rsidRPr="00861B4D" w:rsidR="0039190D">
        <w:t xml:space="preserve"> exemption</w:t>
      </w:r>
      <w:r w:rsidR="008255EE">
        <w:t>s</w:t>
      </w:r>
      <w:r>
        <w:t>,</w:t>
      </w:r>
      <w:r w:rsidR="008255EE">
        <w:t xml:space="preserve"> NERC claims that the </w:t>
      </w:r>
      <w:r w:rsidR="006544E2">
        <w:t xml:space="preserve">reliability impacts of voltage </w:t>
      </w:r>
      <w:r w:rsidR="00170974">
        <w:t>and</w:t>
      </w:r>
      <w:r w:rsidR="006544E2">
        <w:t xml:space="preserve"> frequency </w:t>
      </w:r>
      <w:r w:rsidR="00170974">
        <w:t>r</w:t>
      </w:r>
      <w:r w:rsidR="006544E2">
        <w:t>ide</w:t>
      </w:r>
      <w:r w:rsidR="00532CFF">
        <w:t>-</w:t>
      </w:r>
      <w:r w:rsidR="006544E2">
        <w:t>through exemptions are mitigated by existing Reliability Standards</w:t>
      </w:r>
      <w:r w:rsidR="007E40F2">
        <w:t xml:space="preserve"> that</w:t>
      </w:r>
      <w:r w:rsidR="006544E2">
        <w:t xml:space="preserve"> address the responsibilities of </w:t>
      </w:r>
      <w:r w:rsidR="00532CFF">
        <w:t>t</w:t>
      </w:r>
      <w:r w:rsidR="006544E2">
        <w:t xml:space="preserve">ransmission </w:t>
      </w:r>
      <w:r w:rsidR="00532CFF">
        <w:t>p</w:t>
      </w:r>
      <w:r w:rsidR="006544E2">
        <w:t xml:space="preserve">lanners, </w:t>
      </w:r>
      <w:r w:rsidR="00532CFF">
        <w:t>p</w:t>
      </w:r>
      <w:r w:rsidR="006544E2">
        <w:t xml:space="preserve">lanning </w:t>
      </w:r>
      <w:r w:rsidR="00532CFF">
        <w:t>c</w:t>
      </w:r>
      <w:r w:rsidR="006544E2">
        <w:t xml:space="preserve">oordinators, </w:t>
      </w:r>
      <w:r w:rsidR="00532CFF">
        <w:t>r</w:t>
      </w:r>
      <w:r w:rsidR="006544E2">
        <w:t xml:space="preserve">eliability </w:t>
      </w:r>
      <w:r w:rsidR="00532CFF">
        <w:t>c</w:t>
      </w:r>
      <w:r w:rsidR="006544E2">
        <w:t xml:space="preserve">oordinators, and </w:t>
      </w:r>
      <w:r w:rsidR="00532CFF">
        <w:t>t</w:t>
      </w:r>
      <w:r w:rsidR="006544E2">
        <w:t xml:space="preserve">ransmission </w:t>
      </w:r>
      <w:r w:rsidR="00532CFF">
        <w:t>o</w:t>
      </w:r>
      <w:r w:rsidR="006544E2">
        <w:t>perators.</w:t>
      </w:r>
      <w:r>
        <w:rPr>
          <w:rStyle w:val="FootnoteReference"/>
        </w:rPr>
        <w:footnoteReference w:id="59"/>
      </w:r>
      <w:r w:rsidR="006544E2">
        <w:t xml:space="preserve"> </w:t>
      </w:r>
      <w:r w:rsidR="00C41C13">
        <w:t xml:space="preserve"> </w:t>
      </w:r>
      <w:r w:rsidR="00166C44">
        <w:t xml:space="preserve">Moreover, </w:t>
      </w:r>
      <w:r w:rsidR="00625CBB">
        <w:t>under Milestone 4 of the Order No. 901 Work Plan,</w:t>
      </w:r>
      <w:r>
        <w:rPr>
          <w:rStyle w:val="FootnoteReference"/>
        </w:rPr>
        <w:footnoteReference w:id="60"/>
      </w:r>
      <w:r w:rsidR="006544E2">
        <w:t xml:space="preserve"> NERC</w:t>
      </w:r>
      <w:r w:rsidR="00E85695">
        <w:t xml:space="preserve"> </w:t>
      </w:r>
      <w:r w:rsidR="00D478B7">
        <w:t xml:space="preserve">indicates that </w:t>
      </w:r>
      <w:r w:rsidR="00337C36">
        <w:t xml:space="preserve">it </w:t>
      </w:r>
      <w:r w:rsidR="008C2C9B">
        <w:t>“</w:t>
      </w:r>
      <w:r w:rsidR="00337C36">
        <w:t xml:space="preserve">will develop </w:t>
      </w:r>
      <w:r w:rsidR="006544E2">
        <w:t>Reliability Standards</w:t>
      </w:r>
      <w:r w:rsidR="00337C36">
        <w:t xml:space="preserve"> that</w:t>
      </w:r>
      <w:r w:rsidR="006544E2">
        <w:t xml:space="preserve"> will </w:t>
      </w:r>
      <w:r w:rsidR="008C2C9B">
        <w:t xml:space="preserve">specifically </w:t>
      </w:r>
      <w:r w:rsidR="006544E2">
        <w:t>require evaluations that</w:t>
      </w:r>
      <w:r w:rsidR="00EB6286">
        <w:t xml:space="preserve"> </w:t>
      </w:r>
      <w:r w:rsidR="006544E2">
        <w:t>include accurately</w:t>
      </w:r>
      <w:r w:rsidR="00337C36">
        <w:t>-</w:t>
      </w:r>
      <w:r w:rsidR="006544E2">
        <w:t>modeled performance capabilities of IBR</w:t>
      </w:r>
      <w:r w:rsidR="007A0407">
        <w:t>s</w:t>
      </w:r>
      <w:r w:rsidR="006544E2">
        <w:t xml:space="preserve">, inclusive of any documented </w:t>
      </w:r>
      <w:r w:rsidR="004E2EC2">
        <w:t>R</w:t>
      </w:r>
      <w:r w:rsidR="004A1E95">
        <w:t>ide</w:t>
      </w:r>
      <w:r w:rsidR="004E2EC2">
        <w:t>-</w:t>
      </w:r>
      <w:r w:rsidR="004A1E95">
        <w:t>through</w:t>
      </w:r>
      <w:r w:rsidR="00626E6F">
        <w:t xml:space="preserve"> </w:t>
      </w:r>
      <w:r w:rsidR="006544E2">
        <w:t xml:space="preserve">criteria exemption accepted through the process detailed in </w:t>
      </w:r>
      <w:r w:rsidR="00F264B5">
        <w:t>proposed</w:t>
      </w:r>
      <w:r w:rsidR="008C2C9B">
        <w:t xml:space="preserve"> Reliability [Standard] PRC-029-1</w:t>
      </w:r>
      <w:r w:rsidR="00F264B5">
        <w:t xml:space="preserve"> </w:t>
      </w:r>
      <w:r w:rsidR="006544E2">
        <w:t xml:space="preserve">Requirement R4, and that </w:t>
      </w:r>
      <w:r w:rsidR="008C2C9B">
        <w:t xml:space="preserve">evaluate for </w:t>
      </w:r>
      <w:r w:rsidR="006544E2">
        <w:t>reliability impacts</w:t>
      </w:r>
      <w:r w:rsidR="008C2C9B">
        <w:t>”</w:t>
      </w:r>
      <w:r w:rsidR="006544E2">
        <w:t xml:space="preserve"> on the </w:t>
      </w:r>
      <w:r w:rsidR="00582770">
        <w:t>Bulk-Power System</w:t>
      </w:r>
      <w:r w:rsidR="00F1092B">
        <w:t>.</w:t>
      </w:r>
      <w:r>
        <w:rPr>
          <w:rStyle w:val="FootnoteReference"/>
        </w:rPr>
        <w:footnoteReference w:id="61"/>
      </w:r>
    </w:p>
    <w:p w:rsidR="009E6B0F" w:rsidRPr="00E3025E" w:rsidP="004E3BAF" w14:paraId="0CA8086E" w14:textId="6C8EE5DE">
      <w:pPr>
        <w:pStyle w:val="Heading1"/>
        <w:rPr>
          <w:u w:val="none"/>
        </w:rPr>
      </w:pPr>
      <w:r w:rsidRPr="00E3025E">
        <w:rPr>
          <w:u w:val="none"/>
        </w:rPr>
        <w:t xml:space="preserve">Discussion </w:t>
      </w:r>
    </w:p>
    <w:p w:rsidR="005D6D8D" w:rsidP="00AE5E14" w14:paraId="6651CB5F" w14:textId="31FC7375">
      <w:pPr>
        <w:pStyle w:val="FERCparanumber"/>
        <w:numPr>
          <w:ilvl w:val="0"/>
          <w:numId w:val="11"/>
        </w:numPr>
      </w:pPr>
      <w:r w:rsidRPr="004E3BAF">
        <w:t>Pursuant</w:t>
      </w:r>
      <w:r>
        <w:t xml:space="preserve"> to section 215(d)</w:t>
      </w:r>
      <w:r w:rsidR="00F71DE5">
        <w:t>(2)</w:t>
      </w:r>
      <w:r>
        <w:t xml:space="preserve"> of the FPA, t</w:t>
      </w:r>
      <w:r w:rsidR="004B5CFE">
        <w:t>h</w:t>
      </w:r>
      <w:r w:rsidR="00547E4C">
        <w:t>e</w:t>
      </w:r>
      <w:r w:rsidR="00454AB8">
        <w:t xml:space="preserve"> Commission proposes to approve </w:t>
      </w:r>
      <w:r w:rsidR="00E85A14">
        <w:t xml:space="preserve">the </w:t>
      </w:r>
      <w:r w:rsidR="00454AB8">
        <w:t xml:space="preserve">proposed </w:t>
      </w:r>
      <w:r w:rsidR="00E85A14">
        <w:t xml:space="preserve">definition of </w:t>
      </w:r>
      <w:r w:rsidR="004E2EC2">
        <w:t>R</w:t>
      </w:r>
      <w:r w:rsidR="00E85A14">
        <w:t xml:space="preserve">ide-through and </w:t>
      </w:r>
      <w:r w:rsidR="00F264B5">
        <w:t xml:space="preserve">proposed </w:t>
      </w:r>
      <w:r w:rsidR="00454AB8">
        <w:t>Reliability Standard</w:t>
      </w:r>
      <w:r w:rsidR="00BC13A5">
        <w:t>s</w:t>
      </w:r>
      <w:r w:rsidR="00454AB8">
        <w:t xml:space="preserve"> PRC-024-4</w:t>
      </w:r>
      <w:r w:rsidR="00BC13A5">
        <w:t xml:space="preserve"> and PRC-029</w:t>
      </w:r>
      <w:r w:rsidR="00E85A14">
        <w:t>-1</w:t>
      </w:r>
      <w:r w:rsidR="00454AB8">
        <w:t xml:space="preserve"> as </w:t>
      </w:r>
      <w:r w:rsidRPr="00E85A14" w:rsidR="00E85A14">
        <w:t xml:space="preserve">just, reasonable, not unduly </w:t>
      </w:r>
      <w:r w:rsidRPr="00E85A14" w:rsidR="000D2B7B">
        <w:t>discriminatory</w:t>
      </w:r>
      <w:r w:rsidRPr="00E85A14" w:rsidR="00E85A14">
        <w:t xml:space="preserve"> or preferential</w:t>
      </w:r>
      <w:r w:rsidR="00B954D4">
        <w:t>,</w:t>
      </w:r>
      <w:r w:rsidRPr="00E85A14" w:rsidR="00E85A14">
        <w:t xml:space="preserve"> and in the public interest.</w:t>
      </w:r>
      <w:r w:rsidR="00E85A14">
        <w:t xml:space="preserve"> </w:t>
      </w:r>
      <w:r w:rsidR="00454AB8">
        <w:t xml:space="preserve"> </w:t>
      </w:r>
      <w:r w:rsidR="00F96DA4">
        <w:t xml:space="preserve">We also propose to </w:t>
      </w:r>
      <w:r>
        <w:t>approve the associated violation risk factors, violation se</w:t>
      </w:r>
      <w:r w:rsidR="00EA4B5E">
        <w:t>ve</w:t>
      </w:r>
      <w:r>
        <w:t xml:space="preserve">rity levels, implementation plans, and effective dates of Reliability </w:t>
      </w:r>
      <w:r>
        <w:t xml:space="preserve">Standards PRC-024-4 and PRC-029-1, </w:t>
      </w:r>
      <w:r w:rsidR="00777BBE">
        <w:t xml:space="preserve">as well as </w:t>
      </w:r>
      <w:r w:rsidR="0017367B">
        <w:t>to approve</w:t>
      </w:r>
      <w:r>
        <w:t xml:space="preserve"> the </w:t>
      </w:r>
      <w:r w:rsidRPr="001E15BE">
        <w:t>retirement</w:t>
      </w:r>
      <w:r>
        <w:t xml:space="preserve"> of currently effective </w:t>
      </w:r>
      <w:r w:rsidR="0009650A">
        <w:t xml:space="preserve">Reliability Standard </w:t>
      </w:r>
      <w:r>
        <w:t xml:space="preserve">PRC-024-3.  </w:t>
      </w:r>
    </w:p>
    <w:p w:rsidR="000574F7" w:rsidP="00AE5E14" w14:paraId="771F6106" w14:textId="21784791">
      <w:pPr>
        <w:pStyle w:val="FERCparanumber"/>
        <w:numPr>
          <w:ilvl w:val="0"/>
          <w:numId w:val="11"/>
        </w:numPr>
      </w:pPr>
      <w:r>
        <w:t xml:space="preserve">We propose to find </w:t>
      </w:r>
      <w:r w:rsidR="00717FD9">
        <w:t xml:space="preserve">that </w:t>
      </w:r>
      <w:r>
        <w:t>the</w:t>
      </w:r>
      <w:r w:rsidR="00F96DA4">
        <w:t xml:space="preserve"> </w:t>
      </w:r>
      <w:r w:rsidR="006411D5">
        <w:t>proposed Reliability Standards a</w:t>
      </w:r>
      <w:r w:rsidR="00717FD9">
        <w:t>re</w:t>
      </w:r>
      <w:r w:rsidR="006411D5">
        <w:t xml:space="preserve"> </w:t>
      </w:r>
      <w:r w:rsidR="00501E4A">
        <w:t>consis</w:t>
      </w:r>
      <w:r w:rsidR="00AD308D">
        <w:t>tent</w:t>
      </w:r>
      <w:r w:rsidR="00283C8A">
        <w:t xml:space="preserve"> with the performance requirement directives </w:t>
      </w:r>
      <w:r w:rsidR="00C91050">
        <w:t>of Order No. 901</w:t>
      </w:r>
      <w:r w:rsidR="006850D0">
        <w:t xml:space="preserve"> </w:t>
      </w:r>
      <w:r w:rsidR="006411D5">
        <w:t>as</w:t>
      </w:r>
      <w:r w:rsidR="006F7A42">
        <w:t xml:space="preserve"> generator owners of</w:t>
      </w:r>
      <w:r w:rsidR="006411D5">
        <w:t xml:space="preserve"> </w:t>
      </w:r>
      <w:r w:rsidR="005B4184">
        <w:t xml:space="preserve">NERC-registered </w:t>
      </w:r>
      <w:r w:rsidR="006F7A42">
        <w:t xml:space="preserve">IBRs will be subject to the </w:t>
      </w:r>
      <w:r w:rsidR="00FC6C56">
        <w:t>R</w:t>
      </w:r>
      <w:r w:rsidR="006F7A42">
        <w:t>ide-through performance requirements of proposed Reliability Standard PRC-029-1</w:t>
      </w:r>
      <w:r w:rsidR="00CB1D45">
        <w:t xml:space="preserve"> unless e</w:t>
      </w:r>
      <w:r w:rsidR="00E33B06">
        <w:t>xempted under that standard</w:t>
      </w:r>
      <w:r w:rsidR="006F7A42">
        <w:t xml:space="preserve">.  </w:t>
      </w:r>
      <w:r w:rsidR="00F401B9">
        <w:t>The Commission seeks comment</w:t>
      </w:r>
      <w:r w:rsidR="00BD01EB">
        <w:t>s</w:t>
      </w:r>
      <w:r w:rsidR="00F401B9">
        <w:t xml:space="preserve"> on all aspects of these proposals. </w:t>
      </w:r>
      <w:r>
        <w:t xml:space="preserve"> </w:t>
      </w:r>
    </w:p>
    <w:p w:rsidR="00FC6C56" w:rsidRPr="00E3025E" w:rsidP="004E3BAF" w14:paraId="09D701D9" w14:textId="7328E462">
      <w:pPr>
        <w:pStyle w:val="Heading2"/>
        <w:rPr>
          <w:u w:val="none"/>
        </w:rPr>
      </w:pPr>
      <w:r w:rsidRPr="00E3025E">
        <w:rPr>
          <w:u w:val="none"/>
        </w:rPr>
        <w:t xml:space="preserve">Proposal to Approve </w:t>
      </w:r>
      <w:r w:rsidRPr="00E3025E" w:rsidR="00824560">
        <w:rPr>
          <w:u w:val="none"/>
        </w:rPr>
        <w:t xml:space="preserve">the </w:t>
      </w:r>
      <w:r w:rsidRPr="00E3025E">
        <w:rPr>
          <w:u w:val="none"/>
        </w:rPr>
        <w:t xml:space="preserve">Addition of Defined Term Ride-through to NERC Glossary of Terms </w:t>
      </w:r>
    </w:p>
    <w:p w:rsidR="00FC6C56" w:rsidRPr="00FC6C56" w:rsidP="00591F72" w14:paraId="28711A2E" w14:textId="66107834">
      <w:pPr>
        <w:pStyle w:val="FERCparanumber"/>
      </w:pPr>
      <w:bookmarkStart w:id="1" w:name="_Hlk182925793"/>
      <w:r w:rsidRPr="00A04FE7">
        <w:t xml:space="preserve">NERC’s proposed </w:t>
      </w:r>
      <w:r w:rsidRPr="004E3BAF">
        <w:t>definition</w:t>
      </w:r>
      <w:r w:rsidRPr="00A04FE7">
        <w:t xml:space="preserve"> of the term Ride-through for inclusion in the NERC Glossary of Terms </w:t>
      </w:r>
      <w:r w:rsidR="00F865D2">
        <w:t>should</w:t>
      </w:r>
      <w:r w:rsidRPr="00A04FE7">
        <w:t xml:space="preserve"> provide a clear and consistent understanding of the term across all Reliability Standards, including proposed new or modified Reliability Standards filed with the Commission in response to various Order No. 901 directives.  </w:t>
      </w:r>
      <w:r w:rsidR="00F865D2">
        <w:t>We</w:t>
      </w:r>
      <w:r w:rsidRPr="00A04FE7">
        <w:t xml:space="preserve"> therefore propose to approve the proposed definition of the term Ride-through for inclusion in the NERC Glossary of Terms.</w:t>
      </w:r>
      <w:bookmarkEnd w:id="1"/>
      <w:r w:rsidRPr="00A04FE7">
        <w:t xml:space="preserve">  </w:t>
      </w:r>
    </w:p>
    <w:p w:rsidR="0053788E" w:rsidRPr="00E3025E" w:rsidP="004E3BAF" w14:paraId="4974C5B7" w14:textId="593740C5">
      <w:pPr>
        <w:pStyle w:val="Heading2"/>
        <w:rPr>
          <w:u w:val="none"/>
        </w:rPr>
      </w:pPr>
      <w:r w:rsidRPr="00E3025E">
        <w:rPr>
          <w:u w:val="none"/>
        </w:rPr>
        <w:t xml:space="preserve">Proposal to Approve </w:t>
      </w:r>
      <w:r w:rsidRPr="00E3025E" w:rsidR="000F366B">
        <w:rPr>
          <w:u w:val="none"/>
        </w:rPr>
        <w:t xml:space="preserve">Proposed </w:t>
      </w:r>
      <w:r w:rsidRPr="00E3025E">
        <w:rPr>
          <w:u w:val="none"/>
        </w:rPr>
        <w:t>Reliability Standard</w:t>
      </w:r>
      <w:r w:rsidRPr="00E3025E" w:rsidR="000F366B">
        <w:rPr>
          <w:u w:val="none"/>
        </w:rPr>
        <w:t xml:space="preserve"> </w:t>
      </w:r>
      <w:r w:rsidRPr="00E3025E" w:rsidR="0016518A">
        <w:rPr>
          <w:u w:val="none"/>
        </w:rPr>
        <w:t>PRC-02</w:t>
      </w:r>
      <w:r w:rsidRPr="00E3025E">
        <w:rPr>
          <w:u w:val="none"/>
        </w:rPr>
        <w:t>4</w:t>
      </w:r>
      <w:r w:rsidRPr="00E3025E" w:rsidR="006974DB">
        <w:rPr>
          <w:u w:val="none"/>
        </w:rPr>
        <w:t>-</w:t>
      </w:r>
      <w:r w:rsidRPr="00E3025E" w:rsidR="004970DB">
        <w:rPr>
          <w:u w:val="none"/>
        </w:rPr>
        <w:t>4</w:t>
      </w:r>
    </w:p>
    <w:p w:rsidR="00106375" w:rsidP="00AE5E14" w14:paraId="4CBA5747" w14:textId="52EEF252">
      <w:pPr>
        <w:pStyle w:val="FERCparanumber"/>
        <w:numPr>
          <w:ilvl w:val="0"/>
          <w:numId w:val="11"/>
        </w:numPr>
      </w:pPr>
      <w:r>
        <w:t>P</w:t>
      </w:r>
      <w:r w:rsidRPr="004E3BAF" w:rsidR="002739D8">
        <w:t>roposed</w:t>
      </w:r>
      <w:r w:rsidR="002739D8">
        <w:t xml:space="preserve"> </w:t>
      </w:r>
      <w:r w:rsidR="00EE1393">
        <w:t xml:space="preserve">Reliability Standard PRC-024-4 </w:t>
      </w:r>
      <w:r w:rsidR="0065636A">
        <w:t>should</w:t>
      </w:r>
      <w:r w:rsidR="002739D8">
        <w:t xml:space="preserve"> </w:t>
      </w:r>
      <w:r w:rsidR="004F3097">
        <w:t>maintain the Reliability Standard</w:t>
      </w:r>
      <w:r w:rsidR="00D101F6">
        <w:t xml:space="preserve">’s frequency and voltage protection </w:t>
      </w:r>
      <w:r w:rsidR="009021B0">
        <w:t xml:space="preserve">setting </w:t>
      </w:r>
      <w:r w:rsidR="000C3B61">
        <w:t xml:space="preserve">requirements </w:t>
      </w:r>
      <w:r w:rsidR="00801C4F">
        <w:t xml:space="preserve">as </w:t>
      </w:r>
      <w:r w:rsidR="00D101F6">
        <w:t>applicable to</w:t>
      </w:r>
      <w:r w:rsidRPr="00A249CC" w:rsidR="00A249CC">
        <w:t xml:space="preserve"> only synchronous generators, type 1 and 2 wind </w:t>
      </w:r>
      <w:r w:rsidR="00FC4845">
        <w:t>resources</w:t>
      </w:r>
      <w:r w:rsidR="00E261B8">
        <w:t xml:space="preserve">, and </w:t>
      </w:r>
      <w:r w:rsidRPr="00A249CC" w:rsidR="00E261B8">
        <w:t>synchronous condensers</w:t>
      </w:r>
      <w:r w:rsidR="00E261B8">
        <w:t xml:space="preserve">. </w:t>
      </w:r>
      <w:r w:rsidR="0006540E">
        <w:t xml:space="preserve"> Specifically,</w:t>
      </w:r>
      <w:r w:rsidRPr="00F43928" w:rsidR="00F43928">
        <w:t xml:space="preserve"> </w:t>
      </w:r>
      <w:r w:rsidRPr="00A249CC" w:rsidR="00F43928">
        <w:t xml:space="preserve">synchronous generators, type 1 and 2 wind </w:t>
      </w:r>
      <w:r w:rsidR="00BA731D">
        <w:t>resources</w:t>
      </w:r>
      <w:r w:rsidR="00F43928">
        <w:t xml:space="preserve">, and </w:t>
      </w:r>
      <w:r w:rsidRPr="00A249CC" w:rsidR="00F43928">
        <w:t>synchronous condensers</w:t>
      </w:r>
      <w:r w:rsidR="0006540E">
        <w:t xml:space="preserve"> </w:t>
      </w:r>
      <w:r w:rsidR="00522F7B">
        <w:t xml:space="preserve">will have to </w:t>
      </w:r>
      <w:r w:rsidR="000E75DE">
        <w:t xml:space="preserve">have </w:t>
      </w:r>
      <w:r w:rsidR="005321BC">
        <w:t xml:space="preserve">voltage </w:t>
      </w:r>
      <w:r w:rsidR="00F035BA">
        <w:t>and</w:t>
      </w:r>
      <w:r w:rsidR="005321BC">
        <w:t xml:space="preserve"> frequency protection set to</w:t>
      </w:r>
      <w:r w:rsidR="00750FD0">
        <w:t xml:space="preserve"> </w:t>
      </w:r>
      <w:r w:rsidR="00522F7B">
        <w:t xml:space="preserve">avoid </w:t>
      </w:r>
      <w:r w:rsidR="00EB13EC">
        <w:t>tripping during defined frequency and voltage e</w:t>
      </w:r>
      <w:r w:rsidR="00CA5FEA">
        <w:t>xc</w:t>
      </w:r>
      <w:r w:rsidR="00F01397">
        <w:t>ursions</w:t>
      </w:r>
      <w:r w:rsidR="0005107A">
        <w:t>.</w:t>
      </w:r>
      <w:r w:rsidR="005A30E9">
        <w:t xml:space="preserve">  </w:t>
      </w:r>
      <w:r w:rsidR="00BB4F5F">
        <w:t>We believe that</w:t>
      </w:r>
      <w:r w:rsidR="00592C7B">
        <w:t xml:space="preserve"> it</w:t>
      </w:r>
      <w:r w:rsidR="00BB4F5F">
        <w:t xml:space="preserve"> is </w:t>
      </w:r>
      <w:r w:rsidR="00C12CF0">
        <w:t>reasonable to</w:t>
      </w:r>
      <w:r w:rsidR="00211D69">
        <w:t xml:space="preserve"> </w:t>
      </w:r>
      <w:r w:rsidR="00C12CF0">
        <w:t>remove</w:t>
      </w:r>
      <w:r w:rsidR="00E01782">
        <w:t xml:space="preserve"> reference</w:t>
      </w:r>
      <w:r w:rsidR="00211D69">
        <w:t>s</w:t>
      </w:r>
      <w:r w:rsidR="00E01782">
        <w:t xml:space="preserve"> to IBRs</w:t>
      </w:r>
      <w:r w:rsidR="00682888">
        <w:t xml:space="preserve"> </w:t>
      </w:r>
      <w:r w:rsidR="008B38ED">
        <w:t xml:space="preserve">in proposed </w:t>
      </w:r>
      <w:r w:rsidR="00C12CF0">
        <w:t>Reliability Standard PRC-024-4</w:t>
      </w:r>
      <w:r w:rsidR="00DE3585">
        <w:t xml:space="preserve"> </w:t>
      </w:r>
      <w:r w:rsidR="00465244">
        <w:t xml:space="preserve">as </w:t>
      </w:r>
      <w:r w:rsidR="00CF458F">
        <w:t xml:space="preserve">IBRs </w:t>
      </w:r>
      <w:r w:rsidR="00465244">
        <w:t xml:space="preserve">would be </w:t>
      </w:r>
      <w:r w:rsidR="00CF458F">
        <w:t xml:space="preserve">subject to the </w:t>
      </w:r>
      <w:r w:rsidR="00810734">
        <w:t>R</w:t>
      </w:r>
      <w:r w:rsidR="00CF458F">
        <w:t>ide-through requirements in proposed</w:t>
      </w:r>
      <w:r w:rsidR="0020377A">
        <w:t xml:space="preserve"> </w:t>
      </w:r>
      <w:r w:rsidR="00CF458F">
        <w:t>Reliability Standard PRC-029-1.</w:t>
      </w:r>
      <w:r w:rsidR="00A112D6">
        <w:t xml:space="preserve">  </w:t>
      </w:r>
    </w:p>
    <w:p w:rsidR="004611D3" w:rsidP="00AE5E14" w14:paraId="174D1B91" w14:textId="49BCDAC5">
      <w:pPr>
        <w:pStyle w:val="FERCparanumber"/>
        <w:numPr>
          <w:ilvl w:val="0"/>
          <w:numId w:val="11"/>
        </w:numPr>
      </w:pPr>
      <w:r>
        <w:t>Therefore, we propose</w:t>
      </w:r>
      <w:r w:rsidRPr="009914D2" w:rsidR="009914D2">
        <w:t xml:space="preserve"> to approve proposed Reliability Standard PRC-024-4 as just, reasonable, not unduly </w:t>
      </w:r>
      <w:r w:rsidRPr="009914D2" w:rsidR="009914D2">
        <w:t>discriminatory</w:t>
      </w:r>
      <w:r w:rsidRPr="009914D2" w:rsidR="009914D2">
        <w:t xml:space="preserve"> or preferential, and in the public interest.</w:t>
      </w:r>
      <w:r w:rsidR="00680544">
        <w:t xml:space="preserve">  </w:t>
      </w:r>
      <w:r w:rsidR="009914D2">
        <w:t>We seek</w:t>
      </w:r>
      <w:r w:rsidR="009E3CA6">
        <w:t xml:space="preserve"> comments on all aspects of </w:t>
      </w:r>
      <w:r w:rsidR="00B96580">
        <w:t>our proposed approval of proposed</w:t>
      </w:r>
      <w:r w:rsidR="002E7191">
        <w:t xml:space="preserve"> Reliability Standard PRC-024-4. </w:t>
      </w:r>
      <w:r w:rsidR="00AB787C">
        <w:t xml:space="preserve"> </w:t>
      </w:r>
    </w:p>
    <w:p w:rsidR="0053788E" w:rsidRPr="00E3025E" w:rsidP="004E3BAF" w14:paraId="58204601" w14:textId="3E3D9FE5">
      <w:pPr>
        <w:pStyle w:val="Heading2"/>
        <w:rPr>
          <w:u w:val="none"/>
        </w:rPr>
      </w:pPr>
      <w:r w:rsidRPr="00E3025E">
        <w:rPr>
          <w:u w:val="none"/>
        </w:rPr>
        <w:t xml:space="preserve">Proposal to Approve Proposed Reliability Standard PRC-029-1 </w:t>
      </w:r>
    </w:p>
    <w:p w:rsidR="00E44531" w:rsidP="00510DAA" w14:paraId="1F3ED9F0" w14:textId="55E5747A">
      <w:pPr>
        <w:pStyle w:val="FERCparanumber"/>
        <w:numPr>
          <w:ilvl w:val="0"/>
          <w:numId w:val="11"/>
        </w:numPr>
      </w:pPr>
      <w:r>
        <w:t>We propose to find that the p</w:t>
      </w:r>
      <w:r w:rsidR="00C06D14">
        <w:t xml:space="preserve">roposed Reliability Standard PRC-029-1 </w:t>
      </w:r>
      <w:r w:rsidR="006F1386">
        <w:t xml:space="preserve">responds to </w:t>
      </w:r>
      <w:r w:rsidR="00B94A4E">
        <w:t xml:space="preserve">the </w:t>
      </w:r>
      <w:r w:rsidR="006F1386">
        <w:t xml:space="preserve">relevant </w:t>
      </w:r>
      <w:r w:rsidR="00446BAA">
        <w:t>Order No. 901</w:t>
      </w:r>
      <w:r w:rsidR="00BD1BB2">
        <w:t xml:space="preserve"> </w:t>
      </w:r>
      <w:r w:rsidR="001657B0">
        <w:t>Ride-through</w:t>
      </w:r>
      <w:r w:rsidR="00BD1BB2">
        <w:t xml:space="preserve"> performance requirement directives</w:t>
      </w:r>
      <w:r w:rsidR="001657B0">
        <w:t xml:space="preserve">.  </w:t>
      </w:r>
      <w:r w:rsidRPr="004E3BAF" w:rsidR="00455695">
        <w:t xml:space="preserve">The </w:t>
      </w:r>
      <w:r w:rsidRPr="004E3BAF" w:rsidR="001218FF">
        <w:t>R</w:t>
      </w:r>
      <w:r w:rsidRPr="004E3BAF" w:rsidR="00455695">
        <w:t>ide-through</w:t>
      </w:r>
      <w:r w:rsidR="00455695">
        <w:t xml:space="preserve"> provisions of </w:t>
      </w:r>
      <w:r w:rsidR="00545A45">
        <w:t>proposed</w:t>
      </w:r>
      <w:r w:rsidR="00455695">
        <w:t xml:space="preserve"> Requirements R1 through R3 </w:t>
      </w:r>
      <w:r w:rsidR="000D2B0E">
        <w:t xml:space="preserve">would require that </w:t>
      </w:r>
      <w:r w:rsidR="00784A67">
        <w:t xml:space="preserve">each </w:t>
      </w:r>
      <w:r w:rsidR="007C7B6C">
        <w:t xml:space="preserve">generator owner of </w:t>
      </w:r>
      <w:r w:rsidR="003748D3">
        <w:t>a</w:t>
      </w:r>
      <w:r w:rsidR="00907C3D">
        <w:t xml:space="preserve"> NERC-registered</w:t>
      </w:r>
      <w:r w:rsidR="003748D3">
        <w:t xml:space="preserve"> </w:t>
      </w:r>
      <w:r w:rsidR="007C7B6C">
        <w:t xml:space="preserve">IBR </w:t>
      </w:r>
      <w:r w:rsidR="00F83FBF">
        <w:t xml:space="preserve">ensure </w:t>
      </w:r>
      <w:r w:rsidR="000C3B61">
        <w:t>that their IBR</w:t>
      </w:r>
      <w:r w:rsidR="007C7B6C">
        <w:t xml:space="preserve"> </w:t>
      </w:r>
      <w:r w:rsidR="000F74BB">
        <w:t>continue</w:t>
      </w:r>
      <w:r w:rsidR="003748D3">
        <w:t>s</w:t>
      </w:r>
      <w:r w:rsidR="000F74BB">
        <w:t xml:space="preserve"> </w:t>
      </w:r>
      <w:r w:rsidR="007A63FC">
        <w:t>to inj</w:t>
      </w:r>
      <w:r w:rsidR="002D39B4">
        <w:t xml:space="preserve">ect </w:t>
      </w:r>
      <w:r w:rsidR="007F1A58">
        <w:t>current an</w:t>
      </w:r>
      <w:r w:rsidR="00A94786">
        <w:t>d</w:t>
      </w:r>
      <w:r w:rsidR="007F1A58">
        <w:t xml:space="preserve"> perform frequency </w:t>
      </w:r>
      <w:r w:rsidR="00465F96">
        <w:t>support during a Bulk-Power System distu</w:t>
      </w:r>
      <w:r w:rsidR="000C7D35">
        <w:t>rbance</w:t>
      </w:r>
      <w:r w:rsidR="000737AB">
        <w:t xml:space="preserve"> and</w:t>
      </w:r>
      <w:r w:rsidR="00404600">
        <w:t xml:space="preserve"> </w:t>
      </w:r>
      <w:r w:rsidR="00CF53D7">
        <w:t>avoid</w:t>
      </w:r>
      <w:r w:rsidR="00BC3827">
        <w:t>s</w:t>
      </w:r>
      <w:r w:rsidR="00CF53D7">
        <w:t xml:space="preserve"> momentary cessation in the no-</w:t>
      </w:r>
      <w:r w:rsidR="000F116A">
        <w:t xml:space="preserve">trip zone during </w:t>
      </w:r>
      <w:r w:rsidR="000D0D70">
        <w:t xml:space="preserve">a </w:t>
      </w:r>
      <w:r w:rsidR="000F116A">
        <w:t xml:space="preserve">disturbance </w:t>
      </w:r>
      <w:r w:rsidR="00EB0A08">
        <w:t xml:space="preserve">by meeting or exceeding the </w:t>
      </w:r>
      <w:r w:rsidR="001218FF">
        <w:t>R</w:t>
      </w:r>
      <w:r w:rsidR="00EB0A08">
        <w:t>ide-through requ</w:t>
      </w:r>
      <w:r w:rsidR="000E211F">
        <w:t>irements</w:t>
      </w:r>
      <w:r w:rsidR="00A5012B">
        <w:t>.  Further, these proposed provisions</w:t>
      </w:r>
      <w:r w:rsidR="005F024E">
        <w:t xml:space="preserve"> </w:t>
      </w:r>
      <w:r w:rsidR="00CE2724">
        <w:t xml:space="preserve">establish </w:t>
      </w:r>
      <w:r w:rsidR="00FC7E84">
        <w:t xml:space="preserve">specific </w:t>
      </w:r>
      <w:r w:rsidR="00CE2724">
        <w:t xml:space="preserve">requirements for </w:t>
      </w:r>
      <w:r w:rsidR="00DC662E">
        <w:t>frequency and vol</w:t>
      </w:r>
      <w:r w:rsidR="00B91699">
        <w:t xml:space="preserve">tage </w:t>
      </w:r>
      <w:r w:rsidR="00672851">
        <w:t>R</w:t>
      </w:r>
      <w:r w:rsidR="00B91699">
        <w:t>ide-through</w:t>
      </w:r>
      <w:r w:rsidR="00E17E61">
        <w:t xml:space="preserve">, </w:t>
      </w:r>
      <w:r w:rsidR="00755E6A">
        <w:t>post-disturbance ramp rates</w:t>
      </w:r>
      <w:r w:rsidR="00FE6BD6">
        <w:t>,</w:t>
      </w:r>
      <w:r w:rsidR="00755E6A">
        <w:t xml:space="preserve"> phase lock loop synchronization</w:t>
      </w:r>
      <w:r w:rsidR="0076629C">
        <w:t>, and other known causes of IBR tripping or momentary cessation</w:t>
      </w:r>
      <w:r w:rsidR="00755E6A">
        <w:t>.</w:t>
      </w:r>
      <w:r w:rsidR="001F7749">
        <w:t xml:space="preserve">  The </w:t>
      </w:r>
      <w:r w:rsidR="00702214">
        <w:t>R</w:t>
      </w:r>
      <w:r w:rsidR="001F7749">
        <w:t xml:space="preserve">ide-through requirements of </w:t>
      </w:r>
      <w:r w:rsidR="00545A45">
        <w:t>proposed</w:t>
      </w:r>
      <w:r w:rsidR="001F7749">
        <w:t xml:space="preserve"> Requirements R1 through R3 </w:t>
      </w:r>
      <w:r w:rsidR="001E129A">
        <w:t>sh</w:t>
      </w:r>
      <w:r w:rsidR="001F7749">
        <w:t>ould strengthen the reliability of the Bulk-Power System by ensuring that IBRs are designed and operated to</w:t>
      </w:r>
      <w:r w:rsidRPr="00A3405D" w:rsidR="001F7749">
        <w:t xml:space="preserve"> remain connected to the B</w:t>
      </w:r>
      <w:r w:rsidR="001F7749">
        <w:t>ulk-</w:t>
      </w:r>
      <w:r w:rsidRPr="00A3405D" w:rsidR="001F7749">
        <w:t>P</w:t>
      </w:r>
      <w:r w:rsidR="001F7749">
        <w:t>ower system</w:t>
      </w:r>
      <w:r w:rsidRPr="00A3405D" w:rsidR="001F7749">
        <w:t xml:space="preserve"> and continue to </w:t>
      </w:r>
      <w:r w:rsidR="00564822">
        <w:t>inject</w:t>
      </w:r>
      <w:r w:rsidRPr="00A3405D" w:rsidR="001F7749">
        <w:t xml:space="preserve"> real and/or reactive </w:t>
      </w:r>
      <w:r w:rsidR="00660F9F">
        <w:t>current</w:t>
      </w:r>
      <w:r w:rsidRPr="00A3405D" w:rsidR="00660F9F">
        <w:t xml:space="preserve"> </w:t>
      </w:r>
      <w:r w:rsidRPr="00A3405D" w:rsidR="001F7749">
        <w:t>during system disturbances</w:t>
      </w:r>
      <w:r w:rsidR="001F7749">
        <w:t xml:space="preserve">.   </w:t>
      </w:r>
    </w:p>
    <w:p w:rsidR="00BF5E7E" w:rsidP="00AE5E14" w14:paraId="4A120DC3" w14:textId="780A737F">
      <w:pPr>
        <w:pStyle w:val="FERCparanumber"/>
        <w:numPr>
          <w:ilvl w:val="0"/>
          <w:numId w:val="11"/>
        </w:numPr>
      </w:pPr>
      <w:r>
        <w:t xml:space="preserve">The Commission proposes to find that </w:t>
      </w:r>
      <w:r w:rsidR="006B22D7">
        <w:t>NERC</w:t>
      </w:r>
      <w:r w:rsidR="009F1E56">
        <w:t xml:space="preserve"> reasonably</w:t>
      </w:r>
      <w:r w:rsidR="006B22D7">
        <w:t xml:space="preserve"> </w:t>
      </w:r>
      <w:r w:rsidR="007C3AFD">
        <w:t xml:space="preserve">determined that an exemption process for </w:t>
      </w:r>
      <w:r w:rsidR="00FB4DC3">
        <w:t>generator owners of</w:t>
      </w:r>
      <w:r w:rsidR="007C3AFD">
        <w:t xml:space="preserve"> </w:t>
      </w:r>
      <w:r w:rsidR="00FB4DC3">
        <w:t xml:space="preserve">legacy IBRs for </w:t>
      </w:r>
      <w:r w:rsidR="0006378B">
        <w:t xml:space="preserve">voltage and frequency </w:t>
      </w:r>
      <w:r w:rsidR="004202E2">
        <w:t xml:space="preserve">performance requirements </w:t>
      </w:r>
      <w:r w:rsidR="00CB50A7">
        <w:t>as set out in Requirement R4 is appropriate</w:t>
      </w:r>
      <w:r w:rsidR="004202E2">
        <w:t xml:space="preserve"> </w:t>
      </w:r>
      <w:r w:rsidR="00812CE8">
        <w:t xml:space="preserve">based on industry </w:t>
      </w:r>
      <w:r w:rsidR="00D34B7A">
        <w:t>input during the standards drafting process</w:t>
      </w:r>
      <w:r w:rsidR="00C75CCC">
        <w:t>, as</w:t>
      </w:r>
      <w:r w:rsidR="00A72A51">
        <w:t xml:space="preserve"> </w:t>
      </w:r>
      <w:r w:rsidR="00E425A3">
        <w:t>explained in the NERC Petition</w:t>
      </w:r>
      <w:r w:rsidR="00483BFA">
        <w:t>.</w:t>
      </w:r>
      <w:r>
        <w:rPr>
          <w:rStyle w:val="FootnoteReference"/>
        </w:rPr>
        <w:footnoteReference w:id="62"/>
      </w:r>
      <w:r w:rsidR="00483BFA">
        <w:t xml:space="preserve">  </w:t>
      </w:r>
      <w:r w:rsidR="00E44531">
        <w:t xml:space="preserve">Regarding whether NERC met the Order No. 901 directive to develop new or modified Reliability Standards to mitigate the reliability impacts to the Bulk-Power System of such exemptions, we will defer our determination until </w:t>
      </w:r>
      <w:r w:rsidRPr="00430A63" w:rsidR="00E44531">
        <w:t xml:space="preserve">after </w:t>
      </w:r>
      <w:r w:rsidR="00E44531">
        <w:t xml:space="preserve">NERC files Milestone 4 Reliability Standards with the Commission by November 4, 2026.  </w:t>
      </w:r>
      <w:r w:rsidRPr="00B80F1E" w:rsidR="00ED2E33">
        <w:t>A</w:t>
      </w:r>
      <w:r w:rsidRPr="00B80F1E" w:rsidR="00E44531">
        <w:t>s</w:t>
      </w:r>
      <w:r w:rsidR="00E44531">
        <w:t xml:space="preserve"> described by NERC’s petition, NERC is planning to meet th</w:t>
      </w:r>
      <w:r w:rsidR="00CA1D0A">
        <w:t>is</w:t>
      </w:r>
      <w:r w:rsidR="00E44531">
        <w:t xml:space="preserve"> mitigation directive with its anticipated approach to Milestone 4 Reliability Standards that will require accurate modeling of IBRs’ performance capabilities, including accepted Ride-through criteria exemptions, and evaluate reliability impacts on the Bulk-Power System.</w:t>
      </w:r>
      <w:r>
        <w:rPr>
          <w:rStyle w:val="FootnoteReference"/>
        </w:rPr>
        <w:footnoteReference w:id="63"/>
      </w:r>
      <w:r w:rsidR="00E44531">
        <w:t xml:space="preserve">  </w:t>
      </w:r>
      <w:r w:rsidR="00A03F08">
        <w:t xml:space="preserve"> </w:t>
      </w:r>
    </w:p>
    <w:p w:rsidR="00BF5E7E" w:rsidRPr="004E3BAF" w:rsidP="00AE5E14" w14:paraId="0F7536D1" w14:textId="1DAB13F9">
      <w:pPr>
        <w:pStyle w:val="FERCparanumber"/>
        <w:numPr>
          <w:ilvl w:val="0"/>
          <w:numId w:val="11"/>
        </w:numPr>
      </w:pPr>
      <w:r>
        <w:t xml:space="preserve">The </w:t>
      </w:r>
      <w:r w:rsidRPr="004E3BAF">
        <w:t>Commission seeks comments on its proposed approval of proposed Reliability Standard PRC-029-1</w:t>
      </w:r>
      <w:r w:rsidRPr="004E3BAF" w:rsidR="000B672A">
        <w:t xml:space="preserve">. </w:t>
      </w:r>
      <w:r w:rsidRPr="004E3BAF" w:rsidR="00243EB0">
        <w:t xml:space="preserve"> While </w:t>
      </w:r>
      <w:r w:rsidRPr="004E3BAF" w:rsidR="004F12E6">
        <w:t>we seek</w:t>
      </w:r>
      <w:r w:rsidRPr="004E3BAF" w:rsidR="00243EB0">
        <w:t xml:space="preserve"> comment</w:t>
      </w:r>
      <w:r w:rsidRPr="004E3BAF" w:rsidR="00CE4D54">
        <w:t>s</w:t>
      </w:r>
      <w:r w:rsidRPr="004E3BAF" w:rsidR="00243EB0">
        <w:t xml:space="preserve"> on a</w:t>
      </w:r>
      <w:r w:rsidRPr="004E3BAF" w:rsidR="004F12E6">
        <w:t>ll</w:t>
      </w:r>
      <w:r w:rsidRPr="004E3BAF" w:rsidR="00243EB0">
        <w:t xml:space="preserve"> aspect</w:t>
      </w:r>
      <w:r w:rsidRPr="004E3BAF" w:rsidR="004F12E6">
        <w:t>s</w:t>
      </w:r>
      <w:r w:rsidRPr="004E3BAF" w:rsidR="00243EB0">
        <w:t xml:space="preserve"> of the proposed Reliability S</w:t>
      </w:r>
      <w:r w:rsidRPr="004E3BAF" w:rsidR="00267781">
        <w:t>tandard</w:t>
      </w:r>
      <w:r w:rsidRPr="004E3BAF" w:rsidR="00E1158A">
        <w:t xml:space="preserve">, we are particularly interested in </w:t>
      </w:r>
      <w:r w:rsidRPr="004E3BAF" w:rsidR="00CE4D54">
        <w:t>comments</w:t>
      </w:r>
      <w:r w:rsidRPr="004E3BAF" w:rsidR="003C7F32">
        <w:t xml:space="preserve"> and supporting materials, where applicable,</w:t>
      </w:r>
      <w:r w:rsidRPr="004E3BAF" w:rsidR="00CE4D54">
        <w:t xml:space="preserve"> on </w:t>
      </w:r>
      <w:r w:rsidR="00677565">
        <w:t xml:space="preserve">concerns regarding: </w:t>
      </w:r>
      <w:r w:rsidR="008150A8">
        <w:t xml:space="preserve"> </w:t>
      </w:r>
      <w:r w:rsidRPr="00D23D9E" w:rsidR="00D23D9E">
        <w:t xml:space="preserve">(1) the IBR performance requirement set forth in Requirement R1; (2) the absolute </w:t>
      </w:r>
      <w:r w:rsidRPr="00D23D9E" w:rsidR="00D23D9E">
        <w:t>RoCoF</w:t>
      </w:r>
      <w:r w:rsidRPr="00D23D9E" w:rsidR="00D23D9E">
        <w:t xml:space="preserve"> in Requirement R3; and (3) </w:t>
      </w:r>
      <w:r w:rsidRPr="00492941" w:rsidR="00D23D9E">
        <w:t>the adequacy of NERC’s proposed exemption provision</w:t>
      </w:r>
      <w:r w:rsidRPr="00D23D9E" w:rsidR="00D23D9E">
        <w:t xml:space="preserve"> in Requirement R4</w:t>
      </w:r>
      <w:r w:rsidR="000520B4">
        <w:t xml:space="preserve"> </w:t>
      </w:r>
      <w:r w:rsidRPr="000520B4" w:rsidR="000520B4">
        <w:t>as it pertains to both projects in service and those under contract, but not yet in-service as of the effective date of Reliability Standard PRC-029-1</w:t>
      </w:r>
      <w:r w:rsidRPr="00492941" w:rsidR="00D23D9E">
        <w:t xml:space="preserve">.  Comments on whether the </w:t>
      </w:r>
      <w:r w:rsidRPr="00D23D9E" w:rsidR="00D23D9E">
        <w:t xml:space="preserve">exemption </w:t>
      </w:r>
      <w:r w:rsidRPr="00492941" w:rsidR="00D23D9E">
        <w:t>provision is too broad or too narrow should</w:t>
      </w:r>
      <w:r w:rsidR="00580679">
        <w:t xml:space="preserve"> address the risks and benefits of </w:t>
      </w:r>
      <w:r w:rsidR="000B2F80">
        <w:t>expanding or narrowing</w:t>
      </w:r>
      <w:r w:rsidR="00580679">
        <w:t xml:space="preserve"> the </w:t>
      </w:r>
      <w:r w:rsidR="00580679">
        <w:t>exemption provision and should</w:t>
      </w:r>
      <w:r w:rsidRPr="00492941" w:rsidR="00D23D9E">
        <w:t xml:space="preserve"> provide detailed, </w:t>
      </w:r>
      <w:r w:rsidR="002B0E5E">
        <w:t xml:space="preserve">quantified, and </w:t>
      </w:r>
      <w:r w:rsidRPr="00492941" w:rsidR="00D23D9E">
        <w:t>fact-based support for their position</w:t>
      </w:r>
      <w:r w:rsidRPr="004E3BAF" w:rsidR="00991062">
        <w:t xml:space="preserve">. </w:t>
      </w:r>
    </w:p>
    <w:p w:rsidR="004E3BAF" w:rsidRPr="00E3025E" w:rsidP="00AE5E14" w14:paraId="4092D167" w14:textId="4B606BD7">
      <w:pPr>
        <w:pStyle w:val="Heading2"/>
        <w:rPr>
          <w:u w:val="none"/>
        </w:rPr>
      </w:pPr>
      <w:r w:rsidRPr="00E3025E">
        <w:rPr>
          <w:u w:val="none"/>
        </w:rPr>
        <w:t>Proposed Directive</w:t>
      </w:r>
      <w:r w:rsidRPr="00E3025E" w:rsidR="00270EAB">
        <w:rPr>
          <w:u w:val="none"/>
        </w:rPr>
        <w:t xml:space="preserve"> for Informational Filings</w:t>
      </w:r>
    </w:p>
    <w:p w:rsidR="00F0508C" w:rsidP="005176D5" w14:paraId="1E7B3069" w14:textId="4729F041">
      <w:pPr>
        <w:pStyle w:val="FERCparanumber"/>
        <w:rPr>
          <w:szCs w:val="26"/>
        </w:rPr>
      </w:pPr>
      <w:r w:rsidRPr="00B07078">
        <w:t xml:space="preserve">Finally, </w:t>
      </w:r>
      <w:r w:rsidR="00457561">
        <w:t>we</w:t>
      </w:r>
      <w:r w:rsidRPr="00B07078">
        <w:t xml:space="preserve"> propose</w:t>
      </w:r>
      <w:r w:rsidRPr="00B07078" w:rsidR="006F0EBD">
        <w:t xml:space="preserve"> </w:t>
      </w:r>
      <w:r w:rsidRPr="003227BF" w:rsidR="00DB6635">
        <w:rPr>
          <w:szCs w:val="26"/>
        </w:rPr>
        <w:t>to direct NERC to develop and submit two informational filings</w:t>
      </w:r>
      <w:r w:rsidR="0002558C">
        <w:rPr>
          <w:szCs w:val="26"/>
        </w:rPr>
        <w:t xml:space="preserve"> pertaining to</w:t>
      </w:r>
      <w:r w:rsidRPr="003227BF" w:rsidR="00DB6635">
        <w:rPr>
          <w:szCs w:val="26"/>
        </w:rPr>
        <w:t xml:space="preserve"> request</w:t>
      </w:r>
      <w:r w:rsidR="00E7451E">
        <w:rPr>
          <w:szCs w:val="26"/>
        </w:rPr>
        <w:t>s</w:t>
      </w:r>
      <w:r w:rsidRPr="003227BF" w:rsidR="00DB6635">
        <w:rPr>
          <w:szCs w:val="26"/>
        </w:rPr>
        <w:t xml:space="preserve"> </w:t>
      </w:r>
      <w:r w:rsidR="00E7451E">
        <w:rPr>
          <w:szCs w:val="26"/>
        </w:rPr>
        <w:t xml:space="preserve">for </w:t>
      </w:r>
      <w:r w:rsidRPr="003227BF" w:rsidR="00DB6635">
        <w:rPr>
          <w:szCs w:val="26"/>
        </w:rPr>
        <w:t xml:space="preserve">exemption </w:t>
      </w:r>
      <w:r w:rsidR="00225782">
        <w:rPr>
          <w:szCs w:val="26"/>
        </w:rPr>
        <w:t xml:space="preserve">by </w:t>
      </w:r>
      <w:r w:rsidRPr="003227BF" w:rsidR="00DB6635">
        <w:rPr>
          <w:szCs w:val="26"/>
        </w:rPr>
        <w:t>generator owners of legacy IBR</w:t>
      </w:r>
      <w:r w:rsidR="00800B41">
        <w:rPr>
          <w:szCs w:val="26"/>
        </w:rPr>
        <w:t>s</w:t>
      </w:r>
      <w:r w:rsidRPr="003227BF" w:rsidR="00DB6635">
        <w:rPr>
          <w:szCs w:val="26"/>
        </w:rPr>
        <w:t xml:space="preserve"> </w:t>
      </w:r>
      <w:r w:rsidR="00225782">
        <w:rPr>
          <w:szCs w:val="26"/>
        </w:rPr>
        <w:t>from</w:t>
      </w:r>
      <w:r w:rsidRPr="003227BF" w:rsidR="00DB6635">
        <w:rPr>
          <w:szCs w:val="26"/>
        </w:rPr>
        <w:t xml:space="preserve"> frequency and/or voltage Ride-through requirements.  </w:t>
      </w:r>
      <w:r w:rsidR="004E6B92">
        <w:rPr>
          <w:szCs w:val="26"/>
        </w:rPr>
        <w:t xml:space="preserve">While we understand the appropriateness of a limited exemption for certain legacy equipment that may otherwise not be able to comply with the proposed </w:t>
      </w:r>
      <w:r w:rsidR="00CA425A">
        <w:rPr>
          <w:szCs w:val="26"/>
        </w:rPr>
        <w:t>Ride-through requirements</w:t>
      </w:r>
      <w:r w:rsidR="004E6B92">
        <w:rPr>
          <w:szCs w:val="26"/>
        </w:rPr>
        <w:t>, we are</w:t>
      </w:r>
      <w:r w:rsidR="004A19A7">
        <w:rPr>
          <w:szCs w:val="26"/>
        </w:rPr>
        <w:t xml:space="preserve"> concerned about the </w:t>
      </w:r>
      <w:r w:rsidR="002C6077">
        <w:rPr>
          <w:szCs w:val="26"/>
        </w:rPr>
        <w:t xml:space="preserve">practical </w:t>
      </w:r>
      <w:r w:rsidR="00190C19">
        <w:rPr>
          <w:szCs w:val="26"/>
        </w:rPr>
        <w:t>implications of the exemption</w:t>
      </w:r>
      <w:r w:rsidR="00E476B8">
        <w:rPr>
          <w:szCs w:val="26"/>
        </w:rPr>
        <w:t>s</w:t>
      </w:r>
      <w:r w:rsidR="00EC1AC4">
        <w:rPr>
          <w:szCs w:val="26"/>
        </w:rPr>
        <w:t xml:space="preserve"> as proposed</w:t>
      </w:r>
      <w:r w:rsidR="00190C19">
        <w:rPr>
          <w:szCs w:val="26"/>
        </w:rPr>
        <w:t xml:space="preserve">. </w:t>
      </w:r>
      <w:r w:rsidR="005176D5">
        <w:rPr>
          <w:szCs w:val="26"/>
        </w:rPr>
        <w:t xml:space="preserve"> </w:t>
      </w:r>
      <w:r w:rsidR="00457561">
        <w:rPr>
          <w:szCs w:val="26"/>
        </w:rPr>
        <w:t xml:space="preserve">Specifically, if too many generators are exempt from the frequency and/or voltage Ride-through requirements, </w:t>
      </w:r>
      <w:r w:rsidRPr="004E3BAF" w:rsidR="00201863">
        <w:t>proposed Reliability Standard PRC-029-1</w:t>
      </w:r>
      <w:r w:rsidR="00457561">
        <w:rPr>
          <w:szCs w:val="26"/>
        </w:rPr>
        <w:t xml:space="preserve"> </w:t>
      </w:r>
      <w:r w:rsidR="00E45904">
        <w:rPr>
          <w:szCs w:val="26"/>
        </w:rPr>
        <w:t>may</w:t>
      </w:r>
      <w:r w:rsidR="00457561">
        <w:rPr>
          <w:szCs w:val="26"/>
        </w:rPr>
        <w:t xml:space="preserve"> fail to address the </w:t>
      </w:r>
      <w:r w:rsidR="00457561">
        <w:t>reliability gaps associated with IBRs tripping or entering momentary cessation in aggregate</w:t>
      </w:r>
      <w:r w:rsidR="00E45904">
        <w:t xml:space="preserve"> that it is intended to address.</w:t>
      </w:r>
      <w:r>
        <w:rPr>
          <w:rStyle w:val="FootnoteReference"/>
        </w:rPr>
        <w:footnoteReference w:id="64"/>
      </w:r>
      <w:r w:rsidRPr="005176D5" w:rsidR="00457561">
        <w:rPr>
          <w:szCs w:val="26"/>
        </w:rPr>
        <w:t xml:space="preserve"> </w:t>
      </w:r>
      <w:r w:rsidRPr="005176D5" w:rsidR="00602C7A">
        <w:rPr>
          <w:szCs w:val="26"/>
        </w:rPr>
        <w:t xml:space="preserve"> Accordingly, w</w:t>
      </w:r>
      <w:r w:rsidRPr="005176D5" w:rsidR="00DB6635">
        <w:rPr>
          <w:szCs w:val="26"/>
        </w:rPr>
        <w:t xml:space="preserve">e propose that 12 months and 24 months after the conclusion of the 12-month exemption request period, NERC submit an informational filing with the </w:t>
      </w:r>
      <w:r w:rsidR="003526B1">
        <w:rPr>
          <w:szCs w:val="26"/>
        </w:rPr>
        <w:t>following</w:t>
      </w:r>
      <w:r w:rsidRPr="005176D5" w:rsidR="00DB6635">
        <w:rPr>
          <w:szCs w:val="26"/>
        </w:rPr>
        <w:t xml:space="preserve"> </w:t>
      </w:r>
      <w:r w:rsidR="003526B1">
        <w:rPr>
          <w:szCs w:val="26"/>
        </w:rPr>
        <w:t>data</w:t>
      </w:r>
      <w:r w:rsidR="00C943D0">
        <w:rPr>
          <w:i/>
          <w:iCs/>
          <w:szCs w:val="26"/>
        </w:rPr>
        <w:t xml:space="preserve"> </w:t>
      </w:r>
      <w:r w:rsidR="006A0443">
        <w:rPr>
          <w:szCs w:val="26"/>
        </w:rPr>
        <w:t xml:space="preserve">for </w:t>
      </w:r>
      <w:r w:rsidR="000E6A9C">
        <w:rPr>
          <w:szCs w:val="26"/>
        </w:rPr>
        <w:t>(1)</w:t>
      </w:r>
      <w:r w:rsidR="006A0443">
        <w:rPr>
          <w:szCs w:val="26"/>
        </w:rPr>
        <w:t xml:space="preserve"> each </w:t>
      </w:r>
      <w:r w:rsidR="00984D6F">
        <w:rPr>
          <w:szCs w:val="26"/>
        </w:rPr>
        <w:t>I</w:t>
      </w:r>
      <w:r w:rsidRPr="005176D5" w:rsidR="006A0443">
        <w:rPr>
          <w:szCs w:val="26"/>
        </w:rPr>
        <w:t xml:space="preserve">nterconnection </w:t>
      </w:r>
      <w:r w:rsidR="009349AC">
        <w:rPr>
          <w:szCs w:val="26"/>
        </w:rPr>
        <w:t>and</w:t>
      </w:r>
      <w:r w:rsidRPr="005176D5" w:rsidR="006A0443">
        <w:rPr>
          <w:szCs w:val="26"/>
        </w:rPr>
        <w:t xml:space="preserve"> </w:t>
      </w:r>
      <w:r w:rsidR="000E6A9C">
        <w:rPr>
          <w:szCs w:val="26"/>
        </w:rPr>
        <w:t>(2)</w:t>
      </w:r>
      <w:r w:rsidRPr="005176D5" w:rsidR="006A0443">
        <w:rPr>
          <w:szCs w:val="26"/>
        </w:rPr>
        <w:t xml:space="preserve"> </w:t>
      </w:r>
      <w:r w:rsidR="0048491F">
        <w:rPr>
          <w:szCs w:val="26"/>
        </w:rPr>
        <w:t xml:space="preserve">each </w:t>
      </w:r>
      <w:r w:rsidRPr="005176D5" w:rsidR="006A0443">
        <w:rPr>
          <w:szCs w:val="26"/>
        </w:rPr>
        <w:t>reliability coordinator area</w:t>
      </w:r>
      <w:r w:rsidR="00EB388F">
        <w:rPr>
          <w:szCs w:val="26"/>
        </w:rPr>
        <w:t xml:space="preserve"> </w:t>
      </w:r>
      <w:r w:rsidR="00D125DA">
        <w:rPr>
          <w:szCs w:val="26"/>
        </w:rPr>
        <w:t>(</w:t>
      </w:r>
      <w:r w:rsidR="00955C3B">
        <w:rPr>
          <w:szCs w:val="26"/>
        </w:rPr>
        <w:t>within</w:t>
      </w:r>
      <w:r w:rsidR="00EB388F">
        <w:rPr>
          <w:szCs w:val="26"/>
        </w:rPr>
        <w:t xml:space="preserve"> </w:t>
      </w:r>
      <w:r w:rsidR="000F21DB">
        <w:rPr>
          <w:szCs w:val="26"/>
        </w:rPr>
        <w:t>that interconnection</w:t>
      </w:r>
      <w:r w:rsidR="00D125DA">
        <w:rPr>
          <w:szCs w:val="26"/>
        </w:rPr>
        <w:t>)</w:t>
      </w:r>
      <w:r w:rsidR="006E1EB3">
        <w:rPr>
          <w:szCs w:val="26"/>
        </w:rPr>
        <w:t xml:space="preserve"> within the United States</w:t>
      </w:r>
      <w:r w:rsidR="00C7475C">
        <w:rPr>
          <w:szCs w:val="26"/>
        </w:rPr>
        <w:t>:</w:t>
      </w:r>
      <w:r w:rsidRPr="005176D5" w:rsidR="00DB6635">
        <w:rPr>
          <w:szCs w:val="26"/>
        </w:rPr>
        <w:t xml:space="preserve">  </w:t>
      </w:r>
    </w:p>
    <w:p w:rsidR="00D76237" w:rsidP="0024696A" w14:paraId="74A2217C" w14:textId="3734B177">
      <w:pPr>
        <w:pStyle w:val="FERCparanumber"/>
        <w:numPr>
          <w:ilvl w:val="0"/>
          <w:numId w:val="37"/>
        </w:numPr>
        <w:rPr>
          <w:szCs w:val="26"/>
        </w:rPr>
      </w:pPr>
      <w:r>
        <w:rPr>
          <w:szCs w:val="26"/>
        </w:rPr>
        <w:t>Total</w:t>
      </w:r>
      <w:r w:rsidR="00003652">
        <w:rPr>
          <w:szCs w:val="26"/>
        </w:rPr>
        <w:t xml:space="preserve"> </w:t>
      </w:r>
      <w:r w:rsidR="00664091">
        <w:rPr>
          <w:szCs w:val="26"/>
        </w:rPr>
        <w:t>n</w:t>
      </w:r>
      <w:r w:rsidR="00F966A8">
        <w:rPr>
          <w:szCs w:val="26"/>
        </w:rPr>
        <w:t xml:space="preserve">umber </w:t>
      </w:r>
      <w:r w:rsidR="00AA70C8">
        <w:rPr>
          <w:szCs w:val="26"/>
        </w:rPr>
        <w:t>of</w:t>
      </w:r>
      <w:r w:rsidR="00A2029B">
        <w:rPr>
          <w:szCs w:val="26"/>
        </w:rPr>
        <w:t xml:space="preserve"> IBRs </w:t>
      </w:r>
      <w:r w:rsidR="000169EA">
        <w:rPr>
          <w:szCs w:val="26"/>
        </w:rPr>
        <w:t>for which</w:t>
      </w:r>
      <w:r w:rsidR="00A2029B">
        <w:rPr>
          <w:szCs w:val="26"/>
        </w:rPr>
        <w:t xml:space="preserve"> NERC-registered</w:t>
      </w:r>
      <w:r w:rsidR="00990692">
        <w:rPr>
          <w:szCs w:val="26"/>
        </w:rPr>
        <w:t xml:space="preserve"> </w:t>
      </w:r>
      <w:r>
        <w:t>generator owner</w:t>
      </w:r>
      <w:r w:rsidR="00A2029B">
        <w:t xml:space="preserve">s </w:t>
      </w:r>
      <w:r w:rsidR="000169EA">
        <w:t>will be</w:t>
      </w:r>
      <w:r w:rsidR="00A2029B">
        <w:t xml:space="preserve"> subject to compliance </w:t>
      </w:r>
      <w:r w:rsidR="00930EF2">
        <w:t xml:space="preserve">with </w:t>
      </w:r>
      <w:r w:rsidR="00801172">
        <w:t>Reliability Standard PRC-029-</w:t>
      </w:r>
      <w:r w:rsidR="00801172">
        <w:t>1</w:t>
      </w:r>
      <w:r w:rsidR="005A4A24">
        <w:t>;</w:t>
      </w:r>
    </w:p>
    <w:p w:rsidR="001017CD" w:rsidP="0024696A" w14:paraId="20A2AA8B" w14:textId="06365771">
      <w:pPr>
        <w:pStyle w:val="FERCparanumber"/>
        <w:numPr>
          <w:ilvl w:val="0"/>
          <w:numId w:val="37"/>
        </w:numPr>
        <w:rPr>
          <w:szCs w:val="26"/>
        </w:rPr>
      </w:pPr>
      <w:r>
        <w:rPr>
          <w:szCs w:val="26"/>
        </w:rPr>
        <w:t xml:space="preserve">Aggregated </w:t>
      </w:r>
      <w:r w:rsidR="004744CA">
        <w:rPr>
          <w:szCs w:val="26"/>
        </w:rPr>
        <w:t>megawatts</w:t>
      </w:r>
      <w:r>
        <w:rPr>
          <w:szCs w:val="26"/>
        </w:rPr>
        <w:t xml:space="preserve"> </w:t>
      </w:r>
      <w:r w:rsidR="004744CA">
        <w:rPr>
          <w:szCs w:val="26"/>
        </w:rPr>
        <w:t>(</w:t>
      </w:r>
      <w:r w:rsidR="007D590B">
        <w:rPr>
          <w:szCs w:val="26"/>
        </w:rPr>
        <w:t>MW</w:t>
      </w:r>
      <w:r w:rsidR="004744CA">
        <w:rPr>
          <w:szCs w:val="26"/>
        </w:rPr>
        <w:t>)</w:t>
      </w:r>
      <w:r w:rsidR="007D590B">
        <w:rPr>
          <w:szCs w:val="26"/>
        </w:rPr>
        <w:t xml:space="preserve"> capacity</w:t>
      </w:r>
      <w:r w:rsidR="00F6503C">
        <w:rPr>
          <w:szCs w:val="26"/>
        </w:rPr>
        <w:t xml:space="preserve"> of</w:t>
      </w:r>
      <w:r w:rsidR="00E66895">
        <w:rPr>
          <w:szCs w:val="26"/>
        </w:rPr>
        <w:t xml:space="preserve"> </w:t>
      </w:r>
      <w:r w:rsidR="00B21DE3">
        <w:rPr>
          <w:szCs w:val="26"/>
        </w:rPr>
        <w:t xml:space="preserve">IBRs </w:t>
      </w:r>
      <w:r w:rsidR="000169EA">
        <w:rPr>
          <w:szCs w:val="26"/>
        </w:rPr>
        <w:t>for which</w:t>
      </w:r>
      <w:r w:rsidR="00B21DE3">
        <w:rPr>
          <w:szCs w:val="26"/>
        </w:rPr>
        <w:t xml:space="preserve"> NERC-registered </w:t>
      </w:r>
      <w:r w:rsidR="00B21DE3">
        <w:t xml:space="preserve">generator owners </w:t>
      </w:r>
      <w:r w:rsidR="000169EA">
        <w:t>will be</w:t>
      </w:r>
      <w:r w:rsidR="00B21DE3">
        <w:t xml:space="preserve"> subject to compliance with Reliability Standard PRC-029-</w:t>
      </w:r>
      <w:r w:rsidR="00B21DE3">
        <w:t>1</w:t>
      </w:r>
      <w:r w:rsidR="00900A04">
        <w:rPr>
          <w:szCs w:val="26"/>
        </w:rPr>
        <w:t>;</w:t>
      </w:r>
      <w:r w:rsidR="00900A04">
        <w:rPr>
          <w:szCs w:val="26"/>
        </w:rPr>
        <w:t xml:space="preserve"> </w:t>
      </w:r>
    </w:p>
    <w:p w:rsidR="001017CD" w:rsidP="0024696A" w14:paraId="0EEB890F" w14:textId="0F18AAAB">
      <w:pPr>
        <w:pStyle w:val="FERCparanumber"/>
        <w:numPr>
          <w:ilvl w:val="0"/>
          <w:numId w:val="37"/>
        </w:numPr>
        <w:rPr>
          <w:szCs w:val="26"/>
        </w:rPr>
      </w:pPr>
      <w:r>
        <w:rPr>
          <w:szCs w:val="26"/>
        </w:rPr>
        <w:t xml:space="preserve">Total number of </w:t>
      </w:r>
      <w:r w:rsidRPr="005176D5" w:rsidR="00DB6635">
        <w:rPr>
          <w:szCs w:val="26"/>
        </w:rPr>
        <w:t xml:space="preserve">IBRs </w:t>
      </w:r>
      <w:r>
        <w:rPr>
          <w:szCs w:val="26"/>
        </w:rPr>
        <w:t xml:space="preserve">for which NERC-registered generator owners </w:t>
      </w:r>
      <w:r w:rsidRPr="005176D5" w:rsidR="00DB6635">
        <w:rPr>
          <w:szCs w:val="26"/>
        </w:rPr>
        <w:t xml:space="preserve">requested </w:t>
      </w:r>
      <w:r w:rsidRPr="005176D5" w:rsidR="00DB6635">
        <w:rPr>
          <w:szCs w:val="26"/>
        </w:rPr>
        <w:t>exemptions</w:t>
      </w:r>
      <w:r w:rsidR="00762DDE">
        <w:rPr>
          <w:szCs w:val="26"/>
        </w:rPr>
        <w:t>;</w:t>
      </w:r>
      <w:r w:rsidR="00227A69">
        <w:rPr>
          <w:szCs w:val="26"/>
        </w:rPr>
        <w:t xml:space="preserve">  </w:t>
      </w:r>
    </w:p>
    <w:p w:rsidR="00DC7722" w:rsidRPr="00DC7722" w:rsidP="00DC7722" w14:paraId="4E920D49" w14:textId="7089E8FB">
      <w:pPr>
        <w:pStyle w:val="FERCparanumber"/>
        <w:numPr>
          <w:ilvl w:val="0"/>
          <w:numId w:val="37"/>
        </w:numPr>
        <w:rPr>
          <w:szCs w:val="26"/>
        </w:rPr>
      </w:pPr>
      <w:r>
        <w:rPr>
          <w:szCs w:val="26"/>
        </w:rPr>
        <w:t xml:space="preserve">Aggregated MW capacity of IBRs for which NERC-registered generator owners requested </w:t>
      </w:r>
      <w:r>
        <w:rPr>
          <w:szCs w:val="26"/>
        </w:rPr>
        <w:t>exemptions;</w:t>
      </w:r>
    </w:p>
    <w:p w:rsidR="0035566E" w:rsidP="00A47DA6" w14:paraId="1A02A68F" w14:textId="6F6C60DD">
      <w:pPr>
        <w:pStyle w:val="FERCparanumber"/>
        <w:numPr>
          <w:ilvl w:val="0"/>
          <w:numId w:val="37"/>
        </w:numPr>
        <w:rPr>
          <w:szCs w:val="26"/>
        </w:rPr>
      </w:pPr>
      <w:r>
        <w:rPr>
          <w:szCs w:val="26"/>
        </w:rPr>
        <w:t xml:space="preserve">Total number of </w:t>
      </w:r>
      <w:r w:rsidRPr="005176D5" w:rsidR="00DB6635">
        <w:rPr>
          <w:szCs w:val="26"/>
        </w:rPr>
        <w:t>IBRs</w:t>
      </w:r>
      <w:r>
        <w:rPr>
          <w:szCs w:val="26"/>
        </w:rPr>
        <w:t xml:space="preserve"> for which NERC-registered generator owners</w:t>
      </w:r>
      <w:r w:rsidRPr="005176D5" w:rsidR="00DB6635">
        <w:rPr>
          <w:szCs w:val="26"/>
        </w:rPr>
        <w:t xml:space="preserve"> were granted </w:t>
      </w:r>
      <w:r w:rsidRPr="005176D5" w:rsidR="00DB6635">
        <w:rPr>
          <w:szCs w:val="26"/>
        </w:rPr>
        <w:t>exemptions</w:t>
      </w:r>
      <w:r w:rsidR="0077631D">
        <w:rPr>
          <w:szCs w:val="26"/>
        </w:rPr>
        <w:t>;</w:t>
      </w:r>
      <w:r w:rsidR="00C23990">
        <w:rPr>
          <w:szCs w:val="26"/>
        </w:rPr>
        <w:t xml:space="preserve"> </w:t>
      </w:r>
    </w:p>
    <w:p w:rsidR="00827123" w:rsidRPr="00A47DA6" w:rsidP="00A47DA6" w14:paraId="121DAC57" w14:textId="655371D3">
      <w:pPr>
        <w:pStyle w:val="FERCparanumber"/>
        <w:numPr>
          <w:ilvl w:val="0"/>
          <w:numId w:val="37"/>
        </w:numPr>
        <w:rPr>
          <w:szCs w:val="26"/>
        </w:rPr>
      </w:pPr>
      <w:r>
        <w:rPr>
          <w:szCs w:val="26"/>
        </w:rPr>
        <w:t xml:space="preserve">Aggregated MW capacity of IBRs for which NERC-registered generator owners were granted </w:t>
      </w:r>
      <w:r>
        <w:rPr>
          <w:szCs w:val="26"/>
        </w:rPr>
        <w:t>exemptions;</w:t>
      </w:r>
    </w:p>
    <w:p w:rsidR="00827123" w:rsidP="0024696A" w14:paraId="066F9982" w14:textId="51254BBA">
      <w:pPr>
        <w:pStyle w:val="FERCparanumber"/>
        <w:numPr>
          <w:ilvl w:val="0"/>
          <w:numId w:val="37"/>
        </w:numPr>
        <w:rPr>
          <w:szCs w:val="26"/>
        </w:rPr>
      </w:pPr>
      <w:r>
        <w:rPr>
          <w:szCs w:val="26"/>
        </w:rPr>
        <w:t xml:space="preserve">Total number of </w:t>
      </w:r>
      <w:r w:rsidR="00CB0098">
        <w:rPr>
          <w:szCs w:val="26"/>
        </w:rPr>
        <w:t>granted</w:t>
      </w:r>
      <w:r w:rsidR="006B71B8">
        <w:rPr>
          <w:szCs w:val="26"/>
        </w:rPr>
        <w:t xml:space="preserve"> exemptions</w:t>
      </w:r>
      <w:r w:rsidR="00CB0098">
        <w:rPr>
          <w:szCs w:val="26"/>
        </w:rPr>
        <w:t xml:space="preserve"> by</w:t>
      </w:r>
      <w:r w:rsidRPr="005176D5" w:rsidR="00DB6635">
        <w:rPr>
          <w:szCs w:val="26"/>
        </w:rPr>
        <w:t xml:space="preserve"> </w:t>
      </w:r>
      <w:r w:rsidR="006B71B8">
        <w:rPr>
          <w:szCs w:val="26"/>
        </w:rPr>
        <w:t xml:space="preserve">exemption </w:t>
      </w:r>
      <w:r w:rsidRPr="005176D5" w:rsidR="00DB6635">
        <w:rPr>
          <w:szCs w:val="26"/>
        </w:rPr>
        <w:t>type (voltage and/or frequency</w:t>
      </w:r>
      <w:r w:rsidRPr="005176D5" w:rsidR="00DB6635">
        <w:rPr>
          <w:szCs w:val="26"/>
        </w:rPr>
        <w:t>);</w:t>
      </w:r>
      <w:r w:rsidR="00C95CB5">
        <w:rPr>
          <w:szCs w:val="26"/>
        </w:rPr>
        <w:t xml:space="preserve"> </w:t>
      </w:r>
    </w:p>
    <w:p w:rsidR="005B03CA" w:rsidP="00847C3C" w14:paraId="697354D9" w14:textId="1C628DEA">
      <w:pPr>
        <w:pStyle w:val="FERCparanumber"/>
        <w:numPr>
          <w:ilvl w:val="0"/>
          <w:numId w:val="37"/>
        </w:numPr>
        <w:rPr>
          <w:szCs w:val="26"/>
        </w:rPr>
      </w:pPr>
      <w:r>
        <w:rPr>
          <w:szCs w:val="26"/>
        </w:rPr>
        <w:t>Aggregated MW capacity of granted exemptions by exemption type (voltage and/or frequency</w:t>
      </w:r>
      <w:r>
        <w:rPr>
          <w:szCs w:val="26"/>
        </w:rPr>
        <w:t>);</w:t>
      </w:r>
    </w:p>
    <w:p w:rsidR="00B13B67" w:rsidP="00847C3C" w14:paraId="6A2CF2BD" w14:textId="65D38C2C">
      <w:pPr>
        <w:pStyle w:val="FERCparanumber"/>
        <w:numPr>
          <w:ilvl w:val="0"/>
          <w:numId w:val="37"/>
        </w:numPr>
        <w:rPr>
          <w:szCs w:val="26"/>
        </w:rPr>
      </w:pPr>
      <w:r>
        <w:rPr>
          <w:szCs w:val="26"/>
        </w:rPr>
        <w:t xml:space="preserve">Total number of </w:t>
      </w:r>
      <w:r w:rsidR="00CB0098">
        <w:rPr>
          <w:szCs w:val="26"/>
        </w:rPr>
        <w:t>granted exemptions by</w:t>
      </w:r>
      <w:r>
        <w:rPr>
          <w:szCs w:val="26"/>
        </w:rPr>
        <w:t xml:space="preserve"> </w:t>
      </w:r>
      <w:r w:rsidRPr="005176D5" w:rsidR="00C95CB5">
        <w:rPr>
          <w:szCs w:val="26"/>
        </w:rPr>
        <w:t>IBR type (wind, solar PV, BESS, fuel cell)</w:t>
      </w:r>
      <w:r w:rsidR="00EC03A1">
        <w:rPr>
          <w:szCs w:val="26"/>
        </w:rPr>
        <w:t>;</w:t>
      </w:r>
      <w:r w:rsidR="008E25EA">
        <w:rPr>
          <w:szCs w:val="26"/>
        </w:rPr>
        <w:t xml:space="preserve"> </w:t>
      </w:r>
      <w:r w:rsidR="005B03CA">
        <w:rPr>
          <w:szCs w:val="26"/>
        </w:rPr>
        <w:t>and</w:t>
      </w:r>
    </w:p>
    <w:p w:rsidR="005B03CA" w:rsidP="00847C3C" w14:paraId="2BF5B50B" w14:textId="6FEAC6B6">
      <w:pPr>
        <w:pStyle w:val="FERCparanumber"/>
        <w:numPr>
          <w:ilvl w:val="0"/>
          <w:numId w:val="37"/>
        </w:numPr>
        <w:rPr>
          <w:szCs w:val="26"/>
        </w:rPr>
      </w:pPr>
      <w:r>
        <w:rPr>
          <w:szCs w:val="26"/>
        </w:rPr>
        <w:t xml:space="preserve">Aggregated MW capacity of granted exemptions by IBR type </w:t>
      </w:r>
      <w:r w:rsidRPr="005176D5">
        <w:rPr>
          <w:szCs w:val="26"/>
        </w:rPr>
        <w:t>(wind, solar PV, BESS, fuel cell)</w:t>
      </w:r>
      <w:r>
        <w:rPr>
          <w:szCs w:val="26"/>
        </w:rPr>
        <w:t>.</w:t>
      </w:r>
    </w:p>
    <w:p w:rsidR="00792EEE" w:rsidRPr="005176D5" w:rsidP="008E25EA" w14:paraId="56E2C79F" w14:textId="2EF2BB51">
      <w:pPr>
        <w:pStyle w:val="FERCparanumber"/>
        <w:numPr>
          <w:ilvl w:val="0"/>
          <w:numId w:val="0"/>
        </w:numPr>
        <w:rPr>
          <w:szCs w:val="26"/>
        </w:rPr>
      </w:pPr>
      <w:r>
        <w:rPr>
          <w:szCs w:val="26"/>
        </w:rPr>
        <w:t xml:space="preserve">Additionally, we propose that each informational filing include an analysis </w:t>
      </w:r>
      <w:r w:rsidR="00523C4A">
        <w:rPr>
          <w:szCs w:val="26"/>
        </w:rPr>
        <w:t xml:space="preserve">of the reasons </w:t>
      </w:r>
      <w:r w:rsidRPr="00EC03A1" w:rsidR="00992CB2">
        <w:rPr>
          <w:szCs w:val="26"/>
        </w:rPr>
        <w:t>that entities p</w:t>
      </w:r>
      <w:r w:rsidRPr="00EC03A1" w:rsidR="005A6315">
        <w:rPr>
          <w:szCs w:val="26"/>
        </w:rPr>
        <w:t>rovided for</w:t>
      </w:r>
      <w:r w:rsidRPr="00EC03A1" w:rsidR="00C52298">
        <w:rPr>
          <w:szCs w:val="26"/>
        </w:rPr>
        <w:t xml:space="preserve"> exemptions</w:t>
      </w:r>
      <w:r w:rsidRPr="00EC03A1" w:rsidR="00A146FA">
        <w:rPr>
          <w:szCs w:val="26"/>
        </w:rPr>
        <w:t xml:space="preserve"> (both granted and denied)</w:t>
      </w:r>
      <w:r w:rsidR="00AA5031">
        <w:rPr>
          <w:szCs w:val="26"/>
        </w:rPr>
        <w:t>,</w:t>
      </w:r>
      <w:r>
        <w:rPr>
          <w:rStyle w:val="FootnoteReference"/>
          <w:szCs w:val="26"/>
        </w:rPr>
        <w:footnoteReference w:id="65"/>
      </w:r>
      <w:r w:rsidRPr="005176D5" w:rsidR="00DB6635">
        <w:rPr>
          <w:szCs w:val="26"/>
        </w:rPr>
        <w:t xml:space="preserve"> </w:t>
      </w:r>
      <w:r w:rsidR="00FE2D5C">
        <w:rPr>
          <w:szCs w:val="26"/>
        </w:rPr>
        <w:t xml:space="preserve">an </w:t>
      </w:r>
      <w:r w:rsidRPr="005176D5" w:rsidR="009057D7">
        <w:rPr>
          <w:szCs w:val="26"/>
        </w:rPr>
        <w:t>evaluation of the efficacy of the exemption process</w:t>
      </w:r>
      <w:r w:rsidR="004C0251">
        <w:rPr>
          <w:szCs w:val="26"/>
        </w:rPr>
        <w:t>,</w:t>
      </w:r>
      <w:r w:rsidRPr="005176D5" w:rsidR="009057D7">
        <w:rPr>
          <w:szCs w:val="26"/>
        </w:rPr>
        <w:t xml:space="preserve"> and any recommendations to </w:t>
      </w:r>
      <w:r w:rsidRPr="005176D5" w:rsidR="00D125CF">
        <w:rPr>
          <w:szCs w:val="26"/>
        </w:rPr>
        <w:t>modify</w:t>
      </w:r>
      <w:r w:rsidRPr="005176D5" w:rsidR="00DB6635">
        <w:rPr>
          <w:szCs w:val="26"/>
        </w:rPr>
        <w:t xml:space="preserve"> </w:t>
      </w:r>
      <w:r w:rsidRPr="005176D5" w:rsidR="00892342">
        <w:rPr>
          <w:szCs w:val="26"/>
        </w:rPr>
        <w:t>either the substance o</w:t>
      </w:r>
      <w:r w:rsidRPr="005176D5" w:rsidR="009F2BFF">
        <w:rPr>
          <w:szCs w:val="26"/>
        </w:rPr>
        <w:t>r</w:t>
      </w:r>
      <w:r w:rsidRPr="005176D5" w:rsidR="00DB6635">
        <w:rPr>
          <w:szCs w:val="26"/>
        </w:rPr>
        <w:t xml:space="preserve"> </w:t>
      </w:r>
      <w:r w:rsidRPr="005176D5" w:rsidR="00926D64">
        <w:rPr>
          <w:szCs w:val="26"/>
        </w:rPr>
        <w:t>procedural aspects</w:t>
      </w:r>
      <w:r w:rsidRPr="005176D5" w:rsidR="00183394">
        <w:rPr>
          <w:szCs w:val="26"/>
        </w:rPr>
        <w:t>.</w:t>
      </w:r>
      <w:r w:rsidRPr="005176D5" w:rsidR="00DB6635">
        <w:rPr>
          <w:szCs w:val="26"/>
        </w:rPr>
        <w:t xml:space="preserve"> </w:t>
      </w:r>
    </w:p>
    <w:p w:rsidR="00F239F6" w:rsidRPr="00E3025E" w:rsidP="004E3BAF" w14:paraId="3301AEEF" w14:textId="6DBBD896">
      <w:pPr>
        <w:pStyle w:val="Heading1"/>
        <w:rPr>
          <w:u w:val="none"/>
        </w:rPr>
      </w:pPr>
      <w:r w:rsidRPr="00E3025E">
        <w:rPr>
          <w:u w:val="none"/>
        </w:rPr>
        <w:t>Information Collection Statement</w:t>
      </w:r>
    </w:p>
    <w:p w:rsidR="008445EA" w:rsidP="00007EFD" w14:paraId="51E2DB52" w14:textId="64A26F7B">
      <w:pPr>
        <w:pStyle w:val="FERCparanumber"/>
      </w:pPr>
      <w:r>
        <w:t xml:space="preserve">The </w:t>
      </w:r>
      <w:r w:rsidRPr="004E3BAF">
        <w:t>FERC</w:t>
      </w:r>
      <w:r>
        <w:t>-725</w:t>
      </w:r>
      <w:r w:rsidRPr="001F4EE5" w:rsidR="00844014">
        <w:t>G</w:t>
      </w:r>
      <w:r>
        <w:t xml:space="preserve"> information collection requirements are subject to review by the Office of Management and Budget (OMB) under section 3507(d) of the Paperwork Reduction Act of 1995.  OMB’s regulations require approval of certain information collection requirements imposed by agency rules.  Upon approval of a collection of information, OMB will assign an OMB control number and expiration date.  Respondents subject to the filing requirements will not be penalized for failing to respond to these collections of information unless the collections of information display a valid OMB control number.  The Commission solicits comments on the need for this information, whether the information will have practical utility, the accuracy of the burden estimates, ways to enhance the quality, utility, and clarity of the information to be collected or retained, and any suggested methods for minimizing respondents’ burden, including the use of automated information techniques. </w:t>
      </w:r>
    </w:p>
    <w:p w:rsidR="008445EA" w:rsidP="00AE5E14" w14:paraId="79C0E4DF" w14:textId="549C44B3">
      <w:pPr>
        <w:pStyle w:val="FERCparanumber"/>
        <w:numPr>
          <w:ilvl w:val="0"/>
          <w:numId w:val="11"/>
        </w:numPr>
      </w:pPr>
      <w:r>
        <w:t xml:space="preserve">The Commission bases its </w:t>
      </w:r>
      <w:r w:rsidRPr="004E3BAF">
        <w:t>paperwork</w:t>
      </w:r>
      <w:r>
        <w:t xml:space="preserve"> burden estimates on the additional paperwork burden presented by the proposed Reliability Standard</w:t>
      </w:r>
      <w:r w:rsidR="00DF495A">
        <w:t>s</w:t>
      </w:r>
      <w:r>
        <w:t xml:space="preserve"> </w:t>
      </w:r>
      <w:r w:rsidR="0010396C">
        <w:t>PRC-024</w:t>
      </w:r>
      <w:r w:rsidR="006A0DAA">
        <w:t>-4</w:t>
      </w:r>
      <w:r w:rsidR="00381ED5">
        <w:t xml:space="preserve"> and </w:t>
      </w:r>
      <w:r>
        <w:t>PRC-029-1</w:t>
      </w:r>
      <w:r w:rsidR="002D7F17">
        <w:t>,</w:t>
      </w:r>
      <w:r>
        <w:t xml:space="preserve"> as</w:t>
      </w:r>
      <w:r w:rsidR="00E56F97">
        <w:t xml:space="preserve"> modified</w:t>
      </w:r>
      <w:r>
        <w:t xml:space="preserve"> </w:t>
      </w:r>
      <w:r w:rsidR="00C24DE3">
        <w:t xml:space="preserve">and new </w:t>
      </w:r>
      <w:r>
        <w:t>Reliability Standard</w:t>
      </w:r>
      <w:r w:rsidR="00E56F97">
        <w:t>s</w:t>
      </w:r>
      <w:r w:rsidR="00DF495A">
        <w:t>, respectively</w:t>
      </w:r>
      <w:r w:rsidR="00FB4306">
        <w:t>,</w:t>
      </w:r>
      <w:r w:rsidR="00386EB3">
        <w:t xml:space="preserve"> </w:t>
      </w:r>
      <w:r w:rsidR="00D63C7D">
        <w:t xml:space="preserve">and </w:t>
      </w:r>
      <w:r w:rsidR="00C47731">
        <w:t xml:space="preserve">the proposed directive </w:t>
      </w:r>
      <w:r w:rsidR="00F84816">
        <w:t xml:space="preserve">for NERC to submit </w:t>
      </w:r>
      <w:r w:rsidR="007F7FC8">
        <w:t>two information</w:t>
      </w:r>
      <w:r w:rsidR="00856E14">
        <w:t>al</w:t>
      </w:r>
      <w:r w:rsidR="007F7FC8">
        <w:t xml:space="preserve"> filings related to Ride-through exemption requests</w:t>
      </w:r>
      <w:r>
        <w:t>.</w:t>
      </w:r>
      <w:r>
        <w:rPr>
          <w:rStyle w:val="FootnoteReference"/>
        </w:rPr>
        <w:footnoteReference w:id="66"/>
      </w:r>
      <w:r>
        <w:t xml:space="preserve">  Reliability Standards are objective-based and allow entities to choose compliance approaches best tailored to their systems.  The NERC Compliance Registry, as of </w:t>
      </w:r>
      <w:r w:rsidR="009C0B58">
        <w:t>September</w:t>
      </w:r>
      <w:r>
        <w:t xml:space="preserve"> 2024, identifies </w:t>
      </w:r>
      <w:r w:rsidR="00F64813">
        <w:t xml:space="preserve">the following </w:t>
      </w:r>
      <w:r>
        <w:t>unique U.S. entities that are subject to mandatory compliance with Reliability Standard</w:t>
      </w:r>
      <w:r w:rsidR="001F57EC">
        <w:t xml:space="preserve"> PRC-024-4: </w:t>
      </w:r>
      <w:r w:rsidR="005328D0">
        <w:t xml:space="preserve"> </w:t>
      </w:r>
      <w:r w:rsidRPr="00F35079" w:rsidR="00F35079">
        <w:t>1,230 generator owners will have an additional compliance burden.  It is estimated that there will</w:t>
      </w:r>
      <w:r w:rsidR="005328D0">
        <w:t xml:space="preserve"> be</w:t>
      </w:r>
      <w:r w:rsidRPr="00F35079" w:rsidR="00F35079">
        <w:t xml:space="preserve"> no additional compliance burden for transmission owners that have synchronous condensers, as that data is not included in the NERC Compliance Registry, and transmission owners are already applicable to PRC-024-4.  </w:t>
      </w:r>
      <w:r w:rsidRPr="004B4446" w:rsidR="004B4446">
        <w:t>The estimated unique U.S. entities subject to</w:t>
      </w:r>
      <w:r w:rsidR="006A0DAA">
        <w:t xml:space="preserve"> Reliability Standard</w:t>
      </w:r>
      <w:r w:rsidRPr="004B4446" w:rsidR="004B4446">
        <w:t xml:space="preserve"> PRC-029-1 compliance are based on numbers supplied by NERC, with 591 registered generator owners that own bulk electric system (BES) solar and wind facilities and a median </w:t>
      </w:r>
      <w:r w:rsidR="005328D0">
        <w:t xml:space="preserve">of </w:t>
      </w:r>
      <w:r w:rsidRPr="004B4446" w:rsidR="004B4446">
        <w:t>755 generator owners that own non-BES facilities.</w:t>
      </w:r>
      <w:r>
        <w:rPr>
          <w:b/>
          <w:vertAlign w:val="superscript"/>
        </w:rPr>
        <w:footnoteReference w:id="67"/>
      </w:r>
      <w:r w:rsidRPr="004B4446" w:rsidR="004B4446">
        <w:t xml:space="preserve"> </w:t>
      </w:r>
      <w:r>
        <w:t xml:space="preserve"> Based on these assumptions, we estimate the following reporting burden:</w:t>
      </w:r>
    </w:p>
    <w:tbl>
      <w:tblPr>
        <w:tblStyle w:val="TableGrid"/>
        <w:tblW w:w="0" w:type="auto"/>
        <w:tblLayout w:type="fixed"/>
        <w:tblLook w:val="04A0"/>
      </w:tblPr>
      <w:tblGrid>
        <w:gridCol w:w="1525"/>
        <w:gridCol w:w="1800"/>
        <w:gridCol w:w="1440"/>
        <w:gridCol w:w="1440"/>
        <w:gridCol w:w="1350"/>
        <w:gridCol w:w="1795"/>
      </w:tblGrid>
      <w:tr w14:paraId="5399C962" w14:textId="77777777">
        <w:tblPrEx>
          <w:tblW w:w="0" w:type="auto"/>
          <w:tblLayout w:type="fixed"/>
          <w:tblLook w:val="04A0"/>
        </w:tblPrEx>
        <w:tc>
          <w:tcPr>
            <w:tcW w:w="9350" w:type="dxa"/>
            <w:gridSpan w:val="6"/>
            <w:shd w:val="clear" w:color="auto" w:fill="D0CECE" w:themeFill="background2" w:themeFillShade="E6"/>
          </w:tcPr>
          <w:p w:rsidR="00EE7941" w:rsidRPr="00EE7941" w:rsidP="00E068AB" w14:paraId="588A7AE7" w14:textId="77777777">
            <w:pPr>
              <w:pStyle w:val="FERCparanumber"/>
              <w:numPr>
                <w:ilvl w:val="0"/>
                <w:numId w:val="0"/>
              </w:numPr>
              <w:jc w:val="center"/>
              <w:rPr>
                <w:rFonts w:eastAsiaTheme="minorHAnsi"/>
                <w:szCs w:val="22"/>
              </w:rPr>
            </w:pPr>
            <w:r w:rsidRPr="00EE7941">
              <w:rPr>
                <w:rFonts w:eastAsiaTheme="minorHAnsi"/>
                <w:b/>
                <w:bCs/>
                <w:szCs w:val="22"/>
              </w:rPr>
              <w:t>Proposed Changes in Burden PRC-024-4 Docket No. RM25-3-000</w:t>
            </w:r>
          </w:p>
        </w:tc>
      </w:tr>
      <w:tr w14:paraId="67361131" w14:textId="77777777" w:rsidTr="006B7532">
        <w:tblPrEx>
          <w:tblW w:w="0" w:type="auto"/>
          <w:tblLayout w:type="fixed"/>
          <w:tblLook w:val="04A0"/>
        </w:tblPrEx>
        <w:tc>
          <w:tcPr>
            <w:tcW w:w="1525" w:type="dxa"/>
          </w:tcPr>
          <w:p w:rsidR="00EE7941" w:rsidRPr="00EE7941" w:rsidP="00E068AB" w14:paraId="4DCF89CB" w14:textId="77777777">
            <w:pPr>
              <w:pStyle w:val="FERCparanumber"/>
              <w:numPr>
                <w:ilvl w:val="0"/>
                <w:numId w:val="0"/>
              </w:numPr>
              <w:spacing w:line="240" w:lineRule="auto"/>
              <w:rPr>
                <w:rFonts w:eastAsiaTheme="minorHAnsi"/>
                <w:szCs w:val="22"/>
              </w:rPr>
            </w:pPr>
            <w:r w:rsidRPr="00EE7941">
              <w:rPr>
                <w:rFonts w:eastAsiaTheme="minorHAnsi"/>
                <w:b/>
                <w:bCs/>
                <w:szCs w:val="22"/>
              </w:rPr>
              <w:t>Reliability Standard</w:t>
            </w:r>
          </w:p>
        </w:tc>
        <w:tc>
          <w:tcPr>
            <w:tcW w:w="1800" w:type="dxa"/>
          </w:tcPr>
          <w:p w:rsidR="00EE7941" w:rsidRPr="00EE7941" w:rsidP="00E068AB" w14:paraId="2DE61EBE" w14:textId="77777777">
            <w:pPr>
              <w:pStyle w:val="FERCparanumber"/>
              <w:numPr>
                <w:ilvl w:val="0"/>
                <w:numId w:val="0"/>
              </w:numPr>
              <w:spacing w:line="240" w:lineRule="auto"/>
              <w:rPr>
                <w:rFonts w:eastAsiaTheme="minorHAnsi"/>
                <w:szCs w:val="22"/>
              </w:rPr>
            </w:pPr>
            <w:r w:rsidRPr="00EE7941">
              <w:rPr>
                <w:rFonts w:eastAsiaTheme="minorHAnsi"/>
                <w:b/>
                <w:bCs/>
                <w:szCs w:val="22"/>
              </w:rPr>
              <w:t>Type and Number of Entity</w:t>
            </w:r>
            <w:r>
              <w:rPr>
                <w:rFonts w:eastAsiaTheme="minorHAnsi"/>
                <w:bCs/>
                <w:szCs w:val="22"/>
                <w:vertAlign w:val="superscript"/>
              </w:rPr>
              <w:footnoteReference w:id="68"/>
            </w:r>
            <w:r w:rsidRPr="00EE7941">
              <w:rPr>
                <w:rFonts w:eastAsiaTheme="minorHAnsi"/>
                <w:szCs w:val="22"/>
              </w:rPr>
              <w:t> (1) </w:t>
            </w:r>
          </w:p>
        </w:tc>
        <w:tc>
          <w:tcPr>
            <w:tcW w:w="1440" w:type="dxa"/>
          </w:tcPr>
          <w:p w:rsidR="00EE7941" w:rsidRPr="00EE7941" w:rsidP="00E068AB" w14:paraId="70362B5F" w14:textId="77777777">
            <w:pPr>
              <w:pStyle w:val="FERCparanumber"/>
              <w:numPr>
                <w:ilvl w:val="0"/>
                <w:numId w:val="0"/>
              </w:numPr>
              <w:spacing w:line="240" w:lineRule="auto"/>
              <w:rPr>
                <w:rFonts w:eastAsiaTheme="minorHAnsi"/>
                <w:szCs w:val="22"/>
              </w:rPr>
            </w:pPr>
            <w:r w:rsidRPr="00EE7941">
              <w:rPr>
                <w:rFonts w:eastAsiaTheme="minorHAnsi"/>
                <w:b/>
                <w:bCs/>
                <w:szCs w:val="22"/>
              </w:rPr>
              <w:t>Number of Annual Responses Per Entity</w:t>
            </w:r>
            <w:r w:rsidRPr="00EE7941">
              <w:rPr>
                <w:rFonts w:eastAsiaTheme="minorHAnsi"/>
                <w:szCs w:val="22"/>
              </w:rPr>
              <w:t> </w:t>
            </w:r>
            <w:r w:rsidRPr="00EE7941">
              <w:rPr>
                <w:rFonts w:eastAsiaTheme="minorHAnsi"/>
                <w:b/>
                <w:bCs/>
                <w:szCs w:val="22"/>
              </w:rPr>
              <w:t>(</w:t>
            </w:r>
            <w:r w:rsidRPr="00EE7941">
              <w:rPr>
                <w:rFonts w:eastAsiaTheme="minorHAnsi"/>
                <w:szCs w:val="22"/>
              </w:rPr>
              <w:t>2) </w:t>
            </w:r>
          </w:p>
        </w:tc>
        <w:tc>
          <w:tcPr>
            <w:tcW w:w="1440" w:type="dxa"/>
          </w:tcPr>
          <w:p w:rsidR="00EE7941" w:rsidRPr="00EE7941" w:rsidP="00E068AB" w14:paraId="692ADF3C" w14:textId="77777777">
            <w:pPr>
              <w:pStyle w:val="FERCparanumber"/>
              <w:numPr>
                <w:ilvl w:val="0"/>
                <w:numId w:val="0"/>
              </w:numPr>
              <w:spacing w:line="240" w:lineRule="auto"/>
              <w:rPr>
                <w:rFonts w:eastAsiaTheme="minorHAnsi"/>
                <w:szCs w:val="22"/>
              </w:rPr>
            </w:pPr>
            <w:r w:rsidRPr="00EE7941">
              <w:rPr>
                <w:rFonts w:eastAsiaTheme="minorHAnsi"/>
                <w:b/>
                <w:bCs/>
                <w:szCs w:val="22"/>
              </w:rPr>
              <w:t>Total Number of Responses</w:t>
            </w:r>
            <w:r w:rsidRPr="00EE7941">
              <w:rPr>
                <w:rFonts w:eastAsiaTheme="minorHAnsi"/>
                <w:szCs w:val="22"/>
              </w:rPr>
              <w:t> </w:t>
            </w:r>
          </w:p>
          <w:p w:rsidR="00EE7941" w:rsidRPr="00EE7941" w:rsidP="00E068AB" w14:paraId="2CC2E73A" w14:textId="77777777">
            <w:pPr>
              <w:pStyle w:val="FERCparanumber"/>
              <w:numPr>
                <w:ilvl w:val="0"/>
                <w:numId w:val="0"/>
              </w:numPr>
              <w:spacing w:line="240" w:lineRule="auto"/>
              <w:rPr>
                <w:rFonts w:eastAsiaTheme="minorHAnsi"/>
                <w:szCs w:val="22"/>
              </w:rPr>
            </w:pPr>
            <w:r w:rsidRPr="00EE7941">
              <w:rPr>
                <w:rFonts w:eastAsiaTheme="minorHAnsi"/>
                <w:b/>
                <w:bCs/>
                <w:szCs w:val="22"/>
              </w:rPr>
              <w:t>(</w:t>
            </w:r>
            <w:r w:rsidRPr="00EE7941">
              <w:rPr>
                <w:rFonts w:eastAsiaTheme="minorHAnsi"/>
                <w:b/>
                <w:bCs/>
                <w:szCs w:val="22"/>
              </w:rPr>
              <w:t>1)*</w:t>
            </w:r>
            <w:r w:rsidRPr="00EE7941">
              <w:rPr>
                <w:rFonts w:eastAsiaTheme="minorHAnsi"/>
                <w:b/>
                <w:bCs/>
                <w:szCs w:val="22"/>
              </w:rPr>
              <w:t>(2)=(3)</w:t>
            </w:r>
            <w:r w:rsidRPr="00EE7941">
              <w:rPr>
                <w:rFonts w:eastAsiaTheme="minorHAnsi"/>
                <w:szCs w:val="22"/>
              </w:rPr>
              <w:t> </w:t>
            </w:r>
          </w:p>
        </w:tc>
        <w:tc>
          <w:tcPr>
            <w:tcW w:w="1350" w:type="dxa"/>
          </w:tcPr>
          <w:p w:rsidR="00EE7941" w:rsidRPr="00EE7941" w:rsidP="00E068AB" w14:paraId="030F0B7D" w14:textId="71403A6C">
            <w:pPr>
              <w:pStyle w:val="FERCparanumber"/>
              <w:numPr>
                <w:ilvl w:val="0"/>
                <w:numId w:val="0"/>
              </w:numPr>
              <w:spacing w:line="240" w:lineRule="auto"/>
              <w:rPr>
                <w:rFonts w:eastAsiaTheme="minorHAnsi"/>
                <w:szCs w:val="22"/>
              </w:rPr>
            </w:pPr>
            <w:r w:rsidRPr="00EE7941">
              <w:rPr>
                <w:rFonts w:eastAsiaTheme="minorHAnsi"/>
                <w:b/>
                <w:bCs/>
                <w:szCs w:val="22"/>
              </w:rPr>
              <w:t xml:space="preserve">Average </w:t>
            </w:r>
            <w:r w:rsidRPr="00EE7941">
              <w:rPr>
                <w:rFonts w:eastAsiaTheme="minorHAnsi"/>
                <w:b/>
                <w:bCs/>
                <w:szCs w:val="22"/>
              </w:rPr>
              <w:t>Number</w:t>
            </w:r>
            <w:r w:rsidRPr="00EE7941">
              <w:rPr>
                <w:rFonts w:eastAsiaTheme="minorHAnsi"/>
                <w:b/>
                <w:bCs/>
                <w:szCs w:val="22"/>
              </w:rPr>
              <w:t xml:space="preserve"> of Burden Hours per Response</w:t>
            </w:r>
            <w:r>
              <w:rPr>
                <w:rFonts w:eastAsiaTheme="minorHAnsi"/>
                <w:vertAlign w:val="superscript"/>
              </w:rPr>
              <w:footnoteReference w:id="69"/>
            </w:r>
            <w:r w:rsidRPr="00CE7A7B">
              <w:rPr>
                <w:rFonts w:eastAsiaTheme="minorHAnsi"/>
                <w:szCs w:val="22"/>
              </w:rPr>
              <w:t> </w:t>
            </w:r>
            <w:r w:rsidRPr="00EE7941">
              <w:rPr>
                <w:rFonts w:eastAsiaTheme="minorHAnsi"/>
                <w:b/>
                <w:bCs/>
                <w:szCs w:val="22"/>
              </w:rPr>
              <w:t>(4)</w:t>
            </w:r>
            <w:r w:rsidRPr="00EE7941">
              <w:rPr>
                <w:rFonts w:eastAsiaTheme="minorHAnsi"/>
                <w:szCs w:val="22"/>
              </w:rPr>
              <w:t> </w:t>
            </w:r>
          </w:p>
        </w:tc>
        <w:tc>
          <w:tcPr>
            <w:tcW w:w="1795" w:type="dxa"/>
          </w:tcPr>
          <w:p w:rsidR="00EE7941" w:rsidRPr="00EE7941" w:rsidP="00E068AB" w14:paraId="73387AD8" w14:textId="77777777">
            <w:pPr>
              <w:pStyle w:val="FERCparanumber"/>
              <w:numPr>
                <w:ilvl w:val="0"/>
                <w:numId w:val="0"/>
              </w:numPr>
              <w:spacing w:line="240" w:lineRule="auto"/>
              <w:rPr>
                <w:rFonts w:eastAsiaTheme="minorHAnsi"/>
                <w:szCs w:val="22"/>
              </w:rPr>
            </w:pPr>
            <w:r w:rsidRPr="00EE7941">
              <w:rPr>
                <w:rFonts w:eastAsiaTheme="minorHAnsi"/>
                <w:b/>
                <w:bCs/>
                <w:szCs w:val="22"/>
              </w:rPr>
              <w:t>Total Burden Hours</w:t>
            </w:r>
            <w:r w:rsidRPr="00EE7941">
              <w:rPr>
                <w:rFonts w:eastAsiaTheme="minorHAnsi"/>
                <w:szCs w:val="22"/>
              </w:rPr>
              <w:t> </w:t>
            </w:r>
          </w:p>
          <w:p w:rsidR="00EE7941" w:rsidRPr="00EE7941" w:rsidP="00E068AB" w14:paraId="58CDB8C4" w14:textId="77777777">
            <w:pPr>
              <w:pStyle w:val="FERCparanumber"/>
              <w:numPr>
                <w:ilvl w:val="0"/>
                <w:numId w:val="0"/>
              </w:numPr>
              <w:spacing w:line="240" w:lineRule="auto"/>
              <w:rPr>
                <w:rFonts w:eastAsiaTheme="minorHAnsi"/>
                <w:szCs w:val="22"/>
              </w:rPr>
            </w:pPr>
            <w:r w:rsidRPr="00EE7941">
              <w:rPr>
                <w:rFonts w:eastAsiaTheme="minorHAnsi"/>
                <w:b/>
                <w:bCs/>
                <w:szCs w:val="22"/>
              </w:rPr>
              <w:t>(</w:t>
            </w:r>
            <w:r w:rsidRPr="00EE7941">
              <w:rPr>
                <w:rFonts w:eastAsiaTheme="minorHAnsi"/>
                <w:b/>
                <w:bCs/>
                <w:szCs w:val="22"/>
              </w:rPr>
              <w:t>3)*</w:t>
            </w:r>
            <w:r w:rsidRPr="00EE7941">
              <w:rPr>
                <w:rFonts w:eastAsiaTheme="minorHAnsi"/>
                <w:b/>
                <w:bCs/>
                <w:szCs w:val="22"/>
              </w:rPr>
              <w:t>(4)=(5)</w:t>
            </w:r>
            <w:r w:rsidRPr="00EE7941">
              <w:rPr>
                <w:rFonts w:eastAsiaTheme="minorHAnsi"/>
                <w:szCs w:val="22"/>
              </w:rPr>
              <w:t> </w:t>
            </w:r>
          </w:p>
        </w:tc>
      </w:tr>
      <w:tr w14:paraId="149EE14B" w14:textId="77777777">
        <w:tblPrEx>
          <w:tblW w:w="0" w:type="auto"/>
          <w:tblLayout w:type="fixed"/>
          <w:tblLook w:val="04A0"/>
        </w:tblPrEx>
        <w:tc>
          <w:tcPr>
            <w:tcW w:w="9350" w:type="dxa"/>
            <w:gridSpan w:val="6"/>
            <w:shd w:val="clear" w:color="auto" w:fill="D0CECE" w:themeFill="background2" w:themeFillShade="E6"/>
          </w:tcPr>
          <w:p w:rsidR="00EE7941" w:rsidRPr="00EE7941" w:rsidP="00E068AB" w14:paraId="203E6469" w14:textId="77777777">
            <w:pPr>
              <w:pStyle w:val="FERCparanumber"/>
              <w:numPr>
                <w:ilvl w:val="0"/>
                <w:numId w:val="0"/>
              </w:numPr>
              <w:jc w:val="center"/>
              <w:rPr>
                <w:rFonts w:eastAsiaTheme="minorHAnsi"/>
                <w:szCs w:val="22"/>
              </w:rPr>
            </w:pPr>
            <w:r w:rsidRPr="00EE7941">
              <w:rPr>
                <w:rFonts w:eastAsiaTheme="minorHAnsi"/>
                <w:b/>
                <w:bCs/>
                <w:szCs w:val="22"/>
              </w:rPr>
              <w:t>Annual Collection PRC024-4 FERC-725G</w:t>
            </w:r>
          </w:p>
        </w:tc>
      </w:tr>
      <w:tr w14:paraId="01DF8DA7" w14:textId="77777777" w:rsidTr="00E068AB">
        <w:tblPrEx>
          <w:tblW w:w="0" w:type="auto"/>
          <w:tblLayout w:type="fixed"/>
          <w:tblLook w:val="04A0"/>
        </w:tblPrEx>
        <w:tc>
          <w:tcPr>
            <w:tcW w:w="1525" w:type="dxa"/>
          </w:tcPr>
          <w:p w:rsidR="00EE7941" w:rsidRPr="00EE7941" w:rsidP="00E068AB" w14:paraId="2E35C939" w14:textId="77777777">
            <w:pPr>
              <w:pStyle w:val="FERCparanumber"/>
              <w:numPr>
                <w:ilvl w:val="0"/>
                <w:numId w:val="0"/>
              </w:numPr>
              <w:spacing w:line="240" w:lineRule="auto"/>
              <w:rPr>
                <w:rFonts w:eastAsiaTheme="minorHAnsi"/>
                <w:szCs w:val="22"/>
              </w:rPr>
            </w:pPr>
            <w:r w:rsidRPr="00EE7941">
              <w:rPr>
                <w:rFonts w:eastAsiaTheme="minorHAnsi"/>
                <w:b/>
                <w:bCs/>
                <w:szCs w:val="22"/>
              </w:rPr>
              <w:t>Annual review and record retention</w:t>
            </w:r>
          </w:p>
        </w:tc>
        <w:tc>
          <w:tcPr>
            <w:tcW w:w="1800" w:type="dxa"/>
          </w:tcPr>
          <w:p w:rsidR="00EE7941" w:rsidRPr="00EE7941" w:rsidP="00E068AB" w14:paraId="6075546A" w14:textId="77777777">
            <w:pPr>
              <w:pStyle w:val="FERCparanumber"/>
              <w:numPr>
                <w:ilvl w:val="0"/>
                <w:numId w:val="0"/>
              </w:numPr>
              <w:spacing w:line="240" w:lineRule="auto"/>
              <w:rPr>
                <w:rFonts w:eastAsiaTheme="minorHAnsi"/>
                <w:szCs w:val="22"/>
              </w:rPr>
            </w:pPr>
            <w:r w:rsidRPr="00EE7941">
              <w:rPr>
                <w:rFonts w:eastAsiaTheme="minorHAnsi"/>
                <w:szCs w:val="22"/>
              </w:rPr>
              <w:t>1,230 (GO)</w:t>
            </w:r>
          </w:p>
        </w:tc>
        <w:tc>
          <w:tcPr>
            <w:tcW w:w="1440" w:type="dxa"/>
          </w:tcPr>
          <w:p w:rsidR="00EE7941" w:rsidRPr="00EE7941" w:rsidP="00E068AB" w14:paraId="10345601" w14:textId="77777777">
            <w:pPr>
              <w:pStyle w:val="FERCparanumber"/>
              <w:numPr>
                <w:ilvl w:val="0"/>
                <w:numId w:val="0"/>
              </w:numPr>
              <w:spacing w:line="240" w:lineRule="auto"/>
              <w:rPr>
                <w:rFonts w:eastAsiaTheme="minorHAnsi"/>
                <w:szCs w:val="22"/>
              </w:rPr>
            </w:pPr>
            <w:r w:rsidRPr="00EE7941">
              <w:rPr>
                <w:rFonts w:eastAsiaTheme="minorHAnsi"/>
                <w:szCs w:val="22"/>
              </w:rPr>
              <w:t>1</w:t>
            </w:r>
          </w:p>
        </w:tc>
        <w:tc>
          <w:tcPr>
            <w:tcW w:w="1440" w:type="dxa"/>
          </w:tcPr>
          <w:p w:rsidR="00EE7941" w:rsidRPr="00EE7941" w:rsidP="00E068AB" w14:paraId="42D422A1" w14:textId="77777777">
            <w:pPr>
              <w:pStyle w:val="FERCparanumber"/>
              <w:numPr>
                <w:ilvl w:val="0"/>
                <w:numId w:val="0"/>
              </w:numPr>
              <w:spacing w:line="240" w:lineRule="auto"/>
              <w:rPr>
                <w:rFonts w:eastAsiaTheme="minorHAnsi"/>
                <w:szCs w:val="22"/>
              </w:rPr>
            </w:pPr>
            <w:r w:rsidRPr="00EE7941">
              <w:rPr>
                <w:rFonts w:eastAsiaTheme="minorHAnsi"/>
                <w:szCs w:val="22"/>
              </w:rPr>
              <w:t>1,230</w:t>
            </w:r>
          </w:p>
        </w:tc>
        <w:tc>
          <w:tcPr>
            <w:tcW w:w="1350" w:type="dxa"/>
          </w:tcPr>
          <w:p w:rsidR="00EE7941" w:rsidRPr="00EE7941" w:rsidP="00E068AB" w14:paraId="5F415227" w14:textId="77777777">
            <w:pPr>
              <w:pStyle w:val="FERCparanumber"/>
              <w:numPr>
                <w:ilvl w:val="0"/>
                <w:numId w:val="0"/>
              </w:numPr>
              <w:spacing w:line="240" w:lineRule="auto"/>
              <w:rPr>
                <w:rFonts w:eastAsiaTheme="minorHAnsi"/>
                <w:szCs w:val="22"/>
              </w:rPr>
            </w:pPr>
            <w:r w:rsidRPr="00EE7941">
              <w:rPr>
                <w:rFonts w:eastAsiaTheme="minorHAnsi"/>
                <w:szCs w:val="22"/>
              </w:rPr>
              <w:t>20 hrs. </w:t>
            </w:r>
          </w:p>
          <w:p w:rsidR="00EE7941" w:rsidRPr="00EE7941" w:rsidP="00E068AB" w14:paraId="67F98FF0" w14:textId="77777777">
            <w:pPr>
              <w:pStyle w:val="FERCparanumber"/>
              <w:numPr>
                <w:ilvl w:val="0"/>
                <w:numId w:val="0"/>
              </w:numPr>
              <w:spacing w:line="240" w:lineRule="auto"/>
              <w:rPr>
                <w:rFonts w:eastAsiaTheme="minorHAnsi"/>
                <w:szCs w:val="22"/>
              </w:rPr>
            </w:pPr>
            <w:r w:rsidRPr="00EE7941">
              <w:rPr>
                <w:rFonts w:eastAsiaTheme="minorHAnsi"/>
                <w:szCs w:val="22"/>
              </w:rPr>
              <w:t>$ 70.67/</w:t>
            </w:r>
            <w:r w:rsidRPr="00EE7941">
              <w:rPr>
                <w:rFonts w:eastAsiaTheme="minorHAnsi"/>
                <w:szCs w:val="22"/>
              </w:rPr>
              <w:t>hr</w:t>
            </w:r>
          </w:p>
        </w:tc>
        <w:tc>
          <w:tcPr>
            <w:tcW w:w="1795" w:type="dxa"/>
          </w:tcPr>
          <w:p w:rsidR="00EE7941" w:rsidRPr="00EE7941" w:rsidP="00E068AB" w14:paraId="6C13C7FF" w14:textId="6F21E3A9">
            <w:pPr>
              <w:pStyle w:val="FERCparanumber"/>
              <w:numPr>
                <w:ilvl w:val="0"/>
                <w:numId w:val="0"/>
              </w:numPr>
              <w:spacing w:line="240" w:lineRule="auto"/>
              <w:rPr>
                <w:rFonts w:eastAsiaTheme="minorHAnsi"/>
                <w:szCs w:val="22"/>
              </w:rPr>
            </w:pPr>
            <w:r w:rsidRPr="00EE7941">
              <w:rPr>
                <w:rFonts w:eastAsiaTheme="minorHAnsi"/>
                <w:szCs w:val="22"/>
              </w:rPr>
              <w:t>24,600 hrs. </w:t>
            </w:r>
          </w:p>
          <w:p w:rsidR="00EE7941" w:rsidRPr="00EE7941" w:rsidP="00E068AB" w14:paraId="4DEC6B5C" w14:textId="77777777">
            <w:pPr>
              <w:pStyle w:val="FERCparanumber"/>
              <w:numPr>
                <w:ilvl w:val="0"/>
                <w:numId w:val="0"/>
              </w:numPr>
              <w:spacing w:line="240" w:lineRule="auto"/>
              <w:rPr>
                <w:rFonts w:eastAsiaTheme="minorHAnsi"/>
                <w:szCs w:val="22"/>
              </w:rPr>
            </w:pPr>
            <w:r w:rsidRPr="00EE7941">
              <w:rPr>
                <w:rFonts w:eastAsiaTheme="minorHAnsi"/>
                <w:szCs w:val="22"/>
              </w:rPr>
              <w:t>$ 1,738,482</w:t>
            </w:r>
          </w:p>
        </w:tc>
      </w:tr>
      <w:tr w14:paraId="755F3DCE" w14:textId="77777777" w:rsidTr="00E068AB">
        <w:tblPrEx>
          <w:tblW w:w="0" w:type="auto"/>
          <w:tblLayout w:type="fixed"/>
          <w:tblLook w:val="04A0"/>
        </w:tblPrEx>
        <w:tc>
          <w:tcPr>
            <w:tcW w:w="1525" w:type="dxa"/>
          </w:tcPr>
          <w:p w:rsidR="00EE7941" w:rsidRPr="00EE7941" w:rsidP="00E068AB" w14:paraId="784A025A" w14:textId="77777777">
            <w:pPr>
              <w:pStyle w:val="FERCparanumber"/>
              <w:numPr>
                <w:ilvl w:val="0"/>
                <w:numId w:val="0"/>
              </w:numPr>
              <w:spacing w:line="240" w:lineRule="auto"/>
              <w:rPr>
                <w:rFonts w:eastAsiaTheme="minorHAnsi"/>
                <w:szCs w:val="22"/>
              </w:rPr>
            </w:pPr>
            <w:r w:rsidRPr="00EE7941">
              <w:rPr>
                <w:rFonts w:eastAsiaTheme="minorHAnsi"/>
                <w:b/>
                <w:bCs/>
                <w:szCs w:val="22"/>
              </w:rPr>
              <w:t>Total for PRC-024-4</w:t>
            </w:r>
            <w:r w:rsidRPr="00EE7941">
              <w:rPr>
                <w:rFonts w:eastAsiaTheme="minorHAnsi"/>
                <w:szCs w:val="22"/>
              </w:rPr>
              <w:t> </w:t>
            </w:r>
          </w:p>
        </w:tc>
        <w:tc>
          <w:tcPr>
            <w:tcW w:w="1800" w:type="dxa"/>
          </w:tcPr>
          <w:p w:rsidR="00EE7941" w:rsidRPr="00EE7941" w:rsidP="00E068AB" w14:paraId="4A4929DD" w14:textId="77777777">
            <w:pPr>
              <w:pStyle w:val="FERCparanumber"/>
              <w:numPr>
                <w:ilvl w:val="0"/>
                <w:numId w:val="0"/>
              </w:numPr>
              <w:spacing w:line="240" w:lineRule="auto"/>
              <w:rPr>
                <w:rFonts w:eastAsiaTheme="minorHAnsi"/>
                <w:szCs w:val="22"/>
              </w:rPr>
            </w:pPr>
          </w:p>
        </w:tc>
        <w:tc>
          <w:tcPr>
            <w:tcW w:w="1440" w:type="dxa"/>
          </w:tcPr>
          <w:p w:rsidR="00EE7941" w:rsidRPr="00EE7941" w:rsidP="00E068AB" w14:paraId="73D7D4BB" w14:textId="77777777">
            <w:pPr>
              <w:pStyle w:val="FERCparanumber"/>
              <w:numPr>
                <w:ilvl w:val="0"/>
                <w:numId w:val="0"/>
              </w:numPr>
              <w:spacing w:line="240" w:lineRule="auto"/>
              <w:rPr>
                <w:rFonts w:eastAsiaTheme="minorHAnsi"/>
                <w:szCs w:val="22"/>
              </w:rPr>
            </w:pPr>
          </w:p>
        </w:tc>
        <w:tc>
          <w:tcPr>
            <w:tcW w:w="1440" w:type="dxa"/>
          </w:tcPr>
          <w:p w:rsidR="00EE7941" w:rsidRPr="006A0DAA" w:rsidP="00E068AB" w14:paraId="3A08F4C8" w14:textId="77777777">
            <w:pPr>
              <w:pStyle w:val="FERCparanumber"/>
              <w:numPr>
                <w:ilvl w:val="0"/>
                <w:numId w:val="0"/>
              </w:numPr>
              <w:spacing w:line="240" w:lineRule="auto"/>
              <w:rPr>
                <w:rFonts w:eastAsiaTheme="minorHAnsi"/>
                <w:szCs w:val="22"/>
              </w:rPr>
            </w:pPr>
            <w:r w:rsidRPr="006A0DAA">
              <w:rPr>
                <w:rFonts w:eastAsiaTheme="minorHAnsi"/>
                <w:szCs w:val="22"/>
              </w:rPr>
              <w:t>1,230</w:t>
            </w:r>
          </w:p>
        </w:tc>
        <w:tc>
          <w:tcPr>
            <w:tcW w:w="1350" w:type="dxa"/>
          </w:tcPr>
          <w:p w:rsidR="00EE7941" w:rsidRPr="00EE7941" w:rsidP="00E068AB" w14:paraId="04A37766" w14:textId="488DF838">
            <w:pPr>
              <w:pStyle w:val="FERCparanumber"/>
              <w:numPr>
                <w:ilvl w:val="0"/>
                <w:numId w:val="0"/>
              </w:numPr>
              <w:spacing w:line="240" w:lineRule="auto"/>
              <w:rPr>
                <w:rFonts w:eastAsiaTheme="minorHAnsi"/>
                <w:szCs w:val="22"/>
              </w:rPr>
            </w:pPr>
            <w:r w:rsidRPr="00EE7941">
              <w:rPr>
                <w:rFonts w:eastAsiaTheme="minorHAnsi"/>
                <w:szCs w:val="22"/>
              </w:rPr>
              <w:t>20</w:t>
            </w:r>
            <w:r w:rsidR="00CE7A7B">
              <w:rPr>
                <w:rFonts w:eastAsiaTheme="minorHAnsi"/>
                <w:szCs w:val="22"/>
              </w:rPr>
              <w:t xml:space="preserve"> </w:t>
            </w:r>
            <w:r w:rsidRPr="00EE7941">
              <w:rPr>
                <w:rFonts w:eastAsiaTheme="minorHAnsi"/>
                <w:szCs w:val="22"/>
              </w:rPr>
              <w:t>hrs. </w:t>
            </w:r>
          </w:p>
          <w:p w:rsidR="00EE7941" w:rsidRPr="00EE7941" w:rsidP="00E068AB" w14:paraId="0E283643" w14:textId="77777777">
            <w:pPr>
              <w:pStyle w:val="FERCparanumber"/>
              <w:numPr>
                <w:ilvl w:val="0"/>
                <w:numId w:val="0"/>
              </w:numPr>
              <w:spacing w:line="240" w:lineRule="auto"/>
              <w:rPr>
                <w:rFonts w:eastAsiaTheme="minorHAnsi"/>
                <w:szCs w:val="22"/>
              </w:rPr>
            </w:pPr>
            <w:r w:rsidRPr="00EE7941">
              <w:rPr>
                <w:rFonts w:eastAsiaTheme="minorHAnsi"/>
                <w:szCs w:val="22"/>
              </w:rPr>
              <w:t>$ 70.67/</w:t>
            </w:r>
            <w:r w:rsidRPr="00EE7941">
              <w:rPr>
                <w:rFonts w:eastAsiaTheme="minorHAnsi"/>
                <w:szCs w:val="22"/>
              </w:rPr>
              <w:t>hr</w:t>
            </w:r>
          </w:p>
        </w:tc>
        <w:tc>
          <w:tcPr>
            <w:tcW w:w="1795" w:type="dxa"/>
          </w:tcPr>
          <w:p w:rsidR="00EE7941" w:rsidRPr="00EE7941" w:rsidP="00E068AB" w14:paraId="37B65047" w14:textId="70685C3A">
            <w:pPr>
              <w:pStyle w:val="FERCparanumber"/>
              <w:numPr>
                <w:ilvl w:val="0"/>
                <w:numId w:val="0"/>
              </w:numPr>
              <w:spacing w:line="240" w:lineRule="auto"/>
              <w:rPr>
                <w:rFonts w:eastAsiaTheme="minorHAnsi"/>
                <w:szCs w:val="22"/>
              </w:rPr>
            </w:pPr>
            <w:r w:rsidRPr="00EE7941">
              <w:rPr>
                <w:rFonts w:eastAsiaTheme="minorHAnsi"/>
                <w:szCs w:val="22"/>
              </w:rPr>
              <w:t>24,600 hrs. </w:t>
            </w:r>
          </w:p>
          <w:p w:rsidR="00EE7941" w:rsidRPr="00EE7941" w:rsidP="00E068AB" w14:paraId="68328683" w14:textId="77777777">
            <w:pPr>
              <w:pStyle w:val="FERCparanumber"/>
              <w:numPr>
                <w:ilvl w:val="0"/>
                <w:numId w:val="0"/>
              </w:numPr>
              <w:spacing w:line="240" w:lineRule="auto"/>
              <w:rPr>
                <w:rFonts w:eastAsiaTheme="minorHAnsi"/>
                <w:szCs w:val="22"/>
              </w:rPr>
            </w:pPr>
            <w:r w:rsidRPr="00EE7941">
              <w:rPr>
                <w:rFonts w:eastAsiaTheme="minorHAnsi"/>
                <w:szCs w:val="22"/>
              </w:rPr>
              <w:t>$ 1,738,482</w:t>
            </w:r>
          </w:p>
        </w:tc>
      </w:tr>
    </w:tbl>
    <w:p w:rsidR="00874F8F" w:rsidP="000A16D3" w14:paraId="699EDA0D" w14:textId="77777777">
      <w:pPr>
        <w:pStyle w:val="FERCparanumber"/>
        <w:numPr>
          <w:ilvl w:val="0"/>
          <w:numId w:val="0"/>
        </w:numPr>
      </w:pPr>
    </w:p>
    <w:tbl>
      <w:tblPr>
        <w:tblStyle w:val="TableGrid"/>
        <w:tblW w:w="0" w:type="auto"/>
        <w:tblLayout w:type="fixed"/>
        <w:tblLook w:val="04A0"/>
      </w:tblPr>
      <w:tblGrid>
        <w:gridCol w:w="1525"/>
        <w:gridCol w:w="1800"/>
        <w:gridCol w:w="1440"/>
        <w:gridCol w:w="1440"/>
        <w:gridCol w:w="1350"/>
        <w:gridCol w:w="1795"/>
      </w:tblGrid>
      <w:tr w14:paraId="73894F75" w14:textId="77777777">
        <w:tblPrEx>
          <w:tblW w:w="0" w:type="auto"/>
          <w:tblLayout w:type="fixed"/>
          <w:tblLook w:val="04A0"/>
        </w:tblPrEx>
        <w:tc>
          <w:tcPr>
            <w:tcW w:w="9350" w:type="dxa"/>
            <w:gridSpan w:val="6"/>
            <w:shd w:val="clear" w:color="auto" w:fill="D0CECE" w:themeFill="background2" w:themeFillShade="E6"/>
          </w:tcPr>
          <w:p w:rsidR="00993F41" w:rsidRPr="00993F41" w:rsidP="00E068AB" w14:paraId="0A54D558" w14:textId="77777777">
            <w:pPr>
              <w:pStyle w:val="FERCparanumber"/>
              <w:numPr>
                <w:ilvl w:val="0"/>
                <w:numId w:val="0"/>
              </w:numPr>
              <w:jc w:val="center"/>
              <w:rPr>
                <w:rFonts w:eastAsiaTheme="minorHAnsi"/>
                <w:szCs w:val="22"/>
              </w:rPr>
            </w:pPr>
            <w:r w:rsidRPr="00993F41">
              <w:rPr>
                <w:rFonts w:eastAsiaTheme="minorHAnsi"/>
                <w:b/>
                <w:bCs/>
                <w:szCs w:val="22"/>
              </w:rPr>
              <w:t>Proposed Burden PRC-029-1 Docket No. RM25-3-000</w:t>
            </w:r>
          </w:p>
        </w:tc>
      </w:tr>
      <w:tr w14:paraId="210581D0" w14:textId="77777777" w:rsidTr="006B7532">
        <w:tblPrEx>
          <w:tblW w:w="0" w:type="auto"/>
          <w:tblLayout w:type="fixed"/>
          <w:tblLook w:val="04A0"/>
        </w:tblPrEx>
        <w:tc>
          <w:tcPr>
            <w:tcW w:w="1525" w:type="dxa"/>
          </w:tcPr>
          <w:p w:rsidR="00993F41" w:rsidRPr="00993F41" w:rsidP="00E068AB" w14:paraId="75BA2812" w14:textId="77777777">
            <w:pPr>
              <w:pStyle w:val="FERCparanumber"/>
              <w:numPr>
                <w:ilvl w:val="0"/>
                <w:numId w:val="0"/>
              </w:numPr>
              <w:spacing w:line="240" w:lineRule="auto"/>
              <w:rPr>
                <w:rFonts w:eastAsiaTheme="minorHAnsi"/>
                <w:szCs w:val="22"/>
              </w:rPr>
            </w:pPr>
            <w:r w:rsidRPr="00993F41">
              <w:rPr>
                <w:rFonts w:eastAsiaTheme="minorHAnsi"/>
                <w:b/>
                <w:bCs/>
                <w:szCs w:val="22"/>
              </w:rPr>
              <w:t>Reliability Standard</w:t>
            </w:r>
          </w:p>
        </w:tc>
        <w:tc>
          <w:tcPr>
            <w:tcW w:w="1800" w:type="dxa"/>
          </w:tcPr>
          <w:p w:rsidR="00993F41" w:rsidRPr="00993F41" w:rsidP="00E068AB" w14:paraId="01A04263" w14:textId="77777777">
            <w:pPr>
              <w:pStyle w:val="FERCparanumber"/>
              <w:numPr>
                <w:ilvl w:val="0"/>
                <w:numId w:val="0"/>
              </w:numPr>
              <w:spacing w:line="240" w:lineRule="auto"/>
              <w:rPr>
                <w:rFonts w:eastAsiaTheme="minorHAnsi"/>
                <w:szCs w:val="22"/>
              </w:rPr>
            </w:pPr>
            <w:r w:rsidRPr="00993F41">
              <w:rPr>
                <w:rFonts w:eastAsiaTheme="minorHAnsi"/>
                <w:b/>
                <w:bCs/>
                <w:szCs w:val="22"/>
              </w:rPr>
              <w:t>Type and Number of Entity</w:t>
            </w:r>
            <w:r>
              <w:rPr>
                <w:rFonts w:eastAsiaTheme="minorHAnsi"/>
                <w:bCs/>
                <w:szCs w:val="22"/>
                <w:vertAlign w:val="superscript"/>
              </w:rPr>
              <w:footnoteReference w:id="70"/>
            </w:r>
            <w:r w:rsidRPr="00993F41">
              <w:rPr>
                <w:rFonts w:eastAsiaTheme="minorHAnsi"/>
                <w:szCs w:val="22"/>
              </w:rPr>
              <w:t> (1) </w:t>
            </w:r>
          </w:p>
        </w:tc>
        <w:tc>
          <w:tcPr>
            <w:tcW w:w="1440" w:type="dxa"/>
          </w:tcPr>
          <w:p w:rsidR="00993F41" w:rsidRPr="00993F41" w:rsidP="00E068AB" w14:paraId="7C1F8F93" w14:textId="77777777">
            <w:pPr>
              <w:pStyle w:val="FERCparanumber"/>
              <w:numPr>
                <w:ilvl w:val="0"/>
                <w:numId w:val="0"/>
              </w:numPr>
              <w:spacing w:line="240" w:lineRule="auto"/>
              <w:rPr>
                <w:rFonts w:eastAsiaTheme="minorHAnsi"/>
                <w:szCs w:val="22"/>
              </w:rPr>
            </w:pPr>
            <w:r w:rsidRPr="00993F41">
              <w:rPr>
                <w:rFonts w:eastAsiaTheme="minorHAnsi"/>
                <w:b/>
                <w:bCs/>
                <w:szCs w:val="22"/>
              </w:rPr>
              <w:t xml:space="preserve">Number of Annual Responses </w:t>
            </w:r>
            <w:r w:rsidRPr="00993F41">
              <w:rPr>
                <w:rFonts w:eastAsiaTheme="minorHAnsi"/>
                <w:b/>
                <w:bCs/>
                <w:szCs w:val="22"/>
              </w:rPr>
              <w:t>Per Entity</w:t>
            </w:r>
            <w:r w:rsidRPr="00993F41">
              <w:rPr>
                <w:rFonts w:eastAsiaTheme="minorHAnsi"/>
                <w:szCs w:val="22"/>
              </w:rPr>
              <w:t> </w:t>
            </w:r>
            <w:r w:rsidRPr="00993F41">
              <w:rPr>
                <w:rFonts w:eastAsiaTheme="minorHAnsi"/>
                <w:b/>
                <w:bCs/>
                <w:szCs w:val="22"/>
              </w:rPr>
              <w:t>(</w:t>
            </w:r>
            <w:r w:rsidRPr="00993F41">
              <w:rPr>
                <w:rFonts w:eastAsiaTheme="minorHAnsi"/>
                <w:szCs w:val="22"/>
              </w:rPr>
              <w:t>2) </w:t>
            </w:r>
          </w:p>
        </w:tc>
        <w:tc>
          <w:tcPr>
            <w:tcW w:w="1440" w:type="dxa"/>
          </w:tcPr>
          <w:p w:rsidR="00993F41" w:rsidRPr="00993F41" w:rsidP="00E068AB" w14:paraId="61D402C5" w14:textId="77777777">
            <w:pPr>
              <w:pStyle w:val="FERCparanumber"/>
              <w:numPr>
                <w:ilvl w:val="0"/>
                <w:numId w:val="0"/>
              </w:numPr>
              <w:spacing w:line="240" w:lineRule="auto"/>
              <w:rPr>
                <w:rFonts w:eastAsiaTheme="minorHAnsi"/>
                <w:szCs w:val="22"/>
              </w:rPr>
            </w:pPr>
            <w:r w:rsidRPr="00993F41">
              <w:rPr>
                <w:rFonts w:eastAsiaTheme="minorHAnsi"/>
                <w:b/>
                <w:bCs/>
                <w:szCs w:val="22"/>
              </w:rPr>
              <w:t>Total Number of Responses</w:t>
            </w:r>
            <w:r w:rsidRPr="00993F41">
              <w:rPr>
                <w:rFonts w:eastAsiaTheme="minorHAnsi"/>
                <w:szCs w:val="22"/>
              </w:rPr>
              <w:t> </w:t>
            </w:r>
          </w:p>
          <w:p w:rsidR="00993F41" w:rsidRPr="00993F41" w:rsidP="00E068AB" w14:paraId="1D7B3B6D" w14:textId="77777777">
            <w:pPr>
              <w:pStyle w:val="FERCparanumber"/>
              <w:numPr>
                <w:ilvl w:val="0"/>
                <w:numId w:val="0"/>
              </w:numPr>
              <w:spacing w:line="240" w:lineRule="auto"/>
              <w:rPr>
                <w:rFonts w:eastAsiaTheme="minorHAnsi"/>
                <w:szCs w:val="22"/>
              </w:rPr>
            </w:pPr>
            <w:r w:rsidRPr="00993F41">
              <w:rPr>
                <w:rFonts w:eastAsiaTheme="minorHAnsi"/>
                <w:b/>
                <w:bCs/>
                <w:szCs w:val="22"/>
              </w:rPr>
              <w:t>(</w:t>
            </w:r>
            <w:r w:rsidRPr="00993F41">
              <w:rPr>
                <w:rFonts w:eastAsiaTheme="minorHAnsi"/>
                <w:b/>
                <w:bCs/>
                <w:szCs w:val="22"/>
              </w:rPr>
              <w:t>1)*</w:t>
            </w:r>
            <w:r w:rsidRPr="00993F41">
              <w:rPr>
                <w:rFonts w:eastAsiaTheme="minorHAnsi"/>
                <w:b/>
                <w:bCs/>
                <w:szCs w:val="22"/>
              </w:rPr>
              <w:t>(2)=(3)</w:t>
            </w:r>
            <w:r w:rsidRPr="00993F41">
              <w:rPr>
                <w:rFonts w:eastAsiaTheme="minorHAnsi"/>
                <w:szCs w:val="22"/>
              </w:rPr>
              <w:t> </w:t>
            </w:r>
          </w:p>
        </w:tc>
        <w:tc>
          <w:tcPr>
            <w:tcW w:w="1350" w:type="dxa"/>
          </w:tcPr>
          <w:p w:rsidR="00993F41" w:rsidRPr="00993F41" w:rsidP="00E068AB" w14:paraId="6AB511E4" w14:textId="37D1ECBD">
            <w:pPr>
              <w:pStyle w:val="FERCparanumber"/>
              <w:numPr>
                <w:ilvl w:val="0"/>
                <w:numId w:val="0"/>
              </w:numPr>
              <w:spacing w:line="240" w:lineRule="auto"/>
              <w:rPr>
                <w:rFonts w:eastAsiaTheme="minorHAnsi"/>
                <w:szCs w:val="22"/>
              </w:rPr>
            </w:pPr>
            <w:r w:rsidRPr="00993F41">
              <w:rPr>
                <w:rFonts w:eastAsiaTheme="minorHAnsi"/>
                <w:b/>
                <w:bCs/>
                <w:szCs w:val="22"/>
              </w:rPr>
              <w:t xml:space="preserve">Average </w:t>
            </w:r>
            <w:r w:rsidRPr="00993F41">
              <w:rPr>
                <w:rFonts w:eastAsiaTheme="minorHAnsi"/>
                <w:b/>
                <w:bCs/>
                <w:szCs w:val="22"/>
              </w:rPr>
              <w:t>Number</w:t>
            </w:r>
            <w:r w:rsidRPr="00993F41">
              <w:rPr>
                <w:rFonts w:eastAsiaTheme="minorHAnsi"/>
                <w:b/>
                <w:bCs/>
                <w:szCs w:val="22"/>
              </w:rPr>
              <w:t xml:space="preserve"> of Burden Hours per </w:t>
            </w:r>
            <w:r w:rsidRPr="00993F41">
              <w:rPr>
                <w:rFonts w:eastAsiaTheme="minorHAnsi"/>
                <w:b/>
                <w:bCs/>
                <w:szCs w:val="22"/>
              </w:rPr>
              <w:t>Response</w:t>
            </w:r>
            <w:r>
              <w:rPr>
                <w:rFonts w:eastAsiaTheme="minorHAnsi"/>
                <w:vertAlign w:val="superscript"/>
              </w:rPr>
              <w:footnoteReference w:id="71"/>
            </w:r>
            <w:r w:rsidRPr="00993F41">
              <w:rPr>
                <w:rFonts w:eastAsiaTheme="minorHAnsi"/>
                <w:szCs w:val="22"/>
              </w:rPr>
              <w:t> </w:t>
            </w:r>
            <w:r w:rsidRPr="00993F41">
              <w:rPr>
                <w:rFonts w:eastAsiaTheme="minorHAnsi"/>
                <w:b/>
                <w:bCs/>
                <w:szCs w:val="22"/>
              </w:rPr>
              <w:t>(4)</w:t>
            </w:r>
            <w:r w:rsidRPr="00993F41">
              <w:rPr>
                <w:rFonts w:eastAsiaTheme="minorHAnsi"/>
                <w:szCs w:val="22"/>
              </w:rPr>
              <w:t> </w:t>
            </w:r>
          </w:p>
        </w:tc>
        <w:tc>
          <w:tcPr>
            <w:tcW w:w="1795" w:type="dxa"/>
          </w:tcPr>
          <w:p w:rsidR="00993F41" w:rsidRPr="00993F41" w:rsidP="00E068AB" w14:paraId="3F7C36B0" w14:textId="77777777">
            <w:pPr>
              <w:pStyle w:val="FERCparanumber"/>
              <w:numPr>
                <w:ilvl w:val="0"/>
                <w:numId w:val="0"/>
              </w:numPr>
              <w:spacing w:line="240" w:lineRule="auto"/>
              <w:rPr>
                <w:rFonts w:eastAsiaTheme="minorHAnsi"/>
                <w:szCs w:val="22"/>
              </w:rPr>
            </w:pPr>
            <w:r w:rsidRPr="00993F41">
              <w:rPr>
                <w:rFonts w:eastAsiaTheme="minorHAnsi"/>
                <w:b/>
                <w:bCs/>
                <w:szCs w:val="22"/>
              </w:rPr>
              <w:t>Total Burden Hours</w:t>
            </w:r>
            <w:r w:rsidRPr="00993F41">
              <w:rPr>
                <w:rFonts w:eastAsiaTheme="minorHAnsi"/>
                <w:szCs w:val="22"/>
              </w:rPr>
              <w:t> </w:t>
            </w:r>
          </w:p>
          <w:p w:rsidR="00993F41" w:rsidRPr="00993F41" w:rsidP="00E068AB" w14:paraId="1B4AD621" w14:textId="77777777">
            <w:pPr>
              <w:pStyle w:val="FERCparanumber"/>
              <w:numPr>
                <w:ilvl w:val="0"/>
                <w:numId w:val="0"/>
              </w:numPr>
              <w:spacing w:line="240" w:lineRule="auto"/>
              <w:rPr>
                <w:rFonts w:eastAsiaTheme="minorHAnsi"/>
                <w:szCs w:val="22"/>
              </w:rPr>
            </w:pPr>
            <w:r w:rsidRPr="00993F41">
              <w:rPr>
                <w:rFonts w:eastAsiaTheme="minorHAnsi"/>
                <w:b/>
                <w:bCs/>
                <w:szCs w:val="22"/>
              </w:rPr>
              <w:t>(</w:t>
            </w:r>
            <w:r w:rsidRPr="00993F41">
              <w:rPr>
                <w:rFonts w:eastAsiaTheme="minorHAnsi"/>
                <w:b/>
                <w:bCs/>
                <w:szCs w:val="22"/>
              </w:rPr>
              <w:t>3)*</w:t>
            </w:r>
            <w:r w:rsidRPr="00993F41">
              <w:rPr>
                <w:rFonts w:eastAsiaTheme="minorHAnsi"/>
                <w:b/>
                <w:bCs/>
                <w:szCs w:val="22"/>
              </w:rPr>
              <w:t>(4)=(5)</w:t>
            </w:r>
            <w:r w:rsidRPr="00993F41">
              <w:rPr>
                <w:rFonts w:eastAsiaTheme="minorHAnsi"/>
                <w:szCs w:val="22"/>
              </w:rPr>
              <w:t> </w:t>
            </w:r>
          </w:p>
        </w:tc>
      </w:tr>
      <w:tr w14:paraId="3BAD0607" w14:textId="77777777">
        <w:tblPrEx>
          <w:tblW w:w="0" w:type="auto"/>
          <w:tblLayout w:type="fixed"/>
          <w:tblLook w:val="04A0"/>
        </w:tblPrEx>
        <w:trPr>
          <w:trHeight w:val="431"/>
        </w:trPr>
        <w:tc>
          <w:tcPr>
            <w:tcW w:w="9350" w:type="dxa"/>
            <w:gridSpan w:val="6"/>
            <w:shd w:val="clear" w:color="auto" w:fill="D0CECE" w:themeFill="background2" w:themeFillShade="E6"/>
          </w:tcPr>
          <w:p w:rsidR="00993F41" w:rsidRPr="00993F41" w:rsidP="00E068AB" w14:paraId="6B51C986" w14:textId="77777777">
            <w:pPr>
              <w:pStyle w:val="FERCparanumber"/>
              <w:numPr>
                <w:ilvl w:val="0"/>
                <w:numId w:val="0"/>
              </w:numPr>
              <w:jc w:val="center"/>
              <w:rPr>
                <w:rFonts w:eastAsiaTheme="minorHAnsi"/>
                <w:szCs w:val="22"/>
              </w:rPr>
            </w:pPr>
            <w:r w:rsidRPr="00993F41">
              <w:rPr>
                <w:rFonts w:eastAsiaTheme="minorHAnsi"/>
                <w:b/>
                <w:bCs/>
                <w:szCs w:val="22"/>
              </w:rPr>
              <w:t>Annual Collection PRC-029-1 FERC-725G</w:t>
            </w:r>
          </w:p>
        </w:tc>
      </w:tr>
      <w:tr w14:paraId="7994C9F2" w14:textId="77777777" w:rsidTr="00E068AB">
        <w:tblPrEx>
          <w:tblW w:w="0" w:type="auto"/>
          <w:tblLayout w:type="fixed"/>
          <w:tblLook w:val="04A0"/>
        </w:tblPrEx>
        <w:tc>
          <w:tcPr>
            <w:tcW w:w="1525" w:type="dxa"/>
            <w:vMerge w:val="restart"/>
          </w:tcPr>
          <w:p w:rsidR="00993F41" w:rsidRPr="00993F41" w:rsidP="00E068AB" w14:paraId="77CD0731" w14:textId="77777777">
            <w:pPr>
              <w:pStyle w:val="FERCparanumber"/>
              <w:numPr>
                <w:ilvl w:val="0"/>
                <w:numId w:val="0"/>
              </w:numPr>
              <w:spacing w:line="240" w:lineRule="auto"/>
              <w:rPr>
                <w:rFonts w:eastAsiaTheme="minorHAnsi"/>
                <w:szCs w:val="22"/>
              </w:rPr>
            </w:pPr>
            <w:r w:rsidRPr="00993F41">
              <w:rPr>
                <w:rFonts w:eastAsiaTheme="minorHAnsi"/>
                <w:b/>
                <w:bCs/>
                <w:szCs w:val="22"/>
              </w:rPr>
              <w:t>Annual review and record retention</w:t>
            </w:r>
          </w:p>
        </w:tc>
        <w:tc>
          <w:tcPr>
            <w:tcW w:w="1800" w:type="dxa"/>
          </w:tcPr>
          <w:p w:rsidR="00993F41" w:rsidRPr="00993F41" w:rsidP="00E068AB" w14:paraId="0F99DC0A" w14:textId="77777777">
            <w:pPr>
              <w:pStyle w:val="FERCparanumber"/>
              <w:numPr>
                <w:ilvl w:val="0"/>
                <w:numId w:val="0"/>
              </w:numPr>
              <w:spacing w:line="240" w:lineRule="auto"/>
              <w:rPr>
                <w:rFonts w:eastAsiaTheme="minorHAnsi"/>
                <w:szCs w:val="22"/>
              </w:rPr>
            </w:pPr>
            <w:r w:rsidRPr="00993F41">
              <w:rPr>
                <w:rFonts w:eastAsiaTheme="minorHAnsi"/>
                <w:szCs w:val="22"/>
              </w:rPr>
              <w:t>591 (BES IBR GO)</w:t>
            </w:r>
          </w:p>
        </w:tc>
        <w:tc>
          <w:tcPr>
            <w:tcW w:w="1440" w:type="dxa"/>
          </w:tcPr>
          <w:p w:rsidR="00993F41" w:rsidRPr="00993F41" w:rsidP="00E068AB" w14:paraId="1C9B1B37" w14:textId="77777777">
            <w:pPr>
              <w:pStyle w:val="FERCparanumber"/>
              <w:numPr>
                <w:ilvl w:val="0"/>
                <w:numId w:val="0"/>
              </w:numPr>
              <w:spacing w:line="240" w:lineRule="auto"/>
              <w:rPr>
                <w:rFonts w:eastAsiaTheme="minorHAnsi"/>
                <w:szCs w:val="22"/>
              </w:rPr>
            </w:pPr>
            <w:r w:rsidRPr="00993F41">
              <w:rPr>
                <w:rFonts w:eastAsiaTheme="minorHAnsi"/>
                <w:szCs w:val="22"/>
              </w:rPr>
              <w:t>1</w:t>
            </w:r>
          </w:p>
        </w:tc>
        <w:tc>
          <w:tcPr>
            <w:tcW w:w="1440" w:type="dxa"/>
          </w:tcPr>
          <w:p w:rsidR="00993F41" w:rsidRPr="00993F41" w:rsidP="00E068AB" w14:paraId="056FCD93" w14:textId="77777777">
            <w:pPr>
              <w:pStyle w:val="FERCparanumber"/>
              <w:numPr>
                <w:ilvl w:val="0"/>
                <w:numId w:val="0"/>
              </w:numPr>
              <w:spacing w:line="240" w:lineRule="auto"/>
              <w:rPr>
                <w:rFonts w:eastAsiaTheme="minorHAnsi"/>
                <w:szCs w:val="22"/>
              </w:rPr>
            </w:pPr>
            <w:r w:rsidRPr="00993F41">
              <w:rPr>
                <w:rFonts w:eastAsiaTheme="minorHAnsi"/>
                <w:szCs w:val="22"/>
              </w:rPr>
              <w:t>591</w:t>
            </w:r>
          </w:p>
        </w:tc>
        <w:tc>
          <w:tcPr>
            <w:tcW w:w="1350" w:type="dxa"/>
          </w:tcPr>
          <w:p w:rsidR="00993F41" w:rsidRPr="00993F41" w:rsidP="00E068AB" w14:paraId="2D2E238C" w14:textId="77777777">
            <w:pPr>
              <w:pStyle w:val="FERCparanumber"/>
              <w:numPr>
                <w:ilvl w:val="0"/>
                <w:numId w:val="0"/>
              </w:numPr>
              <w:spacing w:line="240" w:lineRule="auto"/>
              <w:rPr>
                <w:rFonts w:eastAsiaTheme="minorHAnsi"/>
                <w:szCs w:val="22"/>
              </w:rPr>
            </w:pPr>
            <w:r w:rsidRPr="00993F41">
              <w:rPr>
                <w:rFonts w:eastAsiaTheme="minorHAnsi"/>
                <w:szCs w:val="22"/>
              </w:rPr>
              <w:t>40 hrs. </w:t>
            </w:r>
          </w:p>
          <w:p w:rsidR="00993F41" w:rsidRPr="00993F41" w:rsidP="00E068AB" w14:paraId="5E166C9A" w14:textId="77777777">
            <w:pPr>
              <w:pStyle w:val="FERCparanumber"/>
              <w:numPr>
                <w:ilvl w:val="0"/>
                <w:numId w:val="0"/>
              </w:numPr>
              <w:spacing w:line="240" w:lineRule="auto"/>
              <w:rPr>
                <w:rFonts w:eastAsiaTheme="minorHAnsi"/>
                <w:szCs w:val="22"/>
              </w:rPr>
            </w:pPr>
            <w:r w:rsidRPr="00993F41">
              <w:rPr>
                <w:rFonts w:eastAsiaTheme="minorHAnsi"/>
                <w:szCs w:val="22"/>
              </w:rPr>
              <w:t>$ 70.67/</w:t>
            </w:r>
            <w:r w:rsidRPr="00993F41">
              <w:rPr>
                <w:rFonts w:eastAsiaTheme="minorHAnsi"/>
                <w:szCs w:val="22"/>
              </w:rPr>
              <w:t>hr</w:t>
            </w:r>
          </w:p>
        </w:tc>
        <w:tc>
          <w:tcPr>
            <w:tcW w:w="1795" w:type="dxa"/>
          </w:tcPr>
          <w:p w:rsidR="00993F41" w:rsidRPr="00993F41" w:rsidP="00E068AB" w14:paraId="1D51395F" w14:textId="500E4D4B">
            <w:pPr>
              <w:pStyle w:val="FERCparanumber"/>
              <w:numPr>
                <w:ilvl w:val="0"/>
                <w:numId w:val="0"/>
              </w:numPr>
              <w:spacing w:line="240" w:lineRule="auto"/>
              <w:rPr>
                <w:rFonts w:eastAsiaTheme="minorHAnsi"/>
                <w:szCs w:val="22"/>
              </w:rPr>
            </w:pPr>
            <w:r w:rsidRPr="00993F41">
              <w:rPr>
                <w:rFonts w:eastAsiaTheme="minorHAnsi"/>
                <w:szCs w:val="22"/>
              </w:rPr>
              <w:t>23,640 hrs. </w:t>
            </w:r>
          </w:p>
          <w:p w:rsidR="00993F41" w:rsidRPr="00993F41" w:rsidP="00E068AB" w14:paraId="5012BACA" w14:textId="77777777">
            <w:pPr>
              <w:pStyle w:val="FERCparanumber"/>
              <w:numPr>
                <w:ilvl w:val="0"/>
                <w:numId w:val="0"/>
              </w:numPr>
              <w:spacing w:line="240" w:lineRule="auto"/>
              <w:rPr>
                <w:rFonts w:eastAsiaTheme="minorHAnsi"/>
                <w:szCs w:val="22"/>
              </w:rPr>
            </w:pPr>
            <w:r w:rsidRPr="00993F41">
              <w:rPr>
                <w:rFonts w:eastAsiaTheme="minorHAnsi"/>
                <w:szCs w:val="22"/>
              </w:rPr>
              <w:t>$ 1,670,638.80</w:t>
            </w:r>
          </w:p>
        </w:tc>
      </w:tr>
      <w:tr w14:paraId="477B6165" w14:textId="77777777" w:rsidTr="00E068AB">
        <w:tblPrEx>
          <w:tblW w:w="0" w:type="auto"/>
          <w:tblLayout w:type="fixed"/>
          <w:tblLook w:val="04A0"/>
        </w:tblPrEx>
        <w:tc>
          <w:tcPr>
            <w:tcW w:w="1525" w:type="dxa"/>
            <w:vMerge/>
          </w:tcPr>
          <w:p w:rsidR="00993F41" w:rsidRPr="00993F41" w:rsidP="00E068AB" w14:paraId="5C143EB3" w14:textId="77777777">
            <w:pPr>
              <w:pStyle w:val="FERCparanumber"/>
              <w:spacing w:line="240" w:lineRule="auto"/>
              <w:rPr>
                <w:rFonts w:eastAsiaTheme="minorHAnsi"/>
                <w:b/>
                <w:bCs/>
                <w:szCs w:val="22"/>
              </w:rPr>
            </w:pPr>
          </w:p>
        </w:tc>
        <w:tc>
          <w:tcPr>
            <w:tcW w:w="1800" w:type="dxa"/>
          </w:tcPr>
          <w:p w:rsidR="00993F41" w:rsidRPr="00993F41" w:rsidP="00E068AB" w14:paraId="0FB6478D" w14:textId="77777777">
            <w:pPr>
              <w:pStyle w:val="FERCparanumber"/>
              <w:numPr>
                <w:ilvl w:val="0"/>
                <w:numId w:val="0"/>
              </w:numPr>
              <w:spacing w:line="240" w:lineRule="auto"/>
              <w:rPr>
                <w:rFonts w:eastAsiaTheme="minorHAnsi"/>
                <w:szCs w:val="22"/>
              </w:rPr>
            </w:pPr>
            <w:r w:rsidRPr="00993F41">
              <w:rPr>
                <w:rFonts w:eastAsiaTheme="minorHAnsi"/>
                <w:szCs w:val="22"/>
              </w:rPr>
              <w:t>755 (</w:t>
            </w:r>
            <w:r w:rsidRPr="00993F41">
              <w:rPr>
                <w:rFonts w:eastAsiaTheme="minorHAnsi"/>
                <w:szCs w:val="22"/>
              </w:rPr>
              <w:t>Non-BES IBR GO</w:t>
            </w:r>
            <w:r w:rsidRPr="00993F41">
              <w:rPr>
                <w:rFonts w:eastAsiaTheme="minorHAnsi"/>
                <w:szCs w:val="22"/>
              </w:rPr>
              <w:t>)</w:t>
            </w:r>
          </w:p>
        </w:tc>
        <w:tc>
          <w:tcPr>
            <w:tcW w:w="1440" w:type="dxa"/>
          </w:tcPr>
          <w:p w:rsidR="00993F41" w:rsidRPr="00993F41" w:rsidP="00E068AB" w14:paraId="5EE39CA0" w14:textId="77777777">
            <w:pPr>
              <w:pStyle w:val="FERCparanumber"/>
              <w:numPr>
                <w:ilvl w:val="0"/>
                <w:numId w:val="0"/>
              </w:numPr>
              <w:spacing w:line="240" w:lineRule="auto"/>
              <w:rPr>
                <w:rFonts w:eastAsiaTheme="minorHAnsi"/>
                <w:szCs w:val="22"/>
              </w:rPr>
            </w:pPr>
            <w:r w:rsidRPr="00993F41">
              <w:rPr>
                <w:rFonts w:eastAsiaTheme="minorHAnsi"/>
                <w:szCs w:val="22"/>
              </w:rPr>
              <w:t>1</w:t>
            </w:r>
          </w:p>
        </w:tc>
        <w:tc>
          <w:tcPr>
            <w:tcW w:w="1440" w:type="dxa"/>
          </w:tcPr>
          <w:p w:rsidR="00993F41" w:rsidRPr="00993F41" w:rsidP="00E068AB" w14:paraId="5CFC8D00" w14:textId="77777777">
            <w:pPr>
              <w:pStyle w:val="FERCparanumber"/>
              <w:numPr>
                <w:ilvl w:val="0"/>
                <w:numId w:val="0"/>
              </w:numPr>
              <w:spacing w:line="240" w:lineRule="auto"/>
              <w:rPr>
                <w:rFonts w:eastAsiaTheme="minorHAnsi"/>
                <w:szCs w:val="22"/>
              </w:rPr>
            </w:pPr>
            <w:r w:rsidRPr="00993F41">
              <w:rPr>
                <w:rFonts w:eastAsiaTheme="minorHAnsi"/>
                <w:szCs w:val="22"/>
              </w:rPr>
              <w:t>755</w:t>
            </w:r>
          </w:p>
        </w:tc>
        <w:tc>
          <w:tcPr>
            <w:tcW w:w="1350" w:type="dxa"/>
          </w:tcPr>
          <w:p w:rsidR="00993F41" w:rsidRPr="00993F41" w:rsidP="00E068AB" w14:paraId="5FBA21E6" w14:textId="77777777">
            <w:pPr>
              <w:pStyle w:val="FERCparanumber"/>
              <w:numPr>
                <w:ilvl w:val="0"/>
                <w:numId w:val="0"/>
              </w:numPr>
              <w:spacing w:line="240" w:lineRule="auto"/>
              <w:rPr>
                <w:rFonts w:eastAsiaTheme="minorHAnsi"/>
                <w:szCs w:val="22"/>
              </w:rPr>
            </w:pPr>
            <w:r w:rsidRPr="00993F41">
              <w:rPr>
                <w:rFonts w:eastAsiaTheme="minorHAnsi"/>
                <w:szCs w:val="22"/>
              </w:rPr>
              <w:t>80 hrs. </w:t>
            </w:r>
          </w:p>
          <w:p w:rsidR="00993F41" w:rsidRPr="00993F41" w:rsidP="00E068AB" w14:paraId="02B359C9" w14:textId="77777777">
            <w:pPr>
              <w:pStyle w:val="FERCparanumber"/>
              <w:numPr>
                <w:ilvl w:val="0"/>
                <w:numId w:val="0"/>
              </w:numPr>
              <w:spacing w:line="240" w:lineRule="auto"/>
              <w:rPr>
                <w:rFonts w:eastAsiaTheme="minorHAnsi"/>
                <w:szCs w:val="22"/>
              </w:rPr>
            </w:pPr>
            <w:r w:rsidRPr="00993F41">
              <w:rPr>
                <w:rFonts w:eastAsiaTheme="minorHAnsi"/>
                <w:szCs w:val="22"/>
              </w:rPr>
              <w:t>$ 70.67/</w:t>
            </w:r>
            <w:r w:rsidRPr="00993F41">
              <w:rPr>
                <w:rFonts w:eastAsiaTheme="minorHAnsi"/>
                <w:szCs w:val="22"/>
              </w:rPr>
              <w:t>hr</w:t>
            </w:r>
          </w:p>
        </w:tc>
        <w:tc>
          <w:tcPr>
            <w:tcW w:w="1795" w:type="dxa"/>
          </w:tcPr>
          <w:p w:rsidR="00993F41" w:rsidRPr="00993F41" w:rsidP="00E068AB" w14:paraId="358836B5" w14:textId="77777777">
            <w:pPr>
              <w:pStyle w:val="FERCparanumber"/>
              <w:numPr>
                <w:ilvl w:val="0"/>
                <w:numId w:val="0"/>
              </w:numPr>
              <w:spacing w:line="240" w:lineRule="auto"/>
              <w:rPr>
                <w:rFonts w:eastAsiaTheme="minorHAnsi"/>
                <w:szCs w:val="22"/>
              </w:rPr>
            </w:pPr>
            <w:r w:rsidRPr="00993F41">
              <w:rPr>
                <w:rFonts w:eastAsiaTheme="minorHAnsi"/>
                <w:szCs w:val="22"/>
              </w:rPr>
              <w:t>60,400 hrs.</w:t>
            </w:r>
          </w:p>
          <w:p w:rsidR="00993F41" w:rsidRPr="00993F41" w:rsidP="00E068AB" w14:paraId="45A78A8F" w14:textId="28282B4A">
            <w:pPr>
              <w:pStyle w:val="FERCparanumber"/>
              <w:numPr>
                <w:ilvl w:val="0"/>
                <w:numId w:val="0"/>
              </w:numPr>
              <w:spacing w:line="240" w:lineRule="auto"/>
              <w:rPr>
                <w:rFonts w:eastAsiaTheme="minorHAnsi"/>
                <w:szCs w:val="22"/>
              </w:rPr>
            </w:pPr>
            <w:r w:rsidRPr="00993F41">
              <w:rPr>
                <w:rFonts w:eastAsiaTheme="minorHAnsi"/>
                <w:szCs w:val="22"/>
              </w:rPr>
              <w:t xml:space="preserve">$ 4,268,468.00 </w:t>
            </w:r>
          </w:p>
        </w:tc>
      </w:tr>
      <w:tr w14:paraId="1880331D" w14:textId="77777777" w:rsidTr="00E068AB">
        <w:tblPrEx>
          <w:tblW w:w="0" w:type="auto"/>
          <w:tblLayout w:type="fixed"/>
          <w:tblLook w:val="04A0"/>
        </w:tblPrEx>
        <w:tc>
          <w:tcPr>
            <w:tcW w:w="1525" w:type="dxa"/>
          </w:tcPr>
          <w:p w:rsidR="00993F41" w:rsidRPr="00993F41" w:rsidP="00E068AB" w14:paraId="63544A8A" w14:textId="55C8CF1B">
            <w:pPr>
              <w:pStyle w:val="FERCparanumber"/>
              <w:numPr>
                <w:ilvl w:val="0"/>
                <w:numId w:val="0"/>
              </w:numPr>
              <w:spacing w:line="240" w:lineRule="auto"/>
              <w:rPr>
                <w:rFonts w:eastAsiaTheme="minorHAnsi"/>
                <w:b/>
                <w:bCs/>
                <w:szCs w:val="22"/>
              </w:rPr>
            </w:pPr>
            <w:r w:rsidRPr="00993F41">
              <w:rPr>
                <w:rFonts w:eastAsiaTheme="minorHAnsi"/>
                <w:b/>
                <w:bCs/>
                <w:szCs w:val="22"/>
              </w:rPr>
              <w:t>Total for PRC-024-4 </w:t>
            </w:r>
          </w:p>
        </w:tc>
        <w:tc>
          <w:tcPr>
            <w:tcW w:w="1800" w:type="dxa"/>
          </w:tcPr>
          <w:p w:rsidR="00993F41" w:rsidRPr="00993F41" w:rsidP="00E068AB" w14:paraId="33BC6AB9" w14:textId="6D0E09A0">
            <w:pPr>
              <w:pStyle w:val="FERCparanumber"/>
              <w:numPr>
                <w:ilvl w:val="0"/>
                <w:numId w:val="0"/>
              </w:numPr>
              <w:spacing w:line="240" w:lineRule="auto"/>
              <w:rPr>
                <w:rFonts w:eastAsiaTheme="minorHAnsi"/>
                <w:b/>
                <w:bCs/>
                <w:szCs w:val="22"/>
              </w:rPr>
            </w:pPr>
          </w:p>
        </w:tc>
        <w:tc>
          <w:tcPr>
            <w:tcW w:w="1440" w:type="dxa"/>
          </w:tcPr>
          <w:p w:rsidR="00993F41" w:rsidRPr="00993F41" w:rsidP="00E068AB" w14:paraId="5E5705D6" w14:textId="77777777">
            <w:pPr>
              <w:pStyle w:val="FERCparanumber"/>
              <w:numPr>
                <w:ilvl w:val="0"/>
                <w:numId w:val="0"/>
              </w:numPr>
              <w:spacing w:line="240" w:lineRule="auto"/>
              <w:rPr>
                <w:rFonts w:eastAsiaTheme="minorHAnsi"/>
                <w:b/>
                <w:bCs/>
                <w:szCs w:val="22"/>
              </w:rPr>
            </w:pPr>
          </w:p>
        </w:tc>
        <w:tc>
          <w:tcPr>
            <w:tcW w:w="1440" w:type="dxa"/>
          </w:tcPr>
          <w:p w:rsidR="00993F41" w:rsidRPr="00E068AB" w:rsidP="00E068AB" w14:paraId="4B87B949" w14:textId="77777777">
            <w:pPr>
              <w:pStyle w:val="FERCparanumber"/>
              <w:numPr>
                <w:ilvl w:val="0"/>
                <w:numId w:val="0"/>
              </w:numPr>
              <w:spacing w:line="240" w:lineRule="auto"/>
              <w:rPr>
                <w:rFonts w:eastAsiaTheme="minorHAnsi"/>
                <w:szCs w:val="22"/>
              </w:rPr>
            </w:pPr>
            <w:r w:rsidRPr="00E068AB">
              <w:rPr>
                <w:rFonts w:eastAsiaTheme="minorHAnsi"/>
              </w:rPr>
              <w:t>1,346</w:t>
            </w:r>
          </w:p>
        </w:tc>
        <w:tc>
          <w:tcPr>
            <w:tcW w:w="1350" w:type="dxa"/>
          </w:tcPr>
          <w:p w:rsidR="00993F41" w:rsidRPr="00E068AB" w:rsidP="00E068AB" w14:paraId="30DBF77E" w14:textId="77777777">
            <w:pPr>
              <w:pStyle w:val="FERCparanumber"/>
              <w:numPr>
                <w:ilvl w:val="0"/>
                <w:numId w:val="0"/>
              </w:numPr>
              <w:spacing w:line="240" w:lineRule="auto"/>
              <w:rPr>
                <w:rFonts w:eastAsiaTheme="minorHAnsi"/>
                <w:szCs w:val="22"/>
              </w:rPr>
            </w:pPr>
          </w:p>
        </w:tc>
        <w:tc>
          <w:tcPr>
            <w:tcW w:w="1795" w:type="dxa"/>
          </w:tcPr>
          <w:p w:rsidR="00993F41" w:rsidRPr="00E068AB" w:rsidP="00E068AB" w14:paraId="01B26BAD" w14:textId="011EDC17">
            <w:pPr>
              <w:pStyle w:val="FERCparanumber"/>
              <w:numPr>
                <w:ilvl w:val="0"/>
                <w:numId w:val="0"/>
              </w:numPr>
              <w:spacing w:line="240" w:lineRule="auto"/>
              <w:rPr>
                <w:rFonts w:eastAsiaTheme="minorHAnsi"/>
                <w:szCs w:val="22"/>
              </w:rPr>
            </w:pPr>
            <w:r w:rsidRPr="00E068AB">
              <w:rPr>
                <w:rFonts w:eastAsiaTheme="minorHAnsi"/>
              </w:rPr>
              <w:t>84,040 hrs. </w:t>
            </w:r>
          </w:p>
          <w:p w:rsidR="00993F41" w:rsidRPr="00E068AB" w:rsidP="00E068AB" w14:paraId="34D98997" w14:textId="77777777">
            <w:pPr>
              <w:pStyle w:val="FERCparanumber"/>
              <w:numPr>
                <w:ilvl w:val="0"/>
                <w:numId w:val="0"/>
              </w:numPr>
              <w:spacing w:line="240" w:lineRule="auto"/>
              <w:rPr>
                <w:rFonts w:eastAsiaTheme="minorHAnsi"/>
                <w:szCs w:val="22"/>
              </w:rPr>
            </w:pPr>
            <w:r w:rsidRPr="00E068AB">
              <w:rPr>
                <w:rFonts w:eastAsiaTheme="minorHAnsi"/>
              </w:rPr>
              <w:t>$ 5,939,106.80</w:t>
            </w:r>
          </w:p>
        </w:tc>
      </w:tr>
    </w:tbl>
    <w:p w:rsidR="00993F41" w:rsidP="00E068AB" w14:paraId="3FBF3DFE" w14:textId="77777777">
      <w:pPr>
        <w:pStyle w:val="FERCparanumber"/>
        <w:numPr>
          <w:ilvl w:val="0"/>
          <w:numId w:val="0"/>
        </w:numPr>
      </w:pPr>
    </w:p>
    <w:p w:rsidR="00AA01D5" w:rsidRPr="00AA01D5" w:rsidP="00AE5E14" w14:paraId="2F11AF14" w14:textId="6325A471">
      <w:pPr>
        <w:pStyle w:val="FERCparanumber"/>
        <w:numPr>
          <w:ilvl w:val="0"/>
          <w:numId w:val="11"/>
        </w:numPr>
      </w:pPr>
      <w:r w:rsidRPr="00AA01D5">
        <w:t>The responses and burden hours for Years 1-3 will total respectively as follows:</w:t>
      </w:r>
    </w:p>
    <w:p w:rsidR="00AA01D5" w:rsidP="00B07078" w14:paraId="22E79491" w14:textId="43C06DAE">
      <w:pPr>
        <w:pStyle w:val="FERCparanumber"/>
        <w:numPr>
          <w:ilvl w:val="0"/>
          <w:numId w:val="24"/>
        </w:numPr>
      </w:pPr>
      <w:r w:rsidRPr="00AA01D5">
        <w:t>Year 1-3 each:</w:t>
      </w:r>
      <w:r w:rsidR="00C550C1">
        <w:t xml:space="preserve"> for </w:t>
      </w:r>
      <w:r w:rsidR="00651799">
        <w:t xml:space="preserve">proposed Reliability Standard </w:t>
      </w:r>
      <w:r w:rsidR="00C550C1">
        <w:t>PRC-024-4</w:t>
      </w:r>
      <w:r w:rsidRPr="00AA01D5">
        <w:t xml:space="preserve"> </w:t>
      </w:r>
      <w:r w:rsidR="008C4267">
        <w:t>will be 1,230</w:t>
      </w:r>
      <w:r w:rsidRPr="00AA01D5">
        <w:t xml:space="preserve"> responses; </w:t>
      </w:r>
      <w:r w:rsidR="008C4267">
        <w:t>24,600</w:t>
      </w:r>
      <w:r w:rsidRPr="00AA01D5">
        <w:t xml:space="preserve"> hours</w:t>
      </w:r>
      <w:r w:rsidR="009132FC">
        <w:t>; and</w:t>
      </w:r>
    </w:p>
    <w:p w:rsidR="008C4267" w:rsidP="00B07078" w14:paraId="74172A76" w14:textId="2D20F5AA">
      <w:pPr>
        <w:pStyle w:val="FERCparanumber"/>
        <w:numPr>
          <w:ilvl w:val="0"/>
          <w:numId w:val="24"/>
        </w:numPr>
      </w:pPr>
      <w:r w:rsidRPr="00AA01D5">
        <w:t>Year 1-3 each:</w:t>
      </w:r>
      <w:r>
        <w:t xml:space="preserve"> for</w:t>
      </w:r>
      <w:r w:rsidR="00651799">
        <w:t xml:space="preserve"> proposed Reliability Standard</w:t>
      </w:r>
      <w:r>
        <w:t xml:space="preserve"> PRC-029-1 will be 1,346 responses; </w:t>
      </w:r>
      <w:r w:rsidR="0056100F">
        <w:t>84,040 hours</w:t>
      </w:r>
      <w:r w:rsidR="009132FC">
        <w:t>.</w:t>
      </w:r>
    </w:p>
    <w:p w:rsidR="007D032B" w:rsidRPr="00AA01D5" w:rsidP="007D032B" w14:paraId="1D408C78" w14:textId="35DAA81F">
      <w:pPr>
        <w:pStyle w:val="FERCparanumber"/>
        <w:numPr>
          <w:ilvl w:val="0"/>
          <w:numId w:val="24"/>
        </w:numPr>
      </w:pPr>
      <w:r w:rsidRPr="00AA01D5">
        <w:t>The annual cost burden for each year One to Three is $</w:t>
      </w:r>
      <w:r w:rsidRPr="00EE7941" w:rsidR="0056100F">
        <w:t>1,738,482</w:t>
      </w:r>
      <w:r w:rsidR="0056100F">
        <w:t xml:space="preserve"> for </w:t>
      </w:r>
      <w:r w:rsidR="00651799">
        <w:t xml:space="preserve">proposed Reliability Standard </w:t>
      </w:r>
      <w:r w:rsidR="0056100F">
        <w:t>PRC-024-</w:t>
      </w:r>
      <w:r w:rsidR="006A0DAA">
        <w:t>4</w:t>
      </w:r>
      <w:r w:rsidR="00651799">
        <w:t>;</w:t>
      </w:r>
      <w:r w:rsidR="0056100F">
        <w:t xml:space="preserve"> and </w:t>
      </w:r>
      <w:r w:rsidRPr="0007331A" w:rsidR="00651799">
        <w:t>$5,939,106.80</w:t>
      </w:r>
      <w:r w:rsidR="00651799">
        <w:t xml:space="preserve"> for proposed Reliability Standard PRC-029-1</w:t>
      </w:r>
      <w:r w:rsidRPr="00AA01D5">
        <w:t>.</w:t>
      </w:r>
    </w:p>
    <w:p w:rsidR="00AA01D5" w:rsidP="00681DD2" w14:paraId="5FD3835C" w14:textId="346C79AB">
      <w:pPr>
        <w:pStyle w:val="FERCparanumber"/>
      </w:pPr>
      <w:r w:rsidRPr="00AA01D5">
        <w:rPr>
          <w:u w:val="single"/>
        </w:rPr>
        <w:t>Title</w:t>
      </w:r>
      <w:r w:rsidRPr="00AA01D5">
        <w:t>:  Mandatory Reliability Standards,</w:t>
      </w:r>
      <w:r>
        <w:t xml:space="preserve"> Revised Protection and Control Reliability Standards</w:t>
      </w:r>
      <w:r w:rsidRPr="00AA01D5">
        <w:t xml:space="preserve"> </w:t>
      </w:r>
    </w:p>
    <w:p w:rsidR="00AA01D5" w:rsidRPr="00AA01D5" w:rsidP="00B07078" w14:paraId="4873B009" w14:textId="1C34971F">
      <w:pPr>
        <w:pStyle w:val="FERCparanumber"/>
        <w:numPr>
          <w:ilvl w:val="0"/>
          <w:numId w:val="0"/>
        </w:numPr>
      </w:pPr>
      <w:r w:rsidRPr="00AA01D5">
        <w:rPr>
          <w:u w:val="single"/>
        </w:rPr>
        <w:t>Action</w:t>
      </w:r>
      <w:r w:rsidRPr="00AA01D5">
        <w:t>:  Revision to FERC-725</w:t>
      </w:r>
      <w:r w:rsidRPr="001F4EE5" w:rsidR="00844014">
        <w:t>G</w:t>
      </w:r>
      <w:r w:rsidRPr="00AA01D5">
        <w:t xml:space="preserve"> information collection.</w:t>
      </w:r>
    </w:p>
    <w:p w:rsidR="00AA01D5" w:rsidRPr="00AA01D5" w:rsidP="00B07078" w14:paraId="19351EFD" w14:textId="2975AA34">
      <w:pPr>
        <w:pStyle w:val="FERCparanumber"/>
        <w:numPr>
          <w:ilvl w:val="0"/>
          <w:numId w:val="0"/>
        </w:numPr>
      </w:pPr>
      <w:r w:rsidRPr="00AA01D5">
        <w:rPr>
          <w:u w:val="single"/>
        </w:rPr>
        <w:t>OMB Control No.</w:t>
      </w:r>
      <w:r w:rsidRPr="00AA01D5">
        <w:t xml:space="preserve">:  </w:t>
      </w:r>
      <w:r w:rsidRPr="001F4EE5" w:rsidR="00844014">
        <w:t>1902</w:t>
      </w:r>
      <w:r w:rsidRPr="00AA01D5">
        <w:t>-</w:t>
      </w:r>
      <w:r w:rsidRPr="001F4EE5" w:rsidR="00844014">
        <w:t>0281</w:t>
      </w:r>
      <w:r w:rsidRPr="00AA01D5">
        <w:t>.</w:t>
      </w:r>
    </w:p>
    <w:p w:rsidR="00AA01D5" w:rsidRPr="00AA01D5" w:rsidP="00B07078" w14:paraId="25F2A1F5" w14:textId="77777777">
      <w:pPr>
        <w:pStyle w:val="FERCparanumber"/>
        <w:numPr>
          <w:ilvl w:val="0"/>
          <w:numId w:val="0"/>
        </w:numPr>
      </w:pPr>
      <w:r w:rsidRPr="00AA01D5">
        <w:rPr>
          <w:u w:val="single"/>
        </w:rPr>
        <w:t>Respondents</w:t>
      </w:r>
      <w:r w:rsidRPr="00AA01D5">
        <w:t>:  Businesses or other for-profit institutions; not-for-profit institutions.</w:t>
      </w:r>
    </w:p>
    <w:p w:rsidR="00AA01D5" w:rsidRPr="00AA01D5" w:rsidP="00B07078" w14:paraId="683C09DF" w14:textId="77777777">
      <w:pPr>
        <w:pStyle w:val="FERCparanumber"/>
        <w:numPr>
          <w:ilvl w:val="0"/>
          <w:numId w:val="0"/>
        </w:numPr>
      </w:pPr>
      <w:r w:rsidRPr="00AA01D5">
        <w:t>Frequency of Responses:  On Occasion.</w:t>
      </w:r>
    </w:p>
    <w:p w:rsidR="00B371EF" w:rsidP="00B07078" w14:paraId="024966DF" w14:textId="5482E8A8">
      <w:pPr>
        <w:pStyle w:val="FERCparanumber"/>
        <w:numPr>
          <w:ilvl w:val="0"/>
          <w:numId w:val="0"/>
        </w:numPr>
      </w:pPr>
      <w:r w:rsidRPr="00AA01D5">
        <w:rPr>
          <w:u w:val="single"/>
        </w:rPr>
        <w:t>Necessity of the Information</w:t>
      </w:r>
      <w:r w:rsidRPr="00AA01D5">
        <w:t xml:space="preserve">:  This </w:t>
      </w:r>
      <w:r w:rsidR="00F94CBA">
        <w:t>notice of proposed rulemaking</w:t>
      </w:r>
      <w:r w:rsidRPr="00AA01D5" w:rsidR="00F94CBA">
        <w:t xml:space="preserve"> </w:t>
      </w:r>
      <w:r w:rsidRPr="00AA01D5">
        <w:t>proposes to approve the requested modifications to Reliability Standards pertaining to</w:t>
      </w:r>
      <w:r>
        <w:t xml:space="preserve"> </w:t>
      </w:r>
      <w:r w:rsidR="009B4B3D">
        <w:t xml:space="preserve">the </w:t>
      </w:r>
      <w:r>
        <w:t>protection and control</w:t>
      </w:r>
      <w:r w:rsidR="006B3BD2">
        <w:t xml:space="preserve"> </w:t>
      </w:r>
      <w:r w:rsidR="009B4B3D">
        <w:t>of the Bulk-Power S</w:t>
      </w:r>
      <w:r w:rsidR="007D3892">
        <w:t>ystem</w:t>
      </w:r>
      <w:r>
        <w:t>.  As discussed above</w:t>
      </w:r>
      <w:r w:rsidRPr="00AA01D5">
        <w:t>, the Commission proposes to approve proposed Reliability Standard</w:t>
      </w:r>
      <w:r w:rsidR="00D13D30">
        <w:t>s PRC 024-4 and</w:t>
      </w:r>
      <w:r w:rsidRPr="00AA01D5">
        <w:t xml:space="preserve"> </w:t>
      </w:r>
      <w:r>
        <w:t>PRC</w:t>
      </w:r>
      <w:r w:rsidRPr="00AA01D5">
        <w:t>-0</w:t>
      </w:r>
      <w:r>
        <w:t>29</w:t>
      </w:r>
      <w:r w:rsidRPr="00AA01D5">
        <w:t xml:space="preserve">-1 pursuant to section 215(d)(2) of the FPA because it </w:t>
      </w:r>
      <w:r w:rsidR="00DC05A1">
        <w:t xml:space="preserve">establishes frequency and voltage </w:t>
      </w:r>
      <w:r w:rsidR="00D13D30">
        <w:t>R</w:t>
      </w:r>
      <w:r w:rsidR="00DC05A1">
        <w:t xml:space="preserve">ide-through requirements for IBRs. </w:t>
      </w:r>
      <w:r w:rsidR="00521F37">
        <w:t xml:space="preserve"> Additionally, the Commission propose</w:t>
      </w:r>
      <w:r w:rsidR="00FB4306">
        <w:t>s</w:t>
      </w:r>
      <w:r w:rsidR="00521F37">
        <w:t xml:space="preserve"> to direct NERC to file two informational filings </w:t>
      </w:r>
      <w:r w:rsidR="00AC4B19">
        <w:t xml:space="preserve">with the Commission on Ride-through exemption requests. </w:t>
      </w:r>
    </w:p>
    <w:p w:rsidR="00AA01D5" w:rsidRPr="00AA01D5" w:rsidP="00B07078" w14:paraId="3AC7F743" w14:textId="1774D100">
      <w:pPr>
        <w:pStyle w:val="FERCparanumber"/>
        <w:numPr>
          <w:ilvl w:val="0"/>
          <w:numId w:val="0"/>
        </w:numPr>
      </w:pPr>
      <w:r w:rsidRPr="00AA01D5">
        <w:rPr>
          <w:u w:val="single"/>
        </w:rPr>
        <w:t>Internal Review</w:t>
      </w:r>
      <w:r w:rsidRPr="00AA01D5">
        <w:t>:  The Commission has reviewed the proposed Reliability Standard</w:t>
      </w:r>
      <w:r w:rsidR="00DC6857">
        <w:t>s</w:t>
      </w:r>
      <w:r w:rsidRPr="00AA01D5">
        <w:t xml:space="preserve"> and </w:t>
      </w:r>
      <w:r w:rsidRPr="00AA01D5">
        <w:t>made a determination</w:t>
      </w:r>
      <w:r w:rsidRPr="00AA01D5">
        <w:t xml:space="preserve"> that its action is necessary to implement section 215 of the FPA.  </w:t>
      </w:r>
    </w:p>
    <w:p w:rsidR="00AA01D5" w:rsidRPr="00AA01D5" w:rsidP="00B07078" w14:paraId="2465A613" w14:textId="58CCA2CC">
      <w:pPr>
        <w:pStyle w:val="FERCparanumber"/>
        <w:numPr>
          <w:ilvl w:val="0"/>
          <w:numId w:val="0"/>
        </w:numPr>
      </w:pPr>
      <w:r w:rsidRPr="00AA01D5">
        <w:t xml:space="preserve">Interested persons may obtain information on the reporting requirements by contacting the following: </w:t>
      </w:r>
      <w:r w:rsidR="00A41E2D">
        <w:t xml:space="preserve"> </w:t>
      </w:r>
      <w:r w:rsidRPr="00AA01D5">
        <w:t xml:space="preserve">Federal Energy Regulatory Commission, 888 First Street, NE Washington, DC </w:t>
      </w:r>
      <w:r w:rsidR="00A53D2C">
        <w:t xml:space="preserve"> </w:t>
      </w:r>
      <w:r w:rsidRPr="00AA01D5">
        <w:t>20426 [Attention: Kayla Williams, Office of the Executive Director, email:  DataClearance@ferc.gov, phone</w:t>
      </w:r>
      <w:r w:rsidRPr="00AA01D5">
        <w:t xml:space="preserve">: </w:t>
      </w:r>
      <w:r w:rsidR="00A53D2C">
        <w:t xml:space="preserve"> </w:t>
      </w:r>
      <w:r w:rsidRPr="00AA01D5">
        <w:t>(</w:t>
      </w:r>
      <w:r w:rsidRPr="00AA01D5">
        <w:t>202) 502-8663, fax: (202) 273-0873].</w:t>
      </w:r>
    </w:p>
    <w:p w:rsidR="00F239F6" w:rsidRPr="00B61165" w:rsidP="00060287" w14:paraId="62A0E17C" w14:textId="77BCF623">
      <w:pPr>
        <w:pStyle w:val="FERCparanumber"/>
        <w:numPr>
          <w:ilvl w:val="0"/>
          <w:numId w:val="11"/>
        </w:numPr>
      </w:pPr>
      <w:r w:rsidRPr="003276CC">
        <w:t>For</w:t>
      </w:r>
      <w:r>
        <w:t xml:space="preserve"> submitting comments concerning the collection(s) of information and the associated burden estimate(s), please send your comments to the Commission, and to the Office of Management and Budget, Office of Information and Regulatory Affairs, Washington, DC 20503 [Attention: Desk Officer for the Federal Energy Regulatory Commission, phone</w:t>
      </w:r>
      <w:r>
        <w:t>:  (</w:t>
      </w:r>
      <w:r>
        <w:t xml:space="preserve">202) 395-4638, fax: (202) 395-7285].  For security reasons, comments to OMB should be submitted by e-mail to: oira_submission@omb.eop.gov.  </w:t>
      </w:r>
      <w:r>
        <w:t>Comments submitted to OMB should include Docket Number RM2</w:t>
      </w:r>
      <w:r w:rsidR="002316C4">
        <w:t>5</w:t>
      </w:r>
      <w:r>
        <w:t>-</w:t>
      </w:r>
      <w:r w:rsidR="002316C4">
        <w:t>3</w:t>
      </w:r>
      <w:r>
        <w:t xml:space="preserve">-000 and OMB Control Number </w:t>
      </w:r>
      <w:r w:rsidRPr="00F04E08" w:rsidR="00844014">
        <w:t>1902</w:t>
      </w:r>
      <w:r w:rsidRPr="00F04E08">
        <w:t>-</w:t>
      </w:r>
      <w:r w:rsidRPr="00060287" w:rsidR="00844014">
        <w:t>0281</w:t>
      </w:r>
      <w:r w:rsidRPr="00F04E08">
        <w:t>.</w:t>
      </w:r>
    </w:p>
    <w:p w:rsidR="00F239F6" w:rsidRPr="00E3025E" w:rsidP="003276CC" w14:paraId="50F74A02" w14:textId="77777777">
      <w:pPr>
        <w:pStyle w:val="Heading1"/>
        <w:rPr>
          <w:u w:val="none"/>
        </w:rPr>
      </w:pPr>
      <w:r w:rsidRPr="00E3025E">
        <w:rPr>
          <w:u w:val="none"/>
        </w:rPr>
        <w:t>Environmental Analysis</w:t>
      </w:r>
    </w:p>
    <w:p w:rsidR="00AA01D5" w:rsidRPr="00B61165" w:rsidP="006475FC" w14:paraId="6F6F3AE8" w14:textId="74715EC9">
      <w:pPr>
        <w:pStyle w:val="FERCparanumber"/>
        <w:numPr>
          <w:ilvl w:val="0"/>
          <w:numId w:val="11"/>
        </w:numPr>
      </w:pPr>
      <w:r w:rsidRPr="00B61165">
        <w:t xml:space="preserve">The </w:t>
      </w:r>
      <w:r w:rsidRPr="003276CC">
        <w:t>Commission</w:t>
      </w:r>
      <w:r w:rsidRPr="00B61165">
        <w:t xml:space="preserve"> is required to prepare an Environmental Assessment or an Environmental Impact Statement for any action that may have a significant adverse effect on the human environment.</w:t>
      </w:r>
      <w:r>
        <w:rPr>
          <w:rStyle w:val="FootnoteReference"/>
        </w:rPr>
        <w:footnoteReference w:id="72"/>
      </w:r>
      <w:r w:rsidRPr="00B61165">
        <w:t xml:space="preserve"> </w:t>
      </w:r>
      <w:r w:rsidR="001D1CFD">
        <w:t xml:space="preserve"> </w:t>
      </w:r>
      <w:r w:rsidRPr="00AA01D5">
        <w:t>The Commission has categorically excluded certain actions from this requirement as not having a significant effect on the human environment.  Included in the exclusion are rules that are clarifying, corrective, or procedural or that do not substantially change the effect of the regulations being amended.</w:t>
      </w:r>
      <w:r>
        <w:rPr>
          <w:b/>
          <w:vertAlign w:val="superscript"/>
        </w:rPr>
        <w:footnoteReference w:id="73"/>
      </w:r>
      <w:r w:rsidRPr="00AA01D5">
        <w:t xml:space="preserve">  The action</w:t>
      </w:r>
      <w:r w:rsidR="006B129F">
        <w:t>s</w:t>
      </w:r>
      <w:r w:rsidRPr="00AA01D5">
        <w:t xml:space="preserve"> proposed herein falls within this categorical exclusion in the Commission’s regulations.</w:t>
      </w:r>
    </w:p>
    <w:p w:rsidR="00F239F6" w:rsidRPr="00E3025E" w:rsidP="003276CC" w14:paraId="3B3BE127" w14:textId="0201AC3D">
      <w:pPr>
        <w:pStyle w:val="Heading1"/>
        <w:rPr>
          <w:u w:val="none"/>
        </w:rPr>
      </w:pPr>
      <w:r w:rsidRPr="00E3025E">
        <w:rPr>
          <w:u w:val="none"/>
        </w:rPr>
        <w:t>Regulatory Flexibility Act Certification</w:t>
      </w:r>
    </w:p>
    <w:p w:rsidR="00071CFD" w:rsidRPr="00B56021" w:rsidP="00060287" w14:paraId="714EAB4E" w14:textId="368FE0CC">
      <w:pPr>
        <w:pStyle w:val="FERCparanumber"/>
        <w:numPr>
          <w:ilvl w:val="0"/>
          <w:numId w:val="11"/>
        </w:numPr>
      </w:pPr>
      <w:r w:rsidRPr="00B61165">
        <w:t>The Regulatory Fle</w:t>
      </w:r>
      <w:r w:rsidRPr="00B61165">
        <w:rPr>
          <w:rStyle w:val="FERCparanumberChar"/>
        </w:rPr>
        <w:t>x</w:t>
      </w:r>
      <w:r w:rsidRPr="00B61165">
        <w:t>ibility Act of 1980 (RFA)</w:t>
      </w:r>
      <w:r>
        <w:rPr>
          <w:rStyle w:val="FootnoteReference"/>
        </w:rPr>
        <w:footnoteReference w:id="74"/>
      </w:r>
      <w:r w:rsidRPr="00B61165">
        <w:t xml:space="preserve"> generally requires a description and analysis of proposed rules that will have significant economic impact on a substantial number of small entities.</w:t>
      </w:r>
      <w:r>
        <w:t xml:space="preserve"> </w:t>
      </w:r>
      <w:r w:rsidRPr="00B56021">
        <w:t>The Small Business Administration’s (SBA) Office of Size</w:t>
      </w:r>
      <w:r>
        <w:t xml:space="preserve"> </w:t>
      </w:r>
      <w:r w:rsidRPr="00B56021">
        <w:t>Standards develops the numerical definition of a small business.</w:t>
      </w:r>
      <w:r>
        <w:rPr>
          <w:rStyle w:val="FootnoteReference"/>
        </w:rPr>
        <w:footnoteReference w:id="75"/>
      </w:r>
      <w:r w:rsidRPr="00B56021">
        <w:rPr>
          <w:b/>
          <w:bCs/>
        </w:rPr>
        <w:t xml:space="preserve"> </w:t>
      </w:r>
      <w:r>
        <w:rPr>
          <w:b/>
          <w:bCs/>
        </w:rPr>
        <w:t xml:space="preserve"> </w:t>
      </w:r>
      <w:r w:rsidRPr="00B56021">
        <w:t>The SBA revised its</w:t>
      </w:r>
      <w:r>
        <w:t xml:space="preserve"> </w:t>
      </w:r>
      <w:r w:rsidRPr="00B56021">
        <w:t xml:space="preserve">size standard for electric utilities (effective </w:t>
      </w:r>
      <w:r>
        <w:t>March 17</w:t>
      </w:r>
      <w:r w:rsidRPr="00B56021">
        <w:t>, 20</w:t>
      </w:r>
      <w:r>
        <w:t>23</w:t>
      </w:r>
      <w:r w:rsidRPr="00B56021">
        <w:t>) to a standard based on th</w:t>
      </w:r>
      <w:r>
        <w:t xml:space="preserve">e </w:t>
      </w:r>
      <w:r w:rsidRPr="00B56021">
        <w:t>number of employees, including affiliates (from the prior standard based on megawatt</w:t>
      </w:r>
    </w:p>
    <w:p w:rsidR="00ED6BBA" w:rsidRPr="007C7148" w:rsidP="00E068AB" w14:paraId="3864A404" w14:textId="37B25D9B">
      <w:pPr>
        <w:pStyle w:val="FERCparanumber"/>
        <w:numPr>
          <w:ilvl w:val="0"/>
          <w:numId w:val="0"/>
        </w:numPr>
      </w:pPr>
      <w:r w:rsidRPr="00B56021">
        <w:t>hour sales).</w:t>
      </w:r>
      <w:r>
        <w:rPr>
          <w:rStyle w:val="FootnoteReference"/>
        </w:rPr>
        <w:footnoteReference w:id="76"/>
      </w:r>
      <w:r>
        <w:t xml:space="preserve">  </w:t>
      </w:r>
    </w:p>
    <w:p w:rsidR="00ED6BBA" w:rsidRPr="00ED6BBA" w:rsidP="1C2E2A6A" w14:paraId="07F4F371" w14:textId="0A2664C3">
      <w:pPr>
        <w:pStyle w:val="FERCparanumber"/>
      </w:pPr>
      <w:r>
        <w:t>P</w:t>
      </w:r>
      <w:r>
        <w:t xml:space="preserve">roposed Reliability Standard PRC-024-4 (included in FERC-725G) will apply </w:t>
      </w:r>
      <w:r w:rsidR="000A56ED">
        <w:br/>
      </w:r>
      <w:r>
        <w:t>to approximately 1,230 generator owners and proposed Reliability Standard PRC</w:t>
      </w:r>
      <w:r>
        <w:t>-0</w:t>
      </w:r>
      <w:r>
        <w:t xml:space="preserve">29-1 (included in FERC-725G) will apply to approximately 1,346 BES/IBR </w:t>
      </w:r>
      <w:r>
        <w:t xml:space="preserve">combined generator owners </w:t>
      </w:r>
      <w:r>
        <w:t xml:space="preserve">and </w:t>
      </w:r>
      <w:r>
        <w:t>n</w:t>
      </w:r>
      <w:r>
        <w:t>on-</w:t>
      </w:r>
      <w:r>
        <w:t>generator owners</w:t>
      </w:r>
      <w:r>
        <w:t xml:space="preserve"> in the United States.</w:t>
      </w:r>
      <w:r>
        <w:rPr>
          <w:b/>
          <w:vertAlign w:val="superscript"/>
        </w:rPr>
        <w:footnoteReference w:id="77"/>
      </w:r>
      <w:r>
        <w:t xml:space="preserve">  Pursuant to SBA regulations, the employment threshold for generator owners is</w:t>
      </w:r>
      <w:r w:rsidR="62B4F0E9">
        <w:t xml:space="preserve"> 9</w:t>
      </w:r>
      <w:r>
        <w:t xml:space="preserve">50 employees. </w:t>
      </w:r>
      <w:r>
        <w:t xml:space="preserve"> </w:t>
      </w:r>
      <w:r>
        <w:t xml:space="preserve">We estimate that the percentage of employees that are considered small to </w:t>
      </w:r>
      <w:r>
        <w:t xml:space="preserve">be </w:t>
      </w:r>
      <w:r>
        <w:t xml:space="preserve">74.59% based on the </w:t>
      </w:r>
      <w:r w:rsidR="00E84F80">
        <w:t xml:space="preserve">North American Industry Classification System 221121 </w:t>
      </w:r>
      <w:r w:rsidR="006A0DAA">
        <w:t xml:space="preserve">code </w:t>
      </w:r>
      <w:r w:rsidR="00E84F80">
        <w:t>(Electric Bulk Power Generation)</w:t>
      </w:r>
      <w:r>
        <w:t xml:space="preserve"> and</w:t>
      </w:r>
      <w:r w:rsidR="00E84F80">
        <w:t xml:space="preserve"> that</w:t>
      </w:r>
      <w:r>
        <w:t xml:space="preserve"> the annual cost for each entity will be $1,413.40 for each generator owner and $2,826.80 for each BES IBR generator owner and $5,653.60 </w:t>
      </w:r>
      <w:r w:rsidR="00E84F80">
        <w:t xml:space="preserve">for each </w:t>
      </w:r>
      <w:r>
        <w:t>Non-BES IBR</w:t>
      </w:r>
      <w:r>
        <w:t xml:space="preserve"> generator owner.</w:t>
      </w:r>
    </w:p>
    <w:p w:rsidR="00F239F6" w:rsidRPr="006A0DAA" w:rsidP="006A0DAA" w14:paraId="0339608D" w14:textId="39EFC201">
      <w:pPr>
        <w:pStyle w:val="FERCparanumber"/>
        <w:numPr>
          <w:ilvl w:val="0"/>
          <w:numId w:val="11"/>
        </w:numPr>
        <w:rPr>
          <w:rStyle w:val="Hyperlink"/>
          <w:color w:val="auto"/>
          <w:u w:val="none"/>
        </w:rPr>
      </w:pPr>
      <w:r w:rsidRPr="00ED6BBA">
        <w:t xml:space="preserve">We view this as a minimal economic impact for each entity.  Accordingly, we certify that the proposed Reliability Standards PRC-024-4 and PRC-029-1 will not </w:t>
      </w:r>
      <w:r w:rsidR="000A56ED">
        <w:br/>
      </w:r>
      <w:r w:rsidRPr="00ED6BBA">
        <w:t>have a significant economic impact on a substantial number of small entities.</w:t>
      </w:r>
      <w:r w:rsidR="002609C3">
        <w:t xml:space="preserve">  Thus, </w:t>
      </w:r>
      <w:r w:rsidR="000A56ED">
        <w:br/>
      </w:r>
      <w:r w:rsidR="002609C3">
        <w:t xml:space="preserve">no regulatory flexibility analysis is required. </w:t>
      </w:r>
    </w:p>
    <w:p w:rsidR="00F239F6" w:rsidRPr="00E3025E" w:rsidP="003276CC" w14:paraId="4B39AA5C" w14:textId="77777777">
      <w:pPr>
        <w:pStyle w:val="Heading1"/>
        <w:rPr>
          <w:u w:val="none"/>
        </w:rPr>
      </w:pPr>
      <w:r w:rsidRPr="00E3025E">
        <w:rPr>
          <w:u w:val="none"/>
        </w:rPr>
        <w:t>Comment Procedures</w:t>
      </w:r>
    </w:p>
    <w:p w:rsidR="00F239F6" w:rsidP="00060287" w14:paraId="7E495A8C" w14:textId="1F5585B6">
      <w:pPr>
        <w:pStyle w:val="FERCparanumber"/>
        <w:numPr>
          <w:ilvl w:val="0"/>
          <w:numId w:val="11"/>
        </w:numPr>
      </w:pPr>
      <w:r w:rsidRPr="00B61165">
        <w:t xml:space="preserve">The </w:t>
      </w:r>
      <w:r w:rsidRPr="003276CC">
        <w:t>Commission</w:t>
      </w:r>
      <w:r w:rsidRPr="00B61165">
        <w:t xml:space="preserve"> invites interested persons to submit comments on the matters and issues proposed in this notice to be adopted, including any related matters or alternative proposals that commenters may wish to discuss.  Comments are due</w:t>
      </w:r>
      <w:r>
        <w:t xml:space="preserve"> </w:t>
      </w:r>
      <w:r w:rsidRPr="00B3607A">
        <w:rPr>
          <w:b/>
        </w:rPr>
        <w:t xml:space="preserve">[INSERT DATE </w:t>
      </w:r>
      <w:r w:rsidR="000A56ED">
        <w:rPr>
          <w:b/>
        </w:rPr>
        <w:br/>
      </w:r>
      <w:r w:rsidR="00071CFD">
        <w:rPr>
          <w:b/>
        </w:rPr>
        <w:t xml:space="preserve">60 </w:t>
      </w:r>
      <w:r w:rsidRPr="004731B2">
        <w:rPr>
          <w:b/>
          <w:bCs/>
        </w:rPr>
        <w:t xml:space="preserve">DAYS </w:t>
      </w:r>
      <w:r w:rsidRPr="00B3607A">
        <w:rPr>
          <w:b/>
        </w:rPr>
        <w:t>AFTER DATE OF PUBLICATION IN THE FEDERAL REGISTER]</w:t>
      </w:r>
      <w:r w:rsidRPr="00B61165">
        <w:t>.  Comments must refer to Docket No.</w:t>
      </w:r>
      <w:r w:rsidR="00071CFD">
        <w:t xml:space="preserve"> RM2</w:t>
      </w:r>
      <w:r w:rsidR="002316C4">
        <w:t>5</w:t>
      </w:r>
      <w:r w:rsidR="00071CFD">
        <w:t>-</w:t>
      </w:r>
      <w:r w:rsidR="002316C4">
        <w:t>3</w:t>
      </w:r>
      <w:r w:rsidR="00071CFD">
        <w:t>-000</w:t>
      </w:r>
      <w:r w:rsidRPr="00B61165">
        <w:t>, and must include the commenter's name, the organization they represent, if applicable, and their address in their comments.</w:t>
      </w:r>
      <w:r>
        <w:t xml:space="preserve">  </w:t>
      </w:r>
      <w:r w:rsidRPr="00B61165">
        <w:t>All comments will be placed in the Commission's public files and may be viewed, printed, or downloaded remotely as described in the Document Availability section below.  Commenters on this proposal are not required to serve copies of their comments on other commenters.</w:t>
      </w:r>
    </w:p>
    <w:p w:rsidR="00F239F6" w:rsidRPr="003276CC" w:rsidP="00060287" w14:paraId="5F239682" w14:textId="49B06988">
      <w:pPr>
        <w:pStyle w:val="FERCparanumber"/>
        <w:numPr>
          <w:ilvl w:val="0"/>
          <w:numId w:val="11"/>
        </w:numPr>
      </w:pPr>
      <w:r w:rsidRPr="00626AD6">
        <w:t xml:space="preserve">The Commission encourages comments to be filed electronically via the </w:t>
      </w:r>
      <w:r w:rsidRPr="00626AD6">
        <w:t>eFiling</w:t>
      </w:r>
      <w:r w:rsidRPr="00626AD6">
        <w:t xml:space="preserve"> link on the Commission’s website at </w:t>
      </w:r>
      <w:r w:rsidRPr="00071CFD">
        <w:t>http://www.ferc.gov</w:t>
      </w:r>
      <w:r w:rsidRPr="00626AD6">
        <w:t xml:space="preserve">.  The Commission accepts most standard </w:t>
      </w:r>
      <w:r w:rsidRPr="003276CC">
        <w:t>word processing formats.  Documents created electronically using word processing software must be filed in native applications or print-to-PDF format and not in a scanned format.  Commenters filing electronically do not need to make a paper filing.</w:t>
      </w:r>
    </w:p>
    <w:p w:rsidR="00F239F6" w:rsidRPr="00B61165" w:rsidP="00060287" w14:paraId="7351D78F" w14:textId="36D5C7A1">
      <w:pPr>
        <w:pStyle w:val="FERCparanumber"/>
        <w:numPr>
          <w:ilvl w:val="0"/>
          <w:numId w:val="11"/>
        </w:numPr>
      </w:pPr>
      <w:r w:rsidRPr="003276CC">
        <w:t>Commenters that are not able to file comments electronically may file an original of their comment</w:t>
      </w:r>
      <w:r>
        <w:t xml:space="preserve"> by USPS mail or by </w:t>
      </w:r>
      <w:r w:rsidRPr="00A90123">
        <w:t>courier-</w:t>
      </w:r>
      <w:r>
        <w:t xml:space="preserve">or other </w:t>
      </w:r>
      <w:r w:rsidRPr="00A90123">
        <w:t>deliver</w:t>
      </w:r>
      <w:r>
        <w:t>y services.</w:t>
      </w:r>
      <w:r w:rsidRPr="00626AD6">
        <w:t xml:space="preserve">  For submission sent via USPS</w:t>
      </w:r>
      <w:r>
        <w:t xml:space="preserve"> only</w:t>
      </w:r>
      <w:r w:rsidRPr="00626AD6">
        <w:t xml:space="preserve">, filings should </w:t>
      </w:r>
      <w:r>
        <w:t xml:space="preserve">be </w:t>
      </w:r>
      <w:r w:rsidRPr="00626AD6">
        <w:t xml:space="preserve">mailed to: Federal Energy Regulatory Commission, Office of the Secretary, 888 First Street, NE, Washington, DC  20426.  Submission of filings other than by USPS should be </w:t>
      </w:r>
      <w:r>
        <w:t xml:space="preserve">delivered </w:t>
      </w:r>
      <w:r w:rsidRPr="00626AD6">
        <w:t>to: Federal Energy Regulatory Commission, 12225 Wilkins Avenue, Rockville,</w:t>
      </w:r>
      <w:r w:rsidR="00F6663B">
        <w:t xml:space="preserve"> </w:t>
      </w:r>
      <w:r w:rsidRPr="00626AD6">
        <w:t>M</w:t>
      </w:r>
      <w:r>
        <w:t>D</w:t>
      </w:r>
      <w:r w:rsidRPr="00626AD6">
        <w:t xml:space="preserve"> </w:t>
      </w:r>
      <w:r w:rsidR="00F6663B">
        <w:t xml:space="preserve"> </w:t>
      </w:r>
      <w:r w:rsidRPr="00626AD6">
        <w:t>20852.</w:t>
      </w:r>
    </w:p>
    <w:p w:rsidR="00F239F6" w:rsidRPr="00E3025E" w:rsidP="003276CC" w14:paraId="25C77D17" w14:textId="77777777">
      <w:pPr>
        <w:pStyle w:val="Heading1"/>
        <w:rPr>
          <w:u w:val="none"/>
        </w:rPr>
      </w:pPr>
      <w:r w:rsidRPr="00E3025E">
        <w:rPr>
          <w:u w:val="none"/>
        </w:rPr>
        <w:t>Document Availability</w:t>
      </w:r>
    </w:p>
    <w:p w:rsidR="00F239F6" w:rsidRPr="003276CC" w:rsidP="0064495A" w14:paraId="7116A3CF" w14:textId="2EF75190">
      <w:pPr>
        <w:pStyle w:val="FERCparanumber"/>
        <w:numPr>
          <w:ilvl w:val="0"/>
          <w:numId w:val="11"/>
        </w:numPr>
      </w:pPr>
      <w:r w:rsidRPr="00B70256">
        <w:t xml:space="preserve">In addition to publishing the full text of this document in the </w:t>
      </w:r>
      <w:r w:rsidRPr="00F04E08">
        <w:rPr>
          <w:i/>
          <w:iCs/>
        </w:rPr>
        <w:t>Federal Register</w:t>
      </w:r>
      <w:r w:rsidRPr="00B70256">
        <w:t xml:space="preserve">, </w:t>
      </w:r>
      <w:r w:rsidR="000A56ED">
        <w:br/>
      </w:r>
      <w:r w:rsidRPr="00B70256">
        <w:t xml:space="preserve">the Commission provides all interested persons an opportunity to view and/or print the contents of this </w:t>
      </w:r>
      <w:r w:rsidRPr="003276CC">
        <w:t>document via the Internet through the Commission's Home Page</w:t>
      </w:r>
      <w:r w:rsidRPr="003276CC" w:rsidR="00071CFD">
        <w:t xml:space="preserve"> </w:t>
      </w:r>
      <w:r w:rsidRPr="003276CC">
        <w:t>(http://www.ferc.gov).</w:t>
      </w:r>
    </w:p>
    <w:p w:rsidR="00F04E08" w:rsidRPr="00395600" w:rsidP="0064495A" w14:paraId="4F86E2DE" w14:textId="5064C3AC">
      <w:pPr>
        <w:pStyle w:val="FERCparanumber"/>
        <w:numPr>
          <w:ilvl w:val="0"/>
          <w:numId w:val="11"/>
        </w:numPr>
      </w:pPr>
      <w:r w:rsidRPr="00F04E08">
        <w:t>From the Commission’s</w:t>
      </w:r>
      <w:r>
        <w:t xml:space="preserve"> Home Page on the Internet, this information is available on eLibrary. </w:t>
      </w:r>
      <w:r w:rsidR="00DF1744">
        <w:t xml:space="preserve"> </w:t>
      </w:r>
      <w:r>
        <w:t xml:space="preserve">The full text of this document is available on eLibrary in PDF and Microsoft Word format for viewing, printing, and/or downloading. </w:t>
      </w:r>
      <w:r w:rsidR="00DF1744">
        <w:t xml:space="preserve"> </w:t>
      </w:r>
      <w:r>
        <w:t>To access this document in eLibrary, type the docket number excluding the last three digits of this document in the docket number field.</w:t>
      </w:r>
    </w:p>
    <w:p w:rsidR="00F239F6" w:rsidP="0064495A" w14:paraId="7C40E646" w14:textId="28F6BCCB">
      <w:pPr>
        <w:pStyle w:val="FERCparanumber"/>
      </w:pPr>
      <w:r>
        <w:t xml:space="preserve">User assistance is </w:t>
      </w:r>
      <w:r w:rsidRPr="003276CC">
        <w:t>available</w:t>
      </w:r>
      <w:r>
        <w:t xml:space="preserve"> for eLibrary and </w:t>
      </w:r>
      <w:r w:rsidRPr="00B70256">
        <w:t>the Commission’s</w:t>
      </w:r>
      <w:r>
        <w:t xml:space="preserve"> website during normal business hours from FERC Online Support at </w:t>
      </w:r>
      <w:r w:rsidR="00F6663B">
        <w:t>(</w:t>
      </w:r>
      <w:r>
        <w:t>202</w:t>
      </w:r>
      <w:r w:rsidR="00F6663B">
        <w:t xml:space="preserve">) </w:t>
      </w:r>
      <w:r>
        <w:t xml:space="preserve">502-6652 (toll free at 1-866-208-3676) or email at </w:t>
      </w:r>
      <w:r w:rsidRPr="00071CFD">
        <w:t>ferconlinesupport@ferc.gov</w:t>
      </w:r>
      <w:r>
        <w:t xml:space="preserve">, or the </w:t>
      </w:r>
      <w:r>
        <w:rPr>
          <w:bdr w:val="none" w:sz="0" w:space="0" w:color="auto" w:frame="1"/>
          <w:shd w:val="clear" w:color="auto" w:fill="FFFFFF"/>
        </w:rPr>
        <w:t>Public</w:t>
      </w:r>
      <w:r>
        <w:t xml:space="preserve"> </w:t>
      </w:r>
      <w:r>
        <w:rPr>
          <w:bdr w:val="none" w:sz="0" w:space="0" w:color="auto" w:frame="1"/>
          <w:shd w:val="clear" w:color="auto" w:fill="FFFFFF"/>
        </w:rPr>
        <w:t>Reference</w:t>
      </w:r>
      <w:r>
        <w:t xml:space="preserve"> </w:t>
      </w:r>
      <w:r>
        <w:rPr>
          <w:bdr w:val="none" w:sz="0" w:space="0" w:color="auto" w:frame="1"/>
          <w:shd w:val="clear" w:color="auto" w:fill="FFFFFF"/>
        </w:rPr>
        <w:t>Room</w:t>
      </w:r>
      <w:r>
        <w:t xml:space="preserve"> at (202) 502-8371, TTY (202)</w:t>
      </w:r>
      <w:r w:rsidR="00F6663B">
        <w:t xml:space="preserve"> </w:t>
      </w:r>
      <w:r>
        <w:t xml:space="preserve">502-8659. </w:t>
      </w:r>
      <w:r w:rsidR="00DF1744">
        <w:t xml:space="preserve"> </w:t>
      </w:r>
      <w:r>
        <w:t xml:space="preserve">E-mail the </w:t>
      </w:r>
      <w:r>
        <w:rPr>
          <w:bdr w:val="none" w:sz="0" w:space="0" w:color="auto" w:frame="1"/>
          <w:shd w:val="clear" w:color="auto" w:fill="FFFFFF"/>
        </w:rPr>
        <w:t>Public</w:t>
      </w:r>
      <w:r>
        <w:t xml:space="preserve"> </w:t>
      </w:r>
      <w:r>
        <w:rPr>
          <w:bdr w:val="none" w:sz="0" w:space="0" w:color="auto" w:frame="1"/>
          <w:shd w:val="clear" w:color="auto" w:fill="FFFFFF"/>
        </w:rPr>
        <w:t>Reference</w:t>
      </w:r>
      <w:r>
        <w:t xml:space="preserve"> </w:t>
      </w:r>
      <w:r>
        <w:rPr>
          <w:bdr w:val="none" w:sz="0" w:space="0" w:color="auto" w:frame="1"/>
          <w:shd w:val="clear" w:color="auto" w:fill="FFFFFF"/>
        </w:rPr>
        <w:t>Room</w:t>
      </w:r>
      <w:r>
        <w:t xml:space="preserve"> at </w:t>
      </w:r>
      <w:r w:rsidRPr="00071CFD">
        <w:t>public.referenceroom@ferc.gov</w:t>
      </w:r>
      <w:r>
        <w:t>.</w:t>
      </w:r>
    </w:p>
    <w:p w:rsidR="00F239F6" w:rsidP="00401A63" w14:paraId="005A6A7C" w14:textId="77777777">
      <w:pPr>
        <w:spacing w:line="480" w:lineRule="auto"/>
      </w:pPr>
      <w:r w:rsidRPr="00B61165">
        <w:t>By direction of the Commission.</w:t>
      </w:r>
    </w:p>
    <w:p w:rsidR="000A56ED" w:rsidP="000A56ED" w14:paraId="770CCE0C" w14:textId="4149936D">
      <w:pPr>
        <w:widowControl/>
      </w:pPr>
      <w:r w:rsidRPr="000A56ED">
        <w:t>( S</w:t>
      </w:r>
      <w:r w:rsidRPr="000A56ED">
        <w:t xml:space="preserve"> E A L )</w:t>
      </w:r>
    </w:p>
    <w:p w:rsidR="00FF32A1" w:rsidP="00503254" w14:paraId="70CCE5A9" w14:textId="77777777">
      <w:pPr>
        <w:pStyle w:val="FootnoteText"/>
        <w:widowControl/>
        <w:spacing w:after="0"/>
        <w:ind w:firstLine="0"/>
      </w:pPr>
    </w:p>
    <w:p w:rsidR="00503254" w:rsidP="00503254" w14:paraId="19FC5B6B" w14:textId="77777777">
      <w:pPr>
        <w:pStyle w:val="FootnoteText"/>
        <w:widowControl/>
        <w:spacing w:after="0"/>
        <w:ind w:firstLine="0"/>
      </w:pPr>
    </w:p>
    <w:p w:rsidR="00503254" w:rsidP="00503254" w14:paraId="2D950CB0" w14:textId="77777777">
      <w:pPr>
        <w:pStyle w:val="FootnoteText"/>
        <w:widowControl/>
        <w:spacing w:after="0"/>
        <w:ind w:firstLine="0"/>
      </w:pPr>
    </w:p>
    <w:p w:rsidR="00503254" w:rsidP="00503254" w14:paraId="6FD79D3D" w14:textId="77777777">
      <w:pPr>
        <w:pStyle w:val="FootnoteText"/>
        <w:widowControl/>
        <w:spacing w:after="0"/>
        <w:ind w:firstLine="0"/>
      </w:pPr>
    </w:p>
    <w:p w:rsidR="00503254" w:rsidRPr="00503254" w:rsidP="00503254" w14:paraId="6FCAAE9B" w14:textId="610C66BB">
      <w:pPr>
        <w:widowControl/>
        <w:ind w:firstLine="2174"/>
        <w:jc w:val="center"/>
      </w:pPr>
      <w:r w:rsidRPr="00503254">
        <w:t>Carlos D. Clay,</w:t>
      </w:r>
    </w:p>
    <w:p w:rsidR="00503254" w:rsidRPr="00503254" w:rsidP="00503254" w14:paraId="3DC4E4E8" w14:textId="33CDEC0D">
      <w:pPr>
        <w:widowControl/>
        <w:ind w:firstLine="2174"/>
        <w:jc w:val="center"/>
      </w:pPr>
      <w:r w:rsidRPr="00503254">
        <w:t>Acting Deputy Secretary.</w:t>
      </w:r>
    </w:p>
    <w:p w:rsidR="00503254" w:rsidRPr="0003382F" w:rsidP="00503254" w14:paraId="480EC137" w14:textId="77777777">
      <w:pPr>
        <w:pStyle w:val="FootnoteText"/>
        <w:widowControl/>
        <w:spacing w:after="0"/>
        <w:ind w:firstLine="0"/>
      </w:pPr>
    </w:p>
    <w:sectPr w:rsidSect="00F239F6">
      <w:headerReference w:type="even" r:id="rId14"/>
      <w:headerReference w:type="default" r:id="rId15"/>
      <w:head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9411E" w:rsidP="0048020B" w14:paraId="025468D9" w14:textId="77777777">
      <w:r>
        <w:separator/>
      </w:r>
    </w:p>
  </w:endnote>
  <w:endnote w:type="continuationSeparator" w:id="1">
    <w:p w:rsidR="0019411E" w:rsidP="0048020B" w14:paraId="6C935781" w14:textId="77777777">
      <w:r>
        <w:continuationSeparator/>
      </w:r>
    </w:p>
  </w:endnote>
  <w:endnote w:type="continuationNotice" w:id="2">
    <w:p w:rsidR="0019411E" w14:paraId="2D7CC5C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9411E" w:rsidP="0048020B" w14:paraId="653E1BE9" w14:textId="77777777">
      <w:r>
        <w:separator/>
      </w:r>
    </w:p>
  </w:footnote>
  <w:footnote w:type="continuationSeparator" w:id="1">
    <w:p w:rsidR="0019411E" w:rsidP="0048020B" w14:paraId="0FDC26DE" w14:textId="77777777">
      <w:r>
        <w:continuationSeparator/>
      </w:r>
    </w:p>
  </w:footnote>
  <w:footnote w:type="continuationNotice" w:id="2">
    <w:p w:rsidR="0019411E" w:rsidRPr="00B4426F" w:rsidP="00B4426F" w14:paraId="252E97C5" w14:textId="77777777">
      <w:pPr>
        <w:spacing w:line="14" w:lineRule="exact"/>
        <w:rPr>
          <w:sz w:val="2"/>
        </w:rPr>
      </w:pPr>
    </w:p>
  </w:footnote>
  <w:footnote w:id="3">
    <w:p w:rsidR="00071CFD" w:rsidP="00071CFD" w14:paraId="1362638B" w14:textId="47367298">
      <w:pPr>
        <w:pStyle w:val="FootnoteText"/>
      </w:pPr>
      <w:r>
        <w:rPr>
          <w:rStyle w:val="FootnoteReference"/>
        </w:rPr>
        <w:footnoteRef/>
      </w:r>
      <w:r>
        <w:t xml:space="preserve"> </w:t>
      </w:r>
      <w:r w:rsidRPr="004F2C54">
        <w:t>16 U.S.C.</w:t>
      </w:r>
      <w:r>
        <w:t xml:space="preserve"> </w:t>
      </w:r>
      <w:r w:rsidRPr="004F2C54">
        <w:t>824o(d)(2).</w:t>
      </w:r>
    </w:p>
  </w:footnote>
  <w:footnote w:id="4">
    <w:p w:rsidR="004A0164" w:rsidP="004A0164" w14:paraId="78A70056" w14:textId="7980869F">
      <w:pPr>
        <w:pStyle w:val="FootnoteText"/>
      </w:pPr>
      <w:r>
        <w:rPr>
          <w:rStyle w:val="FootnoteReference"/>
        </w:rPr>
        <w:footnoteRef/>
      </w:r>
      <w:r>
        <w:t xml:space="preserve"> </w:t>
      </w:r>
      <w:r w:rsidRPr="00B530C2">
        <w:t xml:space="preserve">Type 1 and </w:t>
      </w:r>
      <w:r>
        <w:t>t</w:t>
      </w:r>
      <w:r w:rsidRPr="00B530C2">
        <w:t xml:space="preserve">ype 2 wind </w:t>
      </w:r>
      <w:r w:rsidRPr="00B530C2">
        <w:t>r</w:t>
      </w:r>
      <w:r w:rsidRPr="00B530C2">
        <w:t>esources are not inverter-based wind turbine generators</w:t>
      </w:r>
      <w:r w:rsidR="00580679">
        <w:t>.</w:t>
      </w:r>
      <w:r w:rsidR="00B86B44">
        <w:t xml:space="preserve">  Rather, type 1 and type 2 wind resources</w:t>
      </w:r>
      <w:r>
        <w:t xml:space="preserve"> rely</w:t>
      </w:r>
      <w:r w:rsidRPr="00B530C2">
        <w:t xml:space="preserve"> on passive induction generators</w:t>
      </w:r>
      <w:r>
        <w:t xml:space="preserve"> with limited ability</w:t>
      </w:r>
      <w:r w:rsidRPr="00B530C2">
        <w:t xml:space="preserve"> to control active power, reactive power, or voltage.  NERC, </w:t>
      </w:r>
      <w:r w:rsidRPr="00B530C2">
        <w:rPr>
          <w:i/>
          <w:iCs/>
        </w:rPr>
        <w:t>Reliability Guideline: Power Plant Model Verification for Inverter-Based Resources</w:t>
      </w:r>
      <w:r w:rsidRPr="00B530C2">
        <w:t>, vii, ix (Sept. 2018), https://www.nerc.com/comm/RSTC_Reliability_Guidelines/PPMV_for_Inverter-Based_Resources.pdf.</w:t>
      </w:r>
    </w:p>
  </w:footnote>
  <w:footnote w:id="5">
    <w:p w:rsidR="00735FAC" w:rsidRPr="00D6642D" w:rsidP="00735FAC" w14:paraId="3439D68C" w14:textId="458EA921">
      <w:pPr>
        <w:pStyle w:val="FootnoteText"/>
      </w:pPr>
      <w:r>
        <w:rPr>
          <w:rStyle w:val="FootnoteReference"/>
        </w:rPr>
        <w:footnoteRef/>
      </w:r>
      <w:r>
        <w:t xml:space="preserve"> </w:t>
      </w:r>
      <w:r w:rsidRPr="00F77295" w:rsidR="001478D6">
        <w:rPr>
          <w:i/>
          <w:iCs/>
        </w:rPr>
        <w:t>Reliability Standards to Address Inverter-Based Res</w:t>
      </w:r>
      <w:r w:rsidR="001F7E94">
        <w:rPr>
          <w:i/>
          <w:iCs/>
        </w:rPr>
        <w:t>ources</w:t>
      </w:r>
      <w:r w:rsidRPr="00F77295" w:rsidR="001478D6">
        <w:t xml:space="preserve">, Order No. 901, </w:t>
      </w:r>
      <w:r w:rsidR="001478D6">
        <w:t>88</w:t>
      </w:r>
      <w:r w:rsidR="00F50838">
        <w:t> </w:t>
      </w:r>
      <w:r w:rsidR="001478D6">
        <w:t>FR</w:t>
      </w:r>
      <w:r w:rsidRPr="00F77295" w:rsidR="001478D6">
        <w:t xml:space="preserve"> </w:t>
      </w:r>
      <w:r w:rsidR="001478D6">
        <w:t xml:space="preserve">74250 (Oct. 30, 2023), </w:t>
      </w:r>
      <w:r w:rsidRPr="00F77295" w:rsidR="001478D6">
        <w:t>185 FERC ¶</w:t>
      </w:r>
      <w:r w:rsidRPr="00F77295" w:rsidR="001478D6">
        <w:rPr>
          <w:b/>
          <w:bCs/>
        </w:rPr>
        <w:t xml:space="preserve"> </w:t>
      </w:r>
      <w:r w:rsidRPr="00F77295" w:rsidR="001478D6">
        <w:t>61,042</w:t>
      </w:r>
      <w:r w:rsidR="001478D6">
        <w:t xml:space="preserve"> (2023). </w:t>
      </w:r>
    </w:p>
  </w:footnote>
  <w:footnote w:id="6">
    <w:p w:rsidR="00735FAC" w:rsidP="00735FAC" w14:paraId="29E88EE1" w14:textId="243C382F">
      <w:pPr>
        <w:pStyle w:val="FootnoteText"/>
      </w:pPr>
      <w:r>
        <w:rPr>
          <w:rStyle w:val="FootnoteReference"/>
        </w:rPr>
        <w:footnoteRef/>
      </w:r>
      <w:r>
        <w:t xml:space="preserve"> </w:t>
      </w:r>
      <w:r>
        <w:rPr>
          <w:i/>
          <w:iCs/>
        </w:rPr>
        <w:t xml:space="preserve">Id. </w:t>
      </w:r>
      <w:r>
        <w:t xml:space="preserve">PP 7, 56, 190, 229. </w:t>
      </w:r>
    </w:p>
  </w:footnote>
  <w:footnote w:id="7">
    <w:p w:rsidR="00071CFD" w:rsidRPr="00F77295" w14:paraId="5667C3C0" w14:textId="0CFB3361">
      <w:pPr>
        <w:pStyle w:val="FootnoteText"/>
        <w:rPr>
          <w:i/>
          <w:iCs/>
        </w:rPr>
      </w:pPr>
      <w:r>
        <w:rPr>
          <w:rStyle w:val="FootnoteReference"/>
        </w:rPr>
        <w:footnoteRef/>
      </w:r>
      <w:r>
        <w:t xml:space="preserve"> </w:t>
      </w:r>
      <w:r w:rsidR="001478D6">
        <w:rPr>
          <w:i/>
          <w:iCs/>
        </w:rPr>
        <w:t xml:space="preserve">See generally </w:t>
      </w:r>
      <w:r w:rsidR="00F50838">
        <w:rPr>
          <w:i/>
          <w:iCs/>
        </w:rPr>
        <w:t xml:space="preserve">supra </w:t>
      </w:r>
      <w:r w:rsidR="00F50838">
        <w:t>n.3.</w:t>
      </w:r>
      <w:r w:rsidR="001478D6">
        <w:t xml:space="preserve"> </w:t>
      </w:r>
    </w:p>
  </w:footnote>
  <w:footnote w:id="8">
    <w:p w:rsidR="008C2C9B" w14:paraId="1D9363A4" w14:textId="0B2984CC">
      <w:pPr>
        <w:pStyle w:val="FootnoteText"/>
      </w:pPr>
      <w:r>
        <w:rPr>
          <w:rStyle w:val="FootnoteReference"/>
        </w:rPr>
        <w:footnoteRef/>
      </w:r>
      <w:r>
        <w:t xml:space="preserve"> </w:t>
      </w:r>
      <w:r w:rsidRPr="008C2C9B">
        <w:t>NERC Petition at 51.</w:t>
      </w:r>
    </w:p>
  </w:footnote>
  <w:footnote w:id="9">
    <w:p w:rsidR="00E3442C" w:rsidP="00E3442C" w14:paraId="1AE7DF30" w14:textId="1BEEC24B">
      <w:pPr>
        <w:pStyle w:val="FootnoteText"/>
      </w:pPr>
      <w:r>
        <w:rPr>
          <w:rStyle w:val="FootnoteReference"/>
        </w:rPr>
        <w:footnoteRef/>
      </w:r>
      <w:r w:rsidR="000C22CE">
        <w:t xml:space="preserve"> </w:t>
      </w:r>
      <w:r w:rsidR="008C2C9B">
        <w:rPr>
          <w:i/>
          <w:iCs/>
        </w:rPr>
        <w:t>Id.</w:t>
      </w:r>
      <w:r w:rsidR="00F50838">
        <w:t xml:space="preserve"> </w:t>
      </w:r>
      <w:r w:rsidR="000C22CE">
        <w:t xml:space="preserve">at </w:t>
      </w:r>
      <w:r w:rsidR="00901759">
        <w:t>24.</w:t>
      </w:r>
      <w:r>
        <w:t xml:space="preserve"> </w:t>
      </w:r>
      <w:r w:rsidR="00901759">
        <w:t xml:space="preserve"> </w:t>
      </w:r>
      <w:r w:rsidRPr="00CD4331">
        <w:t xml:space="preserve">The Bulk-Power System is defined in the FPA as facilities and control systems necessary for operating an interconnected electric energy transmission network (or any portion thereof); and electric energy from generating facilities needed to maintain transmission system reliability. </w:t>
      </w:r>
      <w:r>
        <w:t xml:space="preserve"> </w:t>
      </w:r>
      <w:r w:rsidRPr="00CD4331">
        <w:t xml:space="preserve">The term does not include facilities used in the local distribution of electric energy. </w:t>
      </w:r>
      <w:r>
        <w:t xml:space="preserve"> </w:t>
      </w:r>
      <w:r w:rsidRPr="00CD4331">
        <w:t xml:space="preserve">16 U.S.C. 824o(a)(1).  </w:t>
      </w:r>
    </w:p>
  </w:footnote>
  <w:footnote w:id="10">
    <w:p w:rsidR="00390689" w:rsidP="00390689" w14:paraId="04D85AF3" w14:textId="77777777">
      <w:pPr>
        <w:pStyle w:val="FootnoteText"/>
      </w:pPr>
      <w:r>
        <w:rPr>
          <w:rStyle w:val="FootnoteReference"/>
        </w:rPr>
        <w:footnoteRef/>
      </w:r>
      <w:r>
        <w:t xml:space="preserve"> </w:t>
      </w:r>
      <w:r w:rsidRPr="005A7E0C">
        <w:t xml:space="preserve">16 U.S.C. </w:t>
      </w:r>
      <w:r w:rsidRPr="005A7E0C">
        <w:rPr>
          <w:lang w:val="es-ES"/>
        </w:rPr>
        <w:t>824o(c).</w:t>
      </w:r>
    </w:p>
  </w:footnote>
  <w:footnote w:id="11">
    <w:p w:rsidR="00390689" w:rsidP="00390689" w14:paraId="7B25C93B" w14:textId="77777777">
      <w:pPr>
        <w:pStyle w:val="FootnoteText"/>
      </w:pPr>
      <w:r>
        <w:rPr>
          <w:rStyle w:val="FootnoteReference"/>
        </w:rPr>
        <w:footnoteRef/>
      </w:r>
      <w:r>
        <w:t xml:space="preserve"> </w:t>
      </w:r>
      <w:r>
        <w:rPr>
          <w:i/>
          <w:iCs/>
        </w:rPr>
        <w:t>Id.</w:t>
      </w:r>
      <w:r>
        <w:t xml:space="preserve"> </w:t>
      </w:r>
      <w:r w:rsidRPr="00AA24DC">
        <w:t>824o(e).</w:t>
      </w:r>
    </w:p>
  </w:footnote>
  <w:footnote w:id="12">
    <w:p w:rsidR="00390689" w:rsidRPr="00044833" w:rsidP="00390689" w14:paraId="73A5DC09" w14:textId="66CA3F45">
      <w:pPr>
        <w:pStyle w:val="FootnoteText"/>
        <w:rPr>
          <w:i/>
          <w:iCs/>
        </w:rPr>
      </w:pPr>
      <w:r>
        <w:rPr>
          <w:rStyle w:val="FootnoteReference"/>
        </w:rPr>
        <w:footnoteRef/>
      </w:r>
      <w:r>
        <w:t xml:space="preserve"> </w:t>
      </w:r>
      <w:r w:rsidRPr="00AA24DC">
        <w:rPr>
          <w:i/>
          <w:iCs/>
        </w:rPr>
        <w:t>Rules Concerning Certification of the Elec</w:t>
      </w:r>
      <w:r>
        <w:rPr>
          <w:i/>
          <w:iCs/>
        </w:rPr>
        <w:t>.</w:t>
      </w:r>
      <w:r w:rsidRPr="00AA24DC">
        <w:rPr>
          <w:i/>
          <w:iCs/>
        </w:rPr>
        <w:t xml:space="preserve"> Reliability Org</w:t>
      </w:r>
      <w:r>
        <w:rPr>
          <w:i/>
          <w:iCs/>
        </w:rPr>
        <w:t>.</w:t>
      </w:r>
      <w:r w:rsidRPr="00AA24DC">
        <w:rPr>
          <w:i/>
          <w:iCs/>
        </w:rPr>
        <w:t xml:space="preserve">; </w:t>
      </w:r>
      <w:r>
        <w:rPr>
          <w:i/>
          <w:iCs/>
        </w:rPr>
        <w:t>&amp;</w:t>
      </w:r>
      <w:r w:rsidRPr="00AA24DC">
        <w:rPr>
          <w:i/>
          <w:iCs/>
        </w:rPr>
        <w:t xml:space="preserve"> </w:t>
      </w:r>
      <w:r w:rsidRPr="00AA24DC">
        <w:rPr>
          <w:i/>
          <w:iCs/>
        </w:rPr>
        <w:t>Proc</w:t>
      </w:r>
      <w:r>
        <w:rPr>
          <w:i/>
          <w:iCs/>
        </w:rPr>
        <w:t>s</w:t>
      </w:r>
      <w:r>
        <w:rPr>
          <w:i/>
          <w:iCs/>
        </w:rPr>
        <w:t>.</w:t>
      </w:r>
      <w:r w:rsidRPr="00AA24DC">
        <w:rPr>
          <w:i/>
          <w:iCs/>
        </w:rPr>
        <w:t xml:space="preserve"> for the Establishment, Approval, </w:t>
      </w:r>
      <w:r>
        <w:rPr>
          <w:i/>
          <w:iCs/>
        </w:rPr>
        <w:t>&amp;</w:t>
      </w:r>
      <w:r w:rsidRPr="00AA24DC">
        <w:rPr>
          <w:i/>
          <w:iCs/>
        </w:rPr>
        <w:t xml:space="preserve"> Enforcement of Elec</w:t>
      </w:r>
      <w:r>
        <w:rPr>
          <w:i/>
          <w:iCs/>
        </w:rPr>
        <w:t>.</w:t>
      </w:r>
      <w:r w:rsidRPr="00AA24DC">
        <w:rPr>
          <w:i/>
          <w:iCs/>
        </w:rPr>
        <w:t xml:space="preserve"> Reliability</w:t>
      </w:r>
      <w:r>
        <w:rPr>
          <w:i/>
          <w:iCs/>
        </w:rPr>
        <w:t xml:space="preserve"> </w:t>
      </w:r>
      <w:r w:rsidRPr="00AA24DC">
        <w:rPr>
          <w:i/>
          <w:iCs/>
        </w:rPr>
        <w:t>Standards</w:t>
      </w:r>
      <w:r w:rsidRPr="00AA24DC">
        <w:t xml:space="preserve">, Order No. 672, 114 FERC ¶ 61,104, </w:t>
      </w:r>
      <w:r w:rsidRPr="00AA24DC">
        <w:rPr>
          <w:i/>
          <w:iCs/>
        </w:rPr>
        <w:t>order on reh’g</w:t>
      </w:r>
      <w:r w:rsidRPr="00AA24DC">
        <w:t>, Order No. 672-A,</w:t>
      </w:r>
      <w:r>
        <w:rPr>
          <w:i/>
          <w:iCs/>
        </w:rPr>
        <w:t xml:space="preserve"> </w:t>
      </w:r>
      <w:r w:rsidRPr="00AA24DC">
        <w:t>114 FERC ¶ 61,328 (2006)</w:t>
      </w:r>
      <w:r w:rsidRPr="00C46711">
        <w:t xml:space="preserve">; </w:t>
      </w:r>
      <w:r w:rsidR="004D7E0E">
        <w:br/>
      </w:r>
      <w:r w:rsidRPr="00C46711">
        <w:rPr>
          <w:i/>
          <w:iCs/>
        </w:rPr>
        <w:t xml:space="preserve">see also </w:t>
      </w:r>
      <w:r w:rsidRPr="00C46711">
        <w:t>18 CFR 39.4(b) (202</w:t>
      </w:r>
      <w:r>
        <w:t>4</w:t>
      </w:r>
      <w:r w:rsidRPr="00AA24DC">
        <w:t>).</w:t>
      </w:r>
    </w:p>
  </w:footnote>
  <w:footnote w:id="13">
    <w:p w:rsidR="00390689" w:rsidRPr="00044833" w:rsidP="00390689" w14:paraId="3CF72BFF" w14:textId="3F4C223C">
      <w:pPr>
        <w:pStyle w:val="FootnoteText"/>
        <w:rPr>
          <w:i/>
          <w:iCs/>
        </w:rPr>
      </w:pPr>
      <w:r>
        <w:rPr>
          <w:rStyle w:val="FootnoteReference"/>
        </w:rPr>
        <w:footnoteRef/>
      </w:r>
      <w:r>
        <w:t xml:space="preserve"> </w:t>
      </w:r>
      <w:r w:rsidRPr="00044833">
        <w:rPr>
          <w:i/>
          <w:iCs/>
        </w:rPr>
        <w:t>N</w:t>
      </w:r>
      <w:r>
        <w:rPr>
          <w:i/>
          <w:iCs/>
        </w:rPr>
        <w:t>.</w:t>
      </w:r>
      <w:r w:rsidRPr="00044833">
        <w:rPr>
          <w:i/>
          <w:iCs/>
        </w:rPr>
        <w:t xml:space="preserve"> Am</w:t>
      </w:r>
      <w:r>
        <w:rPr>
          <w:i/>
          <w:iCs/>
        </w:rPr>
        <w:t>.</w:t>
      </w:r>
      <w:r w:rsidRPr="00044833">
        <w:rPr>
          <w:i/>
          <w:iCs/>
        </w:rPr>
        <w:t xml:space="preserve"> </w:t>
      </w:r>
      <w:r w:rsidRPr="00044833">
        <w:rPr>
          <w:i/>
          <w:iCs/>
        </w:rPr>
        <w:t>Elec</w:t>
      </w:r>
      <w:r>
        <w:rPr>
          <w:i/>
          <w:iCs/>
        </w:rPr>
        <w:t>.</w:t>
      </w:r>
      <w:r w:rsidRPr="00044833">
        <w:rPr>
          <w:i/>
          <w:iCs/>
        </w:rPr>
        <w:t xml:space="preserve"> Reliability Corp.</w:t>
      </w:r>
      <w:r w:rsidRPr="00044833">
        <w:t xml:space="preserve">, 116 FERC ¶ 61,062, </w:t>
      </w:r>
      <w:r w:rsidRPr="00044833">
        <w:rPr>
          <w:i/>
          <w:iCs/>
        </w:rPr>
        <w:t>order on reh’g</w:t>
      </w:r>
      <w:r>
        <w:rPr>
          <w:i/>
          <w:iCs/>
        </w:rPr>
        <w:t xml:space="preserve"> </w:t>
      </w:r>
      <w:r w:rsidR="004D7E0E">
        <w:rPr>
          <w:i/>
          <w:iCs/>
        </w:rPr>
        <w:t>&amp;</w:t>
      </w:r>
      <w:r w:rsidRPr="00044833">
        <w:rPr>
          <w:i/>
          <w:iCs/>
        </w:rPr>
        <w:t xml:space="preserve"> compliance</w:t>
      </w:r>
      <w:r w:rsidRPr="00044833">
        <w:t xml:space="preserve">, 117 FERC ¶ 61,126 (2006), </w:t>
      </w:r>
      <w:r w:rsidRPr="00044833">
        <w:rPr>
          <w:i/>
          <w:iCs/>
        </w:rPr>
        <w:t>aff’d sub nom. Alcoa, Inc. v. FERC</w:t>
      </w:r>
      <w:r w:rsidRPr="00044833">
        <w:t xml:space="preserve">, </w:t>
      </w:r>
      <w:r w:rsidR="004D7E0E">
        <w:br/>
      </w:r>
      <w:r w:rsidRPr="00044833">
        <w:t>564</w:t>
      </w:r>
      <w:r>
        <w:rPr>
          <w:i/>
          <w:iCs/>
        </w:rPr>
        <w:t xml:space="preserve"> </w:t>
      </w:r>
      <w:r w:rsidRPr="00044833">
        <w:t>F.3d 1342 (D.C. Cir. 2009).</w:t>
      </w:r>
    </w:p>
  </w:footnote>
  <w:footnote w:id="14">
    <w:p w:rsidR="00F62B9B" w14:paraId="59E9C8B1" w14:textId="26F31789">
      <w:pPr>
        <w:pStyle w:val="FootnoteText"/>
      </w:pPr>
      <w:r>
        <w:rPr>
          <w:rStyle w:val="FootnoteReference"/>
        </w:rPr>
        <w:footnoteRef/>
      </w:r>
      <w:r>
        <w:t xml:space="preserve"> </w:t>
      </w:r>
      <w:r w:rsidRPr="00451C2D">
        <w:t>Order No. 901, 185 FERC ¶</w:t>
      </w:r>
      <w:r w:rsidRPr="00451C2D">
        <w:rPr>
          <w:b/>
          <w:bCs/>
        </w:rPr>
        <w:t xml:space="preserve"> </w:t>
      </w:r>
      <w:r w:rsidRPr="00451C2D">
        <w:t>61,042 at P</w:t>
      </w:r>
      <w:r>
        <w:t xml:space="preserve"> 12.</w:t>
      </w:r>
    </w:p>
  </w:footnote>
  <w:footnote w:id="15">
    <w:p w:rsidR="00A859D8" w14:paraId="014559D8" w14:textId="31A0779C">
      <w:pPr>
        <w:pStyle w:val="FootnoteText"/>
      </w:pPr>
      <w:r>
        <w:rPr>
          <w:rStyle w:val="FootnoteReference"/>
        </w:rPr>
        <w:footnoteRef/>
      </w:r>
      <w:r>
        <w:t xml:space="preserve"> </w:t>
      </w:r>
      <w:r w:rsidR="00F62B9B">
        <w:rPr>
          <w:i/>
          <w:iCs/>
        </w:rPr>
        <w:t xml:space="preserve">Id. </w:t>
      </w:r>
      <w:r w:rsidRPr="00451C2D" w:rsidR="00DE0240">
        <w:t xml:space="preserve">P </w:t>
      </w:r>
      <w:r w:rsidRPr="00451C2D" w:rsidR="001F2D41">
        <w:t>26 n.53</w:t>
      </w:r>
      <w:r w:rsidRPr="00451C2D" w:rsidR="00DE0240">
        <w:t xml:space="preserve"> (listing </w:t>
      </w:r>
      <w:r w:rsidRPr="00451C2D" w:rsidR="00835330">
        <w:t>12</w:t>
      </w:r>
      <w:r w:rsidRPr="00451C2D" w:rsidR="00DE0240">
        <w:t xml:space="preserve"> NERC reports</w:t>
      </w:r>
      <w:r w:rsidRPr="00451C2D" w:rsidR="00DA3756">
        <w:t xml:space="preserve"> describing IBR</w:t>
      </w:r>
      <w:r w:rsidRPr="00451C2D" w:rsidR="00BA7917">
        <w:t xml:space="preserve"> behavior during disturbances).</w:t>
      </w:r>
    </w:p>
  </w:footnote>
  <w:footnote w:id="16">
    <w:p w:rsidR="009A700B" w:rsidP="009A700B" w14:paraId="50C9B85D" w14:textId="226C9C54">
      <w:pPr>
        <w:pStyle w:val="FootnoteText"/>
      </w:pPr>
      <w:r>
        <w:rPr>
          <w:rStyle w:val="FootnoteReference"/>
        </w:rPr>
        <w:footnoteRef/>
      </w:r>
      <w:r>
        <w:t xml:space="preserve"> </w:t>
      </w:r>
      <w:r w:rsidR="00950BD2">
        <w:rPr>
          <w:i/>
          <w:iCs/>
        </w:rPr>
        <w:t>I</w:t>
      </w:r>
      <w:r w:rsidRPr="003321D7" w:rsidR="00FA23BC">
        <w:rPr>
          <w:i/>
          <w:iCs/>
        </w:rPr>
        <w:t>d.</w:t>
      </w:r>
      <w:r w:rsidR="00F330C7">
        <w:rPr>
          <w:i/>
          <w:iCs/>
        </w:rPr>
        <w:t xml:space="preserve"> </w:t>
      </w:r>
      <w:r w:rsidR="00950BD2">
        <w:t>P 12</w:t>
      </w:r>
      <w:r w:rsidR="00057C0F">
        <w:t xml:space="preserve"> (footnotes omitted)</w:t>
      </w:r>
      <w:r w:rsidR="00950BD2">
        <w:t>.</w:t>
      </w:r>
    </w:p>
  </w:footnote>
  <w:footnote w:id="17">
    <w:p w:rsidR="009A700B" w:rsidP="009A700B" w14:paraId="65B2B567" w14:textId="6FC5C0BA">
      <w:pPr>
        <w:pStyle w:val="FootnoteText"/>
      </w:pPr>
      <w:r>
        <w:rPr>
          <w:rStyle w:val="FootnoteReference"/>
        </w:rPr>
        <w:footnoteRef/>
      </w:r>
      <w:r>
        <w:t xml:space="preserve"> </w:t>
      </w:r>
      <w:r w:rsidRPr="003321D7" w:rsidR="00FA23BC">
        <w:rPr>
          <w:i/>
          <w:iCs/>
        </w:rPr>
        <w:t xml:space="preserve">Id. </w:t>
      </w:r>
      <w:r w:rsidRPr="003321D7" w:rsidR="00FA23BC">
        <w:t xml:space="preserve">P </w:t>
      </w:r>
      <w:r w:rsidRPr="00775EA6" w:rsidR="005510C7">
        <w:t>13</w:t>
      </w:r>
      <w:r w:rsidRPr="00297DEF">
        <w:t>.</w:t>
      </w:r>
    </w:p>
  </w:footnote>
  <w:footnote w:id="18">
    <w:p w:rsidR="000A1C10" w14:paraId="08309462" w14:textId="7E79CB88">
      <w:pPr>
        <w:pStyle w:val="FootnoteText"/>
      </w:pPr>
      <w:r>
        <w:rPr>
          <w:rStyle w:val="FootnoteReference"/>
        </w:rPr>
        <w:footnoteRef/>
      </w:r>
      <w:r>
        <w:t xml:space="preserve"> </w:t>
      </w:r>
      <w:r w:rsidRPr="000A1C10">
        <w:rPr>
          <w:i/>
          <w:iCs/>
        </w:rPr>
        <w:t>Id.</w:t>
      </w:r>
    </w:p>
  </w:footnote>
  <w:footnote w:id="19">
    <w:p w:rsidR="00522011" w14:paraId="6A2A61B5" w14:textId="7E4FC5A2">
      <w:pPr>
        <w:pStyle w:val="FootnoteText"/>
      </w:pPr>
      <w:r>
        <w:rPr>
          <w:rStyle w:val="FootnoteReference"/>
        </w:rPr>
        <w:footnoteRef/>
      </w:r>
      <w:r>
        <w:t xml:space="preserve"> </w:t>
      </w:r>
      <w:r w:rsidR="00B47EC2">
        <w:rPr>
          <w:i/>
          <w:iCs/>
        </w:rPr>
        <w:t>Id.</w:t>
      </w:r>
      <w:r>
        <w:rPr>
          <w:i/>
        </w:rPr>
        <w:t xml:space="preserve"> </w:t>
      </w:r>
    </w:p>
  </w:footnote>
  <w:footnote w:id="20">
    <w:p w:rsidR="00594711" w14:paraId="17CA65F6" w14:textId="7B70BC29">
      <w:pPr>
        <w:pStyle w:val="FootnoteText"/>
      </w:pPr>
      <w:r>
        <w:rPr>
          <w:rStyle w:val="FootnoteReference"/>
        </w:rPr>
        <w:footnoteRef/>
      </w:r>
      <w:r>
        <w:t xml:space="preserve"> </w:t>
      </w:r>
      <w:r w:rsidRPr="00E3025E" w:rsidR="000B01B1">
        <w:rPr>
          <w:i/>
          <w:iCs/>
        </w:rPr>
        <w:t>E.g.</w:t>
      </w:r>
      <w:r w:rsidR="000B01B1">
        <w:t xml:space="preserve">, </w:t>
      </w:r>
      <w:r w:rsidR="000B01B1">
        <w:rPr>
          <w:i/>
          <w:iCs/>
        </w:rPr>
        <w:t>i</w:t>
      </w:r>
      <w:r w:rsidR="00522011">
        <w:rPr>
          <w:i/>
          <w:iCs/>
        </w:rPr>
        <w:t xml:space="preserve">d. </w:t>
      </w:r>
      <w:r w:rsidR="00522011">
        <w:t>P</w:t>
      </w:r>
      <w:r w:rsidR="00F649F0">
        <w:t>P</w:t>
      </w:r>
      <w:r w:rsidR="00522011">
        <w:t xml:space="preserve"> </w:t>
      </w:r>
      <w:r w:rsidR="00DA31D3">
        <w:t>1</w:t>
      </w:r>
      <w:r w:rsidR="00F649F0">
        <w:t>, 5, 53</w:t>
      </w:r>
      <w:r w:rsidR="00DA31D3">
        <w:t>.</w:t>
      </w:r>
    </w:p>
  </w:footnote>
  <w:footnote w:id="21">
    <w:p w:rsidR="00B16509" w:rsidRPr="00791684" w14:paraId="1CA0F48B" w14:textId="32F7FC13">
      <w:pPr>
        <w:pStyle w:val="FootnoteText"/>
      </w:pPr>
      <w:r>
        <w:rPr>
          <w:rStyle w:val="FootnoteReference"/>
        </w:rPr>
        <w:footnoteRef/>
      </w:r>
      <w:r>
        <w:t xml:space="preserve"> </w:t>
      </w:r>
      <w:r w:rsidRPr="0011686D" w:rsidR="0011686D">
        <w:rPr>
          <w:i/>
          <w:iCs/>
        </w:rPr>
        <w:t>Id</w:t>
      </w:r>
      <w:r w:rsidRPr="00E3025E" w:rsidR="0011686D">
        <w:rPr>
          <w:i/>
          <w:iCs/>
        </w:rPr>
        <w:t>.</w:t>
      </w:r>
      <w:r w:rsidR="0011686D">
        <w:t xml:space="preserve"> </w:t>
      </w:r>
      <w:r w:rsidR="00791684">
        <w:t>P</w:t>
      </w:r>
      <w:r w:rsidR="00E55834">
        <w:t>P 7,</w:t>
      </w:r>
      <w:r w:rsidR="00C83F94">
        <w:t xml:space="preserve"> </w:t>
      </w:r>
      <w:r w:rsidR="00791684">
        <w:t xml:space="preserve">190. </w:t>
      </w:r>
    </w:p>
  </w:footnote>
  <w:footnote w:id="22">
    <w:p w:rsidR="00D66117" w14:paraId="1DA29E85" w14:textId="3E992421">
      <w:pPr>
        <w:pStyle w:val="FootnoteText"/>
      </w:pPr>
      <w:r>
        <w:rPr>
          <w:rStyle w:val="FootnoteReference"/>
        </w:rPr>
        <w:footnoteRef/>
      </w:r>
      <w:r>
        <w:t xml:space="preserve"> </w:t>
      </w:r>
      <w:r w:rsidRPr="006349AB" w:rsidR="006349AB">
        <w:rPr>
          <w:i/>
          <w:iCs/>
        </w:rPr>
        <w:t xml:space="preserve">Id. </w:t>
      </w:r>
      <w:r w:rsidRPr="006349AB" w:rsidR="006349AB">
        <w:t>P 190.</w:t>
      </w:r>
    </w:p>
  </w:footnote>
  <w:footnote w:id="23">
    <w:p w:rsidR="00E527CE" w14:paraId="2B7FA10C" w14:textId="7395A392">
      <w:pPr>
        <w:pStyle w:val="FootnoteText"/>
      </w:pPr>
      <w:r>
        <w:rPr>
          <w:rStyle w:val="FootnoteReference"/>
        </w:rPr>
        <w:footnoteRef/>
      </w:r>
      <w:r>
        <w:t xml:space="preserve"> </w:t>
      </w:r>
      <w:r w:rsidRPr="002C6F79" w:rsidR="00DC14E0">
        <w:rPr>
          <w:i/>
          <w:iCs/>
        </w:rPr>
        <w:t xml:space="preserve">Id. </w:t>
      </w:r>
      <w:r w:rsidRPr="002C6F79" w:rsidR="00DC14E0">
        <w:t>P 19</w:t>
      </w:r>
      <w:r w:rsidR="00DC14E0">
        <w:t xml:space="preserve">3. </w:t>
      </w:r>
    </w:p>
  </w:footnote>
  <w:footnote w:id="24">
    <w:p w:rsidR="00DC01B7" w:rsidP="00DC01B7" w14:paraId="5C7914DC" w14:textId="77777777">
      <w:pPr>
        <w:pStyle w:val="FootnoteText"/>
      </w:pPr>
      <w:r>
        <w:rPr>
          <w:rStyle w:val="FootnoteReference"/>
        </w:rPr>
        <w:footnoteRef/>
      </w:r>
      <w:r>
        <w:t xml:space="preserve"> </w:t>
      </w:r>
      <w:r w:rsidRPr="002C6F79">
        <w:rPr>
          <w:i/>
          <w:iCs/>
        </w:rPr>
        <w:t xml:space="preserve">Id. </w:t>
      </w:r>
      <w:r w:rsidRPr="002C6F79">
        <w:t>P 199.</w:t>
      </w:r>
    </w:p>
  </w:footnote>
  <w:footnote w:id="25">
    <w:p w:rsidR="00C538C1" w14:paraId="7F1D5D87" w14:textId="6E8E2F14">
      <w:pPr>
        <w:pStyle w:val="FootnoteText"/>
      </w:pPr>
      <w:r>
        <w:rPr>
          <w:rStyle w:val="FootnoteReference"/>
        </w:rPr>
        <w:footnoteRef/>
      </w:r>
      <w:r>
        <w:t xml:space="preserve"> </w:t>
      </w:r>
      <w:r w:rsidRPr="00C538C1">
        <w:t>Following the issuance of Order No. 901, NERC submitted an informational filing that included its Order No. 901 Work Plan with four key milestones for meeting the directives of Order No. 901.  Milestone 1:  submit Work Plan (completed Jan. 17, 2024).  Milestone 2:  submit new or modified Reliability Standards to address performance requirements and post-event performance validation for registered IBRs (</w:t>
      </w:r>
      <w:r w:rsidRPr="0095779E">
        <w:t xml:space="preserve">completed with </w:t>
      </w:r>
      <w:r w:rsidRPr="005701FB" w:rsidR="00663E6B">
        <w:t>NERC’s</w:t>
      </w:r>
      <w:r w:rsidRPr="0095779E">
        <w:t xml:space="preserve"> filing of </w:t>
      </w:r>
      <w:r w:rsidRPr="0095779E" w:rsidR="00F11E0F">
        <w:t>three</w:t>
      </w:r>
      <w:r w:rsidRPr="0095779E" w:rsidR="00472B2E">
        <w:t xml:space="preserve"> petitions </w:t>
      </w:r>
      <w:r w:rsidRPr="005701FB" w:rsidR="00472B2E">
        <w:t>on</w:t>
      </w:r>
      <w:r w:rsidRPr="0095779E">
        <w:t xml:space="preserve"> Nov. 4, 202</w:t>
      </w:r>
      <w:r w:rsidRPr="00E068AB">
        <w:t>4</w:t>
      </w:r>
      <w:r w:rsidR="00E068AB">
        <w:t>)</w:t>
      </w:r>
      <w:r w:rsidRPr="00C538C1">
        <w:t xml:space="preserve">.  Milestone 3:  submit new or modified Reliability Standards to address data sharing and model </w:t>
      </w:r>
      <w:r w:rsidRPr="0095779E">
        <w:t xml:space="preserve">validation </w:t>
      </w:r>
      <w:r w:rsidRPr="005701FB">
        <w:t>by Nov</w:t>
      </w:r>
      <w:r w:rsidRPr="005701FB" w:rsidR="002136F0">
        <w:t>.</w:t>
      </w:r>
      <w:r w:rsidRPr="00C538C1">
        <w:t xml:space="preserve"> 4, 2025.  Milestone 4:  submit new or modified Reliability Standards to address planning and operational studies requirements for all IBRs by Nov</w:t>
      </w:r>
      <w:r w:rsidR="00C271D0">
        <w:t>.</w:t>
      </w:r>
      <w:r w:rsidRPr="00C538C1">
        <w:t xml:space="preserve"> 4, 2026.  </w:t>
      </w:r>
      <w:r w:rsidRPr="004F5B82" w:rsidR="000B5F72">
        <w:t>NERC</w:t>
      </w:r>
      <w:r w:rsidRPr="00C538C1">
        <w:t>, Informational Filing Regarding the Development of Reliability Standards Responsive to Order No. 901, Docket No. RM22-12-000, at 6 (filed Jan. 17, 2024).</w:t>
      </w:r>
    </w:p>
  </w:footnote>
  <w:footnote w:id="26">
    <w:p w:rsidR="00483444" w14:paraId="70FFECF3" w14:textId="4C1F1462">
      <w:pPr>
        <w:pStyle w:val="FootnoteText"/>
      </w:pPr>
      <w:r>
        <w:rPr>
          <w:rStyle w:val="FootnoteReference"/>
        </w:rPr>
        <w:footnoteRef/>
      </w:r>
      <w:r>
        <w:t xml:space="preserve"> NERC Petition at </w:t>
      </w:r>
      <w:r w:rsidR="00E61935">
        <w:t>2-3</w:t>
      </w:r>
      <w:r w:rsidR="000D51CB">
        <w:t>, 5</w:t>
      </w:r>
      <w:r w:rsidR="00051DE3">
        <w:t xml:space="preserve">. </w:t>
      </w:r>
      <w:r w:rsidR="00547BC9">
        <w:t xml:space="preserve"> </w:t>
      </w:r>
      <w:r w:rsidRPr="00051DE3" w:rsidR="00051DE3">
        <w:t>Proposed</w:t>
      </w:r>
      <w:r w:rsidR="00051DE3">
        <w:t xml:space="preserve"> </w:t>
      </w:r>
      <w:r w:rsidRPr="00051DE3" w:rsidR="00051DE3">
        <w:t>Reli</w:t>
      </w:r>
      <w:r w:rsidR="007E74B3">
        <w:t>a</w:t>
      </w:r>
      <w:r w:rsidRPr="00051DE3" w:rsidR="00051DE3">
        <w:t>bility Standard</w:t>
      </w:r>
      <w:r w:rsidR="00977A9F">
        <w:t>s</w:t>
      </w:r>
      <w:r w:rsidR="00051DE3">
        <w:t xml:space="preserve"> PRC-024</w:t>
      </w:r>
      <w:r w:rsidR="007E74B3">
        <w:t>-4</w:t>
      </w:r>
      <w:r w:rsidR="00051DE3">
        <w:t xml:space="preserve"> and PRC-029-1</w:t>
      </w:r>
      <w:r w:rsidRPr="00051DE3" w:rsidR="00051DE3">
        <w:t xml:space="preserve"> </w:t>
      </w:r>
      <w:r w:rsidR="00051DE3">
        <w:t>are</w:t>
      </w:r>
      <w:r w:rsidRPr="00051DE3" w:rsidR="00051DE3">
        <w:t xml:space="preserve"> not attached to this </w:t>
      </w:r>
      <w:r w:rsidR="00F94CBA">
        <w:t>notice of proposed rulemaking</w:t>
      </w:r>
      <w:r w:rsidRPr="00051DE3" w:rsidR="00051DE3">
        <w:t>.  The proposed Reliability</w:t>
      </w:r>
      <w:r w:rsidR="00A53D2C">
        <w:br/>
      </w:r>
      <w:r w:rsidR="00A53D2C">
        <w:br/>
      </w:r>
      <w:r w:rsidR="00A53D2C">
        <w:br/>
      </w:r>
      <w:r w:rsidRPr="00051DE3" w:rsidR="00051DE3">
        <w:t>Standards are available on the Commission’s eLibrary document retrieval system in Docket No. RM2</w:t>
      </w:r>
      <w:r w:rsidR="002316C4">
        <w:t>5</w:t>
      </w:r>
      <w:r w:rsidRPr="00051DE3" w:rsidR="00051DE3">
        <w:t>-</w:t>
      </w:r>
      <w:r w:rsidR="002316C4">
        <w:t>3</w:t>
      </w:r>
      <w:r w:rsidRPr="00051DE3" w:rsidR="00051DE3">
        <w:t>-000 and on the NERC website, www.nerc.com.</w:t>
      </w:r>
      <w:r w:rsidR="00554591">
        <w:t xml:space="preserve"> </w:t>
      </w:r>
      <w:r w:rsidR="00051DE3">
        <w:t xml:space="preserve"> </w:t>
      </w:r>
    </w:p>
  </w:footnote>
  <w:footnote w:id="27">
    <w:p w:rsidR="00D17954" w14:paraId="22F44194" w14:textId="48F07F50">
      <w:pPr>
        <w:pStyle w:val="FootnoteText"/>
      </w:pPr>
      <w:r>
        <w:rPr>
          <w:rStyle w:val="FootnoteReference"/>
        </w:rPr>
        <w:footnoteRef/>
      </w:r>
      <w:r>
        <w:t xml:space="preserve"> </w:t>
      </w:r>
      <w:r w:rsidRPr="00090E56" w:rsidR="00090E56">
        <w:rPr>
          <w:i/>
          <w:iCs/>
        </w:rPr>
        <w:t xml:space="preserve">Id. </w:t>
      </w:r>
      <w:r w:rsidRPr="00090E56" w:rsidR="00090E56">
        <w:t>at 1, 19.</w:t>
      </w:r>
    </w:p>
  </w:footnote>
  <w:footnote w:id="28">
    <w:p w:rsidR="00540239" w14:paraId="48D3DAFB" w14:textId="65CB72BA">
      <w:pPr>
        <w:pStyle w:val="FootnoteText"/>
      </w:pPr>
      <w:r>
        <w:rPr>
          <w:rStyle w:val="FootnoteReference"/>
        </w:rPr>
        <w:footnoteRef/>
      </w:r>
      <w:r>
        <w:t xml:space="preserve"> </w:t>
      </w:r>
      <w:r w:rsidR="002C546C">
        <w:rPr>
          <w:i/>
          <w:iCs/>
        </w:rPr>
        <w:t xml:space="preserve">Id. </w:t>
      </w:r>
      <w:r w:rsidRPr="00540239">
        <w:t xml:space="preserve">Ex. D </w:t>
      </w:r>
      <w:r w:rsidR="00021B6E">
        <w:t>(Standards Development Consideration of Directives from FERC Order No. 901).</w:t>
      </w:r>
    </w:p>
  </w:footnote>
  <w:footnote w:id="29">
    <w:p w:rsidR="005E256B" w:rsidRPr="00F028D4" w:rsidP="005E256B" w14:paraId="327C5DD9" w14:textId="77777777">
      <w:pPr>
        <w:pStyle w:val="FootnoteText"/>
      </w:pPr>
      <w:r>
        <w:rPr>
          <w:rStyle w:val="FootnoteReference"/>
        </w:rPr>
        <w:footnoteRef/>
      </w:r>
      <w:r>
        <w:t xml:space="preserve"> </w:t>
      </w:r>
      <w:r>
        <w:rPr>
          <w:i/>
          <w:iCs/>
        </w:rPr>
        <w:t xml:space="preserve">Id. </w:t>
      </w:r>
      <w:r>
        <w:t xml:space="preserve">at 23. </w:t>
      </w:r>
    </w:p>
  </w:footnote>
  <w:footnote w:id="30">
    <w:p w:rsidR="00317786" w14:paraId="63D6746A" w14:textId="41B1286E">
      <w:pPr>
        <w:pStyle w:val="FootnoteText"/>
      </w:pPr>
      <w:r>
        <w:rPr>
          <w:rStyle w:val="FootnoteReference"/>
        </w:rPr>
        <w:footnoteRef/>
      </w:r>
      <w:r>
        <w:t xml:space="preserve"> </w:t>
      </w:r>
      <w:r w:rsidRPr="005E55AC" w:rsidR="005E55AC">
        <w:rPr>
          <w:i/>
          <w:iCs/>
        </w:rPr>
        <w:t>Id.</w:t>
      </w:r>
      <w:r w:rsidR="005E55AC">
        <w:t xml:space="preserve"> at 15.</w:t>
      </w:r>
    </w:p>
  </w:footnote>
  <w:footnote w:id="31">
    <w:p w:rsidR="00B14F0B" w:rsidRPr="00205643" w:rsidP="00B14F0B" w14:paraId="4CA5EB45" w14:textId="1421B8AD">
      <w:pPr>
        <w:pStyle w:val="FootnoteText"/>
      </w:pPr>
      <w:r>
        <w:rPr>
          <w:rStyle w:val="FootnoteReference"/>
        </w:rPr>
        <w:footnoteRef/>
      </w:r>
      <w:r>
        <w:t xml:space="preserve"> </w:t>
      </w:r>
      <w:r w:rsidRPr="00205643">
        <w:t xml:space="preserve">On November 4, 2024, NERC concurrently filed along with other Milestone 2 Reliability Standards, a petition with the Commission for approval of its proposed definition for IBR as:  </w:t>
      </w:r>
    </w:p>
    <w:p w:rsidR="00B14F0B" w:rsidRPr="00205643" w:rsidP="00E3025E" w14:paraId="143F89C4" w14:textId="77777777">
      <w:pPr>
        <w:pStyle w:val="FootnoteText"/>
        <w:ind w:left="1440" w:right="1440" w:firstLine="0"/>
      </w:pPr>
      <w:r w:rsidRPr="00205643">
        <w:t xml:space="preserve">A plant/facility consisting of individual devices that are capable of exporting Real Power through a power electronic interface(s) such as an inverter or converter, and that are operated together as a single resource at a common point of interconnection to the electric system. </w:t>
      </w:r>
      <w:r>
        <w:t xml:space="preserve"> </w:t>
      </w:r>
      <w:r w:rsidRPr="00205643">
        <w:t xml:space="preserve">Examples include, but are not limited to, plants/facilities with solar photovoltaic (PV), Type 3 and Type 4 wind, battery energy storage system (BESS), and fuel cell devices. </w:t>
      </w:r>
    </w:p>
    <w:p w:rsidR="00B14F0B" w:rsidRPr="00214CAB" w:rsidP="000D4307" w14:paraId="6494D38E" w14:textId="5FB10BB9">
      <w:pPr>
        <w:pStyle w:val="FootnoteText"/>
        <w:ind w:firstLine="0"/>
      </w:pPr>
      <w:r w:rsidRPr="00E3025E">
        <w:t>NERC</w:t>
      </w:r>
      <w:r w:rsidRPr="00205643">
        <w:t>, Petition for Approval of a New Term “Inverter-Based Resource” Used in NERC Reliability Standards, Docket No. RD25-1-000, at 1 (filed Nov. 4, 2024) (IBR Definition)</w:t>
      </w:r>
      <w:r w:rsidR="00494362">
        <w:t>, currently pending before the Commission</w:t>
      </w:r>
      <w:r w:rsidRPr="00205643">
        <w:t>.</w:t>
      </w:r>
      <w:r w:rsidR="00A14066">
        <w:t xml:space="preserve"> </w:t>
      </w:r>
    </w:p>
  </w:footnote>
  <w:footnote w:id="32">
    <w:p w:rsidR="00FA1ED0" w:rsidRPr="00224D76" w:rsidP="00FA1ED0" w14:paraId="37E7EDB0" w14:textId="78F879A5">
      <w:pPr>
        <w:pStyle w:val="FootnoteText"/>
      </w:pPr>
      <w:r>
        <w:rPr>
          <w:rStyle w:val="FootnoteReference"/>
        </w:rPr>
        <w:footnoteRef/>
      </w:r>
      <w:r w:rsidR="000D4307">
        <w:rPr>
          <w:i/>
          <w:iCs/>
        </w:rPr>
        <w:t xml:space="preserve"> </w:t>
      </w:r>
      <w:r w:rsidR="000D4307">
        <w:t>NERC Petition</w:t>
      </w:r>
      <w:r>
        <w:rPr>
          <w:i/>
          <w:iCs/>
        </w:rPr>
        <w:t xml:space="preserve"> </w:t>
      </w:r>
      <w:r>
        <w:t xml:space="preserve">at 49. </w:t>
      </w:r>
      <w:r w:rsidR="0081426F">
        <w:t xml:space="preserve"> </w:t>
      </w:r>
      <w:r w:rsidRPr="00D56166" w:rsidR="00224D76">
        <w:rPr>
          <w:i/>
          <w:iCs/>
        </w:rPr>
        <w:t>See</w:t>
      </w:r>
      <w:r w:rsidR="000D4307">
        <w:rPr>
          <w:i/>
          <w:iCs/>
        </w:rPr>
        <w:t xml:space="preserve"> </w:t>
      </w:r>
      <w:r w:rsidR="000D4307">
        <w:t>IBR Definition.</w:t>
      </w:r>
      <w:r w:rsidR="00224D76">
        <w:t xml:space="preserve"> </w:t>
      </w:r>
    </w:p>
  </w:footnote>
  <w:footnote w:id="33">
    <w:p w:rsidR="006B1863" w:rsidRPr="00AF0D28" w:rsidP="006B1863" w14:paraId="51B5D570" w14:textId="0217B84F">
      <w:pPr>
        <w:pStyle w:val="FootnoteText"/>
      </w:pPr>
      <w:r>
        <w:rPr>
          <w:rStyle w:val="FootnoteReference"/>
        </w:rPr>
        <w:footnoteRef/>
      </w:r>
      <w:r>
        <w:t xml:space="preserve"> </w:t>
      </w:r>
      <w:r w:rsidR="00D50287">
        <w:t xml:space="preserve">NERC Petition </w:t>
      </w:r>
      <w:r>
        <w:t xml:space="preserve">at 49. </w:t>
      </w:r>
    </w:p>
  </w:footnote>
  <w:footnote w:id="34">
    <w:p w:rsidR="00E313B0" w14:paraId="5A43E7D6" w14:textId="5DE320E9">
      <w:pPr>
        <w:pStyle w:val="FootnoteText"/>
      </w:pPr>
      <w:r>
        <w:rPr>
          <w:rStyle w:val="FootnoteReference"/>
        </w:rPr>
        <w:footnoteRef/>
      </w:r>
      <w:r>
        <w:t xml:space="preserve"> </w:t>
      </w:r>
      <w:r w:rsidRPr="005E55AC">
        <w:rPr>
          <w:i/>
          <w:iCs/>
        </w:rPr>
        <w:t>Id.</w:t>
      </w:r>
      <w:r>
        <w:t xml:space="preserve"> at 51. </w:t>
      </w:r>
    </w:p>
  </w:footnote>
  <w:footnote w:id="35">
    <w:p w:rsidR="0040116F" w14:paraId="64E1F56B" w14:textId="7E579FBB">
      <w:pPr>
        <w:pStyle w:val="FootnoteText"/>
      </w:pPr>
      <w:r>
        <w:rPr>
          <w:rStyle w:val="FootnoteReference"/>
        </w:rPr>
        <w:footnoteRef/>
      </w:r>
      <w:r>
        <w:t xml:space="preserve"> </w:t>
      </w:r>
      <w:r w:rsidR="008F7632">
        <w:rPr>
          <w:i/>
          <w:iCs/>
        </w:rPr>
        <w:t xml:space="preserve">Id. </w:t>
      </w:r>
      <w:r w:rsidR="008F7632">
        <w:t xml:space="preserve">at 25. </w:t>
      </w:r>
    </w:p>
  </w:footnote>
  <w:footnote w:id="36">
    <w:p w:rsidR="00EC5547" w14:paraId="3D3FF06A" w14:textId="78E2C092">
      <w:pPr>
        <w:pStyle w:val="FootnoteText"/>
      </w:pPr>
      <w:r>
        <w:rPr>
          <w:rStyle w:val="FootnoteReference"/>
        </w:rPr>
        <w:footnoteRef/>
      </w:r>
      <w:r>
        <w:t xml:space="preserve"> </w:t>
      </w:r>
      <w:r w:rsidR="00F17375">
        <w:rPr>
          <w:i/>
          <w:iCs/>
        </w:rPr>
        <w:t xml:space="preserve">Id. </w:t>
      </w:r>
      <w:r w:rsidR="00F17375">
        <w:t>at 26.</w:t>
      </w:r>
    </w:p>
  </w:footnote>
  <w:footnote w:id="37">
    <w:p w:rsidR="00B67273" w:rsidRPr="009B54A6" w:rsidP="00B67273" w14:paraId="5DD25EC5" w14:textId="30691E39">
      <w:pPr>
        <w:pStyle w:val="FootnoteText"/>
      </w:pPr>
      <w:r>
        <w:rPr>
          <w:rStyle w:val="FootnoteReference"/>
        </w:rPr>
        <w:footnoteRef/>
      </w:r>
      <w:r>
        <w:t xml:space="preserve"> </w:t>
      </w:r>
      <w:r>
        <w:rPr>
          <w:i/>
          <w:iCs/>
        </w:rPr>
        <w:t xml:space="preserve">Id. </w:t>
      </w:r>
      <w:r>
        <w:t>at 2</w:t>
      </w:r>
      <w:r w:rsidR="000D4307">
        <w:t>7</w:t>
      </w:r>
      <w:r>
        <w:t>.</w:t>
      </w:r>
    </w:p>
  </w:footnote>
  <w:footnote w:id="38">
    <w:p w:rsidR="00B67273" w:rsidP="00B67273" w14:paraId="6A8A9D4E" w14:textId="3D254C41">
      <w:pPr>
        <w:pStyle w:val="FootnoteText"/>
      </w:pPr>
      <w:r>
        <w:rPr>
          <w:rStyle w:val="FootnoteReference"/>
        </w:rPr>
        <w:footnoteRef/>
      </w:r>
      <w:r>
        <w:t xml:space="preserve"> Following the failure of the third ballot on proposed Reliability Standard PRC-024-4 and proposed Reliability Standard PRC-029-1, NERC convened a public technical conference under section 321 of the NERC Rules of Procedure to discuss issues surrounding the Order No. 901 directives. </w:t>
      </w:r>
      <w:r w:rsidR="000D4307">
        <w:t xml:space="preserve"> </w:t>
      </w:r>
      <w:r>
        <w:rPr>
          <w:i/>
          <w:iCs/>
        </w:rPr>
        <w:t xml:space="preserve">Id. </w:t>
      </w:r>
      <w:r>
        <w:t xml:space="preserve">at 7.  Section 321 of the NERC Rules of Procedure allows the NERC Board of Trustees to take special actions when a ballot pool has “failed to approve a proposed Reliability Standard that contains a provision to adequately address a specific matter identified in a directive issued” by the Commission.  NERC, </w:t>
      </w:r>
      <w:r w:rsidRPr="008D4AD7">
        <w:rPr>
          <w:i/>
        </w:rPr>
        <w:t>Rules of Procedure</w:t>
      </w:r>
      <w:r w:rsidRPr="008D4AD7">
        <w:t>,</w:t>
      </w:r>
      <w:r>
        <w:t xml:space="preserve"> Sec. 321 (Nov. 28, 2023)</w:t>
      </w:r>
      <w:r w:rsidR="004B20BA">
        <w:t xml:space="preserve">, </w:t>
      </w:r>
      <w:r w:rsidRPr="004B20BA" w:rsidR="004B20BA">
        <w:t>https://www.nerc.com/AboutNERC/RulesOfProcedure/NERC%20ROP%20effective%2020240627_with%20appendicies_signed.pdf</w:t>
      </w:r>
      <w:r>
        <w:t>.</w:t>
      </w:r>
    </w:p>
  </w:footnote>
  <w:footnote w:id="39">
    <w:p w:rsidR="00B67273" w:rsidP="00B67273" w14:paraId="62C1AF32" w14:textId="77777777">
      <w:pPr>
        <w:pStyle w:val="FootnoteText"/>
      </w:pPr>
      <w:r>
        <w:rPr>
          <w:rStyle w:val="FootnoteReference"/>
        </w:rPr>
        <w:footnoteRef/>
      </w:r>
      <w:r>
        <w:t xml:space="preserve"> NERC Petition at 27-28.</w:t>
      </w:r>
    </w:p>
  </w:footnote>
  <w:footnote w:id="40">
    <w:p w:rsidR="00B67273" w:rsidP="00B67273" w14:paraId="3B6B06A7" w14:textId="77777777">
      <w:pPr>
        <w:pStyle w:val="FootnoteText"/>
      </w:pPr>
      <w:r>
        <w:rPr>
          <w:rStyle w:val="FootnoteReference"/>
        </w:rPr>
        <w:footnoteRef/>
      </w:r>
      <w:r>
        <w:t xml:space="preserve"> </w:t>
      </w:r>
      <w:r>
        <w:rPr>
          <w:i/>
          <w:iCs/>
        </w:rPr>
        <w:t xml:space="preserve">Id. </w:t>
      </w:r>
      <w:r w:rsidRPr="008D4AD7">
        <w:t>at 42.</w:t>
      </w:r>
    </w:p>
  </w:footnote>
  <w:footnote w:id="41">
    <w:p w:rsidR="00B67273" w:rsidP="00B67273" w14:paraId="13EB0751" w14:textId="77777777">
      <w:pPr>
        <w:pStyle w:val="FootnoteText"/>
      </w:pPr>
      <w:r>
        <w:rPr>
          <w:rStyle w:val="FootnoteReference"/>
        </w:rPr>
        <w:footnoteRef/>
      </w:r>
      <w:r>
        <w:t xml:space="preserve"> </w:t>
      </w:r>
      <w:r>
        <w:rPr>
          <w:i/>
          <w:iCs/>
        </w:rPr>
        <w:t xml:space="preserve">Id. </w:t>
      </w:r>
    </w:p>
  </w:footnote>
  <w:footnote w:id="42">
    <w:p w:rsidR="00B67273" w:rsidRPr="00DC5ED0" w:rsidP="00B67273" w14:paraId="3A846F50" w14:textId="77777777">
      <w:pPr>
        <w:pStyle w:val="FootnoteText"/>
      </w:pPr>
      <w:r>
        <w:rPr>
          <w:rStyle w:val="FootnoteReference"/>
        </w:rPr>
        <w:footnoteRef/>
      </w:r>
      <w:r>
        <w:t xml:space="preserve"> </w:t>
      </w:r>
      <w:r>
        <w:rPr>
          <w:i/>
          <w:iCs/>
        </w:rPr>
        <w:t xml:space="preserve">Id. </w:t>
      </w:r>
      <w:r>
        <w:t>at 42-43.</w:t>
      </w:r>
    </w:p>
  </w:footnote>
  <w:footnote w:id="43">
    <w:p w:rsidR="00EF3DA9" w14:paraId="7073991D" w14:textId="65471113">
      <w:pPr>
        <w:pStyle w:val="FootnoteText"/>
      </w:pPr>
      <w:r>
        <w:rPr>
          <w:rStyle w:val="FootnoteReference"/>
        </w:rPr>
        <w:footnoteRef/>
      </w:r>
      <w:r>
        <w:t xml:space="preserve"> </w:t>
      </w:r>
      <w:r w:rsidR="006E71A3">
        <w:rPr>
          <w:i/>
          <w:iCs/>
        </w:rPr>
        <w:t xml:space="preserve">Id. </w:t>
      </w:r>
      <w:r w:rsidR="006E71A3">
        <w:t>at 29-3</w:t>
      </w:r>
      <w:r w:rsidR="006D16B0">
        <w:t>3</w:t>
      </w:r>
      <w:r w:rsidR="006E71A3">
        <w:t>.</w:t>
      </w:r>
    </w:p>
  </w:footnote>
  <w:footnote w:id="44">
    <w:p w:rsidR="00432BCD" w:rsidP="00432BCD" w14:paraId="07234183" w14:textId="42DC347E">
      <w:pPr>
        <w:pStyle w:val="FootnoteText"/>
      </w:pPr>
      <w:r>
        <w:rPr>
          <w:rStyle w:val="FootnoteReference"/>
        </w:rPr>
        <w:footnoteRef/>
      </w:r>
      <w:r>
        <w:t xml:space="preserve"> </w:t>
      </w:r>
      <w:r>
        <w:rPr>
          <w:i/>
          <w:iCs/>
        </w:rPr>
        <w:t xml:space="preserve">Id. </w:t>
      </w:r>
      <w:r>
        <w:t>at 42</w:t>
      </w:r>
      <w:r w:rsidR="00D56166">
        <w:t>.</w:t>
      </w:r>
    </w:p>
  </w:footnote>
  <w:footnote w:id="45">
    <w:p w:rsidR="003A16B2" w14:paraId="4355C10B" w14:textId="02E80E8A">
      <w:pPr>
        <w:pStyle w:val="FootnoteText"/>
      </w:pPr>
      <w:r>
        <w:rPr>
          <w:rStyle w:val="FootnoteReference"/>
        </w:rPr>
        <w:footnoteRef/>
      </w:r>
      <w:r>
        <w:t xml:space="preserve"> </w:t>
      </w:r>
      <w:r w:rsidR="00506072">
        <w:rPr>
          <w:i/>
          <w:iCs/>
        </w:rPr>
        <w:t xml:space="preserve">Id. </w:t>
      </w:r>
      <w:r w:rsidR="00506072">
        <w:t>at 3</w:t>
      </w:r>
      <w:r w:rsidR="006D16B0">
        <w:t>3</w:t>
      </w:r>
      <w:r w:rsidR="00506072">
        <w:t xml:space="preserve">. </w:t>
      </w:r>
    </w:p>
  </w:footnote>
  <w:footnote w:id="46">
    <w:p w:rsidR="008556D1" w:rsidRPr="00B7747A" w:rsidP="008556D1" w14:paraId="0689DA2F" w14:textId="78618CBC">
      <w:pPr>
        <w:pStyle w:val="FootnoteText"/>
      </w:pPr>
      <w:r>
        <w:rPr>
          <w:rStyle w:val="FootnoteReference"/>
        </w:rPr>
        <w:footnoteRef/>
      </w:r>
      <w:r>
        <w:t xml:space="preserve"> </w:t>
      </w:r>
      <w:r>
        <w:rPr>
          <w:i/>
          <w:iCs/>
        </w:rPr>
        <w:t xml:space="preserve">Id. </w:t>
      </w:r>
      <w:r>
        <w:t>at 36.</w:t>
      </w:r>
    </w:p>
  </w:footnote>
  <w:footnote w:id="47">
    <w:p w:rsidR="000C49DE" w:rsidRPr="000C49DE" w14:paraId="7A6226A7" w14:textId="73FDC056">
      <w:pPr>
        <w:pStyle w:val="FootnoteText"/>
      </w:pPr>
      <w:r>
        <w:rPr>
          <w:rStyle w:val="FootnoteReference"/>
        </w:rPr>
        <w:footnoteRef/>
      </w:r>
      <w:r>
        <w:t xml:space="preserve"> </w:t>
      </w:r>
      <w:r>
        <w:rPr>
          <w:i/>
          <w:iCs/>
        </w:rPr>
        <w:t xml:space="preserve">Id. </w:t>
      </w:r>
      <w:r>
        <w:t xml:space="preserve">at 42. </w:t>
      </w:r>
    </w:p>
  </w:footnote>
  <w:footnote w:id="48">
    <w:p w:rsidR="000C49DE" w:rsidRPr="000C49DE" w14:paraId="1B326337" w14:textId="1A1A40D1">
      <w:pPr>
        <w:pStyle w:val="FootnoteText"/>
        <w:rPr>
          <w:i/>
          <w:iCs/>
        </w:rPr>
      </w:pPr>
      <w:r>
        <w:rPr>
          <w:rStyle w:val="FootnoteReference"/>
        </w:rPr>
        <w:footnoteRef/>
      </w:r>
      <w:r>
        <w:t xml:space="preserve"> </w:t>
      </w:r>
      <w:r>
        <w:rPr>
          <w:i/>
          <w:iCs/>
        </w:rPr>
        <w:t>Id.</w:t>
      </w:r>
    </w:p>
  </w:footnote>
  <w:footnote w:id="49">
    <w:p w:rsidR="00E04E3D" w14:paraId="65FFEE52" w14:textId="20700244">
      <w:pPr>
        <w:pStyle w:val="FootnoteText"/>
      </w:pPr>
      <w:r>
        <w:rPr>
          <w:rStyle w:val="FootnoteReference"/>
        </w:rPr>
        <w:footnoteRef/>
      </w:r>
      <w:r>
        <w:t xml:space="preserve"> </w:t>
      </w:r>
      <w:r w:rsidRPr="001F5DC6" w:rsidR="001F5DC6">
        <w:rPr>
          <w:i/>
          <w:iCs/>
        </w:rPr>
        <w:t xml:space="preserve">Id. </w:t>
      </w:r>
      <w:r w:rsidRPr="001F5DC6" w:rsidR="001F5DC6">
        <w:t>at 36-37.</w:t>
      </w:r>
    </w:p>
  </w:footnote>
  <w:footnote w:id="50">
    <w:p w:rsidR="00E23B10" w14:paraId="42892538" w14:textId="5D9F9AE5">
      <w:pPr>
        <w:pStyle w:val="FootnoteText"/>
      </w:pPr>
      <w:r>
        <w:rPr>
          <w:rStyle w:val="FootnoteReference"/>
        </w:rPr>
        <w:footnoteRef/>
      </w:r>
      <w:r>
        <w:t xml:space="preserve"> </w:t>
      </w:r>
      <w:r w:rsidRPr="002A4676" w:rsidR="002A4676">
        <w:rPr>
          <w:i/>
          <w:iCs/>
        </w:rPr>
        <w:t xml:space="preserve">Id. </w:t>
      </w:r>
      <w:r w:rsidRPr="002A4676" w:rsidR="002A4676">
        <w:t>at 37.</w:t>
      </w:r>
    </w:p>
  </w:footnote>
  <w:footnote w:id="51">
    <w:p w:rsidR="00C17912" w14:paraId="3633EA0D" w14:textId="6771FDA9">
      <w:pPr>
        <w:pStyle w:val="FootnoteText"/>
      </w:pPr>
      <w:r>
        <w:rPr>
          <w:rStyle w:val="FootnoteReference"/>
        </w:rPr>
        <w:footnoteRef/>
      </w:r>
      <w:r>
        <w:t xml:space="preserve"> </w:t>
      </w:r>
      <w:r w:rsidRPr="00E068AB">
        <w:rPr>
          <w:i/>
        </w:rPr>
        <w:t>Id</w:t>
      </w:r>
      <w:r w:rsidRPr="00E3025E">
        <w:rPr>
          <w:i/>
          <w:iCs/>
        </w:rPr>
        <w:t>.</w:t>
      </w:r>
      <w:r>
        <w:t xml:space="preserve"> at 40.</w:t>
      </w:r>
    </w:p>
  </w:footnote>
  <w:footnote w:id="52">
    <w:p w:rsidR="000411A6" w14:paraId="648CCDA2" w14:textId="1FAD6C21">
      <w:pPr>
        <w:pStyle w:val="FootnoteText"/>
      </w:pPr>
      <w:r>
        <w:rPr>
          <w:rStyle w:val="FootnoteReference"/>
        </w:rPr>
        <w:footnoteRef/>
      </w:r>
      <w:r>
        <w:t xml:space="preserve"> </w:t>
      </w:r>
      <w:r w:rsidRPr="00E068AB">
        <w:rPr>
          <w:i/>
          <w:iCs/>
        </w:rPr>
        <w:t>Id</w:t>
      </w:r>
      <w:r w:rsidRPr="00E3025E">
        <w:rPr>
          <w:i/>
          <w:iCs/>
        </w:rPr>
        <w:t>.</w:t>
      </w:r>
    </w:p>
  </w:footnote>
  <w:footnote w:id="53">
    <w:p w:rsidR="00C213ED" w:rsidP="00C213ED" w14:paraId="098E62DA" w14:textId="77777777">
      <w:pPr>
        <w:pStyle w:val="FootnoteText"/>
      </w:pPr>
      <w:r>
        <w:rPr>
          <w:rStyle w:val="FootnoteReference"/>
        </w:rPr>
        <w:footnoteRef/>
      </w:r>
      <w:r>
        <w:t xml:space="preserve"> </w:t>
      </w:r>
      <w:r>
        <w:rPr>
          <w:i/>
          <w:iCs/>
        </w:rPr>
        <w:t xml:space="preserve">Id. </w:t>
      </w:r>
      <w:r>
        <w:t xml:space="preserve">at 38. </w:t>
      </w:r>
    </w:p>
  </w:footnote>
  <w:footnote w:id="54">
    <w:p w:rsidR="000C49DE" w:rsidRPr="000C49DE" w14:paraId="60B15252" w14:textId="5E45855F">
      <w:pPr>
        <w:pStyle w:val="FootnoteText"/>
      </w:pPr>
      <w:r>
        <w:rPr>
          <w:rStyle w:val="FootnoteReference"/>
        </w:rPr>
        <w:footnoteRef/>
      </w:r>
      <w:r>
        <w:t xml:space="preserve"> </w:t>
      </w:r>
      <w:r>
        <w:rPr>
          <w:i/>
          <w:iCs/>
        </w:rPr>
        <w:t xml:space="preserve">Id. </w:t>
      </w:r>
      <w:r>
        <w:t>at 37.</w:t>
      </w:r>
    </w:p>
  </w:footnote>
  <w:footnote w:id="55">
    <w:p w:rsidR="000C49DE" w:rsidRPr="0030364F" w14:paraId="0E9C5B1C" w14:textId="12A8F7E2">
      <w:pPr>
        <w:pStyle w:val="FootnoteText"/>
      </w:pPr>
      <w:r>
        <w:rPr>
          <w:rStyle w:val="FootnoteReference"/>
        </w:rPr>
        <w:footnoteRef/>
      </w:r>
      <w:r>
        <w:t xml:space="preserve"> </w:t>
      </w:r>
      <w:r w:rsidR="0030364F">
        <w:rPr>
          <w:i/>
          <w:iCs/>
        </w:rPr>
        <w:t xml:space="preserve">Id. </w:t>
      </w:r>
      <w:r w:rsidR="0030364F">
        <w:t>at 41.</w:t>
      </w:r>
    </w:p>
  </w:footnote>
  <w:footnote w:id="56">
    <w:p w:rsidR="000C49DE" w:rsidRPr="000C49DE" w14:paraId="3688796A" w14:textId="1B123CFB">
      <w:pPr>
        <w:pStyle w:val="FootnoteText"/>
      </w:pPr>
      <w:r>
        <w:rPr>
          <w:rStyle w:val="FootnoteReference"/>
        </w:rPr>
        <w:footnoteRef/>
      </w:r>
      <w:r>
        <w:t xml:space="preserve"> </w:t>
      </w:r>
      <w:r>
        <w:rPr>
          <w:i/>
          <w:iCs/>
        </w:rPr>
        <w:t xml:space="preserve">Id. </w:t>
      </w:r>
      <w:r>
        <w:t>at 39.</w:t>
      </w:r>
    </w:p>
  </w:footnote>
  <w:footnote w:id="57">
    <w:p w:rsidR="00724366" w14:paraId="3AE171C8" w14:textId="2522EF29">
      <w:pPr>
        <w:pStyle w:val="FootnoteText"/>
      </w:pPr>
      <w:r>
        <w:rPr>
          <w:rStyle w:val="FootnoteReference"/>
        </w:rPr>
        <w:footnoteRef/>
      </w:r>
      <w:r>
        <w:t xml:space="preserve"> </w:t>
      </w:r>
      <w:r>
        <w:rPr>
          <w:i/>
          <w:iCs/>
        </w:rPr>
        <w:t xml:space="preserve">Id. </w:t>
      </w:r>
      <w:r>
        <w:t>at 44.</w:t>
      </w:r>
    </w:p>
  </w:footnote>
  <w:footnote w:id="58">
    <w:p w:rsidR="00724366" w:rsidRPr="007D123E" w:rsidP="00724366" w14:paraId="1E8D27B4" w14:textId="0D15910D">
      <w:pPr>
        <w:pStyle w:val="FootnoteText"/>
      </w:pPr>
      <w:r>
        <w:rPr>
          <w:rStyle w:val="FootnoteReference"/>
        </w:rPr>
        <w:footnoteRef/>
      </w:r>
      <w:r>
        <w:t xml:space="preserve"> </w:t>
      </w:r>
      <w:r>
        <w:rPr>
          <w:i/>
          <w:iCs/>
        </w:rPr>
        <w:t xml:space="preserve">Id. </w:t>
      </w:r>
      <w:r>
        <w:t>at 38-39.</w:t>
      </w:r>
      <w:r w:rsidR="00126DDF">
        <w:t xml:space="preserve"> </w:t>
      </w:r>
      <w:r w:rsidR="00412B86">
        <w:t xml:space="preserve"> </w:t>
      </w:r>
    </w:p>
  </w:footnote>
  <w:footnote w:id="59">
    <w:p w:rsidR="00EF2801" w:rsidRPr="00C25919" w14:paraId="386CA9AA" w14:textId="261BA2FB">
      <w:pPr>
        <w:pStyle w:val="FootnoteText"/>
      </w:pPr>
      <w:r>
        <w:rPr>
          <w:rStyle w:val="FootnoteReference"/>
        </w:rPr>
        <w:footnoteRef/>
      </w:r>
      <w:r>
        <w:t xml:space="preserve"> </w:t>
      </w:r>
      <w:r w:rsidR="00C25919">
        <w:rPr>
          <w:i/>
          <w:iCs/>
        </w:rPr>
        <w:t xml:space="preserve">Id. </w:t>
      </w:r>
      <w:r w:rsidR="00C25919">
        <w:t>at 46.</w:t>
      </w:r>
      <w:r w:rsidR="000568FC">
        <w:t xml:space="preserve">  </w:t>
      </w:r>
      <w:r w:rsidR="000568FC">
        <w:rPr>
          <w:i/>
          <w:iCs/>
        </w:rPr>
        <w:t>See also</w:t>
      </w:r>
      <w:r w:rsidR="000568FC">
        <w:t xml:space="preserve"> </w:t>
      </w:r>
      <w:r w:rsidR="000568FC">
        <w:rPr>
          <w:i/>
          <w:iCs/>
        </w:rPr>
        <w:t xml:space="preserve">id. </w:t>
      </w:r>
      <w:r w:rsidR="000F2D87">
        <w:t>n.67 (</w:t>
      </w:r>
      <w:r w:rsidR="00D838FC">
        <w:t xml:space="preserve">providing </w:t>
      </w:r>
      <w:r w:rsidR="003C1B89">
        <w:t xml:space="preserve">as </w:t>
      </w:r>
      <w:r w:rsidR="00D838FC">
        <w:t xml:space="preserve">examples existing Reliability Standards </w:t>
      </w:r>
      <w:r w:rsidR="003C1B89">
        <w:t>IRO</w:t>
      </w:r>
      <w:r w:rsidRPr="003C1B89" w:rsidR="003C1B89">
        <w:t xml:space="preserve">-002-7 </w:t>
      </w:r>
      <w:r w:rsidR="00976AEE">
        <w:t>(</w:t>
      </w:r>
      <w:r w:rsidRPr="003C1B89" w:rsidR="003C1B89">
        <w:t>Reliability Coordination - Monitoring and Analysis</w:t>
      </w:r>
      <w:r w:rsidR="00976AEE">
        <w:t>),</w:t>
      </w:r>
      <w:r w:rsidRPr="003C1B89" w:rsidR="003C1B89">
        <w:t xml:space="preserve"> IRO-008-3 </w:t>
      </w:r>
      <w:r w:rsidR="00976AEE">
        <w:t>(</w:t>
      </w:r>
      <w:r w:rsidRPr="003C1B89" w:rsidR="003C1B89">
        <w:t>Reliability Coordinator Operational Analyses and Real-time Assessments</w:t>
      </w:r>
      <w:r w:rsidR="00976AEE">
        <w:t>)</w:t>
      </w:r>
      <w:r w:rsidR="003C1B89">
        <w:t xml:space="preserve">, </w:t>
      </w:r>
      <w:r w:rsidRPr="003C1B89" w:rsidR="003C1B89">
        <w:t xml:space="preserve">TOP-002-4 </w:t>
      </w:r>
      <w:r w:rsidR="003C1B89">
        <w:t>(</w:t>
      </w:r>
      <w:r w:rsidRPr="003C1B89" w:rsidR="003C1B89">
        <w:t>Operations Planning</w:t>
      </w:r>
      <w:r w:rsidR="00976AEE">
        <w:t>)</w:t>
      </w:r>
      <w:r w:rsidR="003C1B89">
        <w:t xml:space="preserve">, and </w:t>
      </w:r>
      <w:r w:rsidRPr="003C1B89" w:rsidR="003C1B89">
        <w:t xml:space="preserve">TPL-001-5.1 </w:t>
      </w:r>
      <w:r w:rsidR="003C1B89">
        <w:t>(</w:t>
      </w:r>
      <w:r w:rsidRPr="003C1B89" w:rsidR="003C1B89">
        <w:t>Transmission System Planning Performance Requirements</w:t>
      </w:r>
      <w:r w:rsidR="003C1B89">
        <w:t>)</w:t>
      </w:r>
      <w:r w:rsidR="00BC340C">
        <w:t>)</w:t>
      </w:r>
      <w:r w:rsidR="003C1B89">
        <w:t>.</w:t>
      </w:r>
    </w:p>
  </w:footnote>
  <w:footnote w:id="60">
    <w:p w:rsidR="00625CBB" w:rsidRPr="00A87132" w:rsidP="00625CBB" w14:paraId="10517609" w14:textId="1895C7FF">
      <w:pPr>
        <w:pStyle w:val="FootnoteText"/>
      </w:pPr>
      <w:r>
        <w:rPr>
          <w:rStyle w:val="FootnoteReference"/>
        </w:rPr>
        <w:footnoteRef/>
      </w:r>
      <w:r w:rsidRPr="00775EA6">
        <w:rPr>
          <w:i/>
          <w:iCs/>
        </w:rPr>
        <w:t xml:space="preserve"> See</w:t>
      </w:r>
      <w:r>
        <w:t xml:space="preserve"> </w:t>
      </w:r>
      <w:r>
        <w:rPr>
          <w:i/>
          <w:iCs/>
        </w:rPr>
        <w:t xml:space="preserve">supra </w:t>
      </w:r>
      <w:r w:rsidRPr="00D40F15">
        <w:t>n</w:t>
      </w:r>
      <w:r w:rsidR="00A53D2C">
        <w:t xml:space="preserve">ote </w:t>
      </w:r>
      <w:r w:rsidRPr="004732A7" w:rsidR="004732A7">
        <w:t>2</w:t>
      </w:r>
      <w:r w:rsidR="008C2C9B">
        <w:t>3</w:t>
      </w:r>
      <w:r>
        <w:t xml:space="preserve"> for more information on </w:t>
      </w:r>
      <w:r w:rsidR="00A5447E">
        <w:t xml:space="preserve">the </w:t>
      </w:r>
      <w:r w:rsidR="001C58D8">
        <w:t>elements of the</w:t>
      </w:r>
      <w:r w:rsidR="007626ED">
        <w:t xml:space="preserve"> Order No. 901</w:t>
      </w:r>
      <w:r w:rsidR="001C58D8">
        <w:t xml:space="preserve"> </w:t>
      </w:r>
      <w:r w:rsidR="007626ED">
        <w:t>W</w:t>
      </w:r>
      <w:r w:rsidR="001C58D8">
        <w:t xml:space="preserve">ork </w:t>
      </w:r>
      <w:r w:rsidR="007626ED">
        <w:t>P</w:t>
      </w:r>
      <w:r w:rsidR="001C58D8">
        <w:t>lan</w:t>
      </w:r>
      <w:r w:rsidR="007626ED">
        <w:t xml:space="preserve">’s </w:t>
      </w:r>
      <w:r w:rsidR="00A5447E">
        <w:t>milestones</w:t>
      </w:r>
      <w:r w:rsidR="008224FF">
        <w:t xml:space="preserve">. </w:t>
      </w:r>
    </w:p>
  </w:footnote>
  <w:footnote w:id="61">
    <w:p w:rsidR="00CD6CAC" w:rsidP="00CF3E54" w14:paraId="53DF61E4" w14:textId="2DE0398C">
      <w:pPr>
        <w:pStyle w:val="FootnoteText"/>
      </w:pPr>
      <w:r>
        <w:rPr>
          <w:rStyle w:val="FootnoteReference"/>
        </w:rPr>
        <w:footnoteRef/>
      </w:r>
      <w:r w:rsidR="00F01B08">
        <w:t xml:space="preserve"> NERC Petition</w:t>
      </w:r>
      <w:r w:rsidR="00CF3E54">
        <w:rPr>
          <w:i/>
          <w:iCs/>
        </w:rPr>
        <w:t xml:space="preserve"> </w:t>
      </w:r>
      <w:r w:rsidR="00CF3E54">
        <w:t xml:space="preserve">at 46. </w:t>
      </w:r>
    </w:p>
  </w:footnote>
  <w:footnote w:id="62">
    <w:p w:rsidR="00E425A3" w14:paraId="10B535AE" w14:textId="4BE0D789">
      <w:pPr>
        <w:pStyle w:val="FootnoteText"/>
      </w:pPr>
      <w:r>
        <w:rPr>
          <w:rStyle w:val="FootnoteReference"/>
        </w:rPr>
        <w:footnoteRef/>
      </w:r>
      <w:r>
        <w:t xml:space="preserve"> </w:t>
      </w:r>
      <w:r w:rsidR="006E1D10">
        <w:rPr>
          <w:i/>
          <w:iCs/>
        </w:rPr>
        <w:t>Id.</w:t>
      </w:r>
      <w:r w:rsidR="00440043">
        <w:rPr>
          <w:i/>
          <w:iCs/>
        </w:rPr>
        <w:t xml:space="preserve"> </w:t>
      </w:r>
      <w:r w:rsidR="00D7111F">
        <w:t xml:space="preserve">at </w:t>
      </w:r>
      <w:r w:rsidR="009E3F80">
        <w:t>38</w:t>
      </w:r>
      <w:r w:rsidR="0063488E">
        <w:t>-</w:t>
      </w:r>
      <w:r w:rsidR="009E3F80">
        <w:t>41.</w:t>
      </w:r>
    </w:p>
  </w:footnote>
  <w:footnote w:id="63">
    <w:p w:rsidR="00E44531" w:rsidRPr="00D40F15" w:rsidP="00E44531" w14:paraId="2FCCD4BD" w14:textId="0AD81BEB">
      <w:pPr>
        <w:pStyle w:val="FootnoteText"/>
        <w:rPr>
          <w:i/>
          <w:iCs/>
        </w:rPr>
      </w:pPr>
      <w:r>
        <w:rPr>
          <w:rStyle w:val="FootnoteReference"/>
        </w:rPr>
        <w:footnoteRef/>
      </w:r>
      <w:r>
        <w:t xml:space="preserve"> </w:t>
      </w:r>
      <w:r w:rsidR="00681DD2">
        <w:rPr>
          <w:i/>
          <w:iCs/>
        </w:rPr>
        <w:t xml:space="preserve">Id. </w:t>
      </w:r>
      <w:r w:rsidR="00D01345">
        <w:t>at 46</w:t>
      </w:r>
      <w:r w:rsidR="00443551">
        <w:t>.</w:t>
      </w:r>
    </w:p>
  </w:footnote>
  <w:footnote w:id="64">
    <w:p w:rsidR="00E45904" w:rsidRPr="00D6642D" w:rsidP="00E45904" w14:paraId="402463AA" w14:textId="0FFD3670">
      <w:pPr>
        <w:pStyle w:val="FootnoteText"/>
      </w:pPr>
      <w:r>
        <w:rPr>
          <w:rStyle w:val="FootnoteReference"/>
        </w:rPr>
        <w:footnoteRef/>
      </w:r>
      <w:r>
        <w:t xml:space="preserve"> </w:t>
      </w:r>
      <w:r w:rsidRPr="00E3025E" w:rsidR="004F49AC">
        <w:rPr>
          <w:i/>
          <w:iCs/>
        </w:rPr>
        <w:t>See, e.g.</w:t>
      </w:r>
      <w:r w:rsidR="004F49AC">
        <w:t xml:space="preserve">, </w:t>
      </w:r>
      <w:r w:rsidRPr="00F77295">
        <w:t>Order No. 901, 185 FERC ¶</w:t>
      </w:r>
      <w:r w:rsidRPr="00F77295">
        <w:rPr>
          <w:b/>
          <w:bCs/>
        </w:rPr>
        <w:t xml:space="preserve"> </w:t>
      </w:r>
      <w:r w:rsidRPr="00F77295">
        <w:t>61,042</w:t>
      </w:r>
      <w:r>
        <w:t xml:space="preserve"> at </w:t>
      </w:r>
      <w:r w:rsidR="004F49AC">
        <w:t>P</w:t>
      </w:r>
      <w:r>
        <w:t>P 1</w:t>
      </w:r>
      <w:r w:rsidR="004F49AC">
        <w:t xml:space="preserve">, </w:t>
      </w:r>
      <w:r w:rsidR="00201863">
        <w:t>13</w:t>
      </w:r>
      <w:r w:rsidR="004F49AC">
        <w:t>, 190</w:t>
      </w:r>
      <w:r>
        <w:t xml:space="preserve">. </w:t>
      </w:r>
    </w:p>
  </w:footnote>
  <w:footnote w:id="65">
    <w:p w:rsidR="00767E57" w14:paraId="54B9F0ED" w14:textId="296A8F96">
      <w:pPr>
        <w:pStyle w:val="FootnoteText"/>
      </w:pPr>
      <w:r>
        <w:rPr>
          <w:rStyle w:val="FootnoteReference"/>
        </w:rPr>
        <w:footnoteRef/>
      </w:r>
      <w:r>
        <w:t xml:space="preserve"> </w:t>
      </w:r>
      <w:r w:rsidRPr="008C2C9B" w:rsidR="00F32596">
        <w:t xml:space="preserve">NERC Petition </w:t>
      </w:r>
      <w:r w:rsidR="009671AB">
        <w:t>at 40 (</w:t>
      </w:r>
      <w:r w:rsidR="00BA73D2">
        <w:t>explaining that under Requirement R4.2.2</w:t>
      </w:r>
      <w:r w:rsidR="000116F0">
        <w:t>, NERC will work with regional entities to evaluate exemption submissions in a fair and consistent manner across the ERO Enterpr</w:t>
      </w:r>
      <w:r w:rsidR="00115207">
        <w:t>ise</w:t>
      </w:r>
      <w:r w:rsidR="009A6BE6">
        <w:t xml:space="preserve"> and </w:t>
      </w:r>
      <w:r w:rsidR="00D33300">
        <w:t>NERC will monitor the disposition of requests as the propose</w:t>
      </w:r>
      <w:r w:rsidR="00866EC3">
        <w:t>d</w:t>
      </w:r>
      <w:r w:rsidR="00D33300">
        <w:t xml:space="preserve"> standard is implemented</w:t>
      </w:r>
      <w:r w:rsidR="009A6BE6">
        <w:t>).</w:t>
      </w:r>
    </w:p>
  </w:footnote>
  <w:footnote w:id="66">
    <w:p w:rsidR="007F7FC8" w:rsidRPr="007F7FC8" w14:paraId="20BB6C6A" w14:textId="3AC72637">
      <w:pPr>
        <w:pStyle w:val="FootnoteText"/>
      </w:pPr>
      <w:r>
        <w:rPr>
          <w:rStyle w:val="FootnoteReference"/>
        </w:rPr>
        <w:footnoteRef/>
      </w:r>
      <w:r>
        <w:t xml:space="preserve"> </w:t>
      </w:r>
      <w:r>
        <w:rPr>
          <w:i/>
          <w:iCs/>
        </w:rPr>
        <w:t xml:space="preserve">See </w:t>
      </w:r>
      <w:r w:rsidR="0024639C">
        <w:rPr>
          <w:i/>
          <w:iCs/>
        </w:rPr>
        <w:t xml:space="preserve">supra </w:t>
      </w:r>
      <w:r w:rsidRPr="004732A7">
        <w:t>P</w:t>
      </w:r>
      <w:r w:rsidRPr="004732A7">
        <w:t xml:space="preserve"> </w:t>
      </w:r>
      <w:r w:rsidRPr="004732A7" w:rsidR="00582C52">
        <w:t>3</w:t>
      </w:r>
      <w:r w:rsidRPr="004732A7" w:rsidR="004732A7">
        <w:t>5</w:t>
      </w:r>
      <w:r>
        <w:t>.</w:t>
      </w:r>
    </w:p>
  </w:footnote>
  <w:footnote w:id="67">
    <w:p w:rsidR="004B4446" w:rsidRPr="00A5379E" w:rsidP="004B4446" w14:paraId="42BE8FA4" w14:textId="58B5E135">
      <w:pPr>
        <w:pStyle w:val="FootnoteText"/>
        <w:rPr>
          <w:szCs w:val="26"/>
        </w:rPr>
      </w:pPr>
      <w:r w:rsidRPr="00A5379E">
        <w:rPr>
          <w:rStyle w:val="FootnoteReference"/>
          <w:szCs w:val="26"/>
        </w:rPr>
        <w:footnoteRef/>
      </w:r>
      <w:r w:rsidRPr="00A5379E">
        <w:rPr>
          <w:szCs w:val="26"/>
        </w:rPr>
        <w:t xml:space="preserve"> NERC</w:t>
      </w:r>
      <w:r w:rsidR="00750D38">
        <w:rPr>
          <w:szCs w:val="26"/>
        </w:rPr>
        <w:t xml:space="preserve"> estimates that </w:t>
      </w:r>
      <w:r w:rsidR="006534AB">
        <w:rPr>
          <w:szCs w:val="26"/>
        </w:rPr>
        <w:t>591</w:t>
      </w:r>
      <w:r w:rsidRPr="00A5379E">
        <w:rPr>
          <w:szCs w:val="26"/>
        </w:rPr>
        <w:t xml:space="preserve"> BES IBRs and</w:t>
      </w:r>
      <w:r w:rsidR="00071F78">
        <w:rPr>
          <w:szCs w:val="26"/>
        </w:rPr>
        <w:t xml:space="preserve"> a range of 588 </w:t>
      </w:r>
      <w:r w:rsidR="009132FC">
        <w:rPr>
          <w:szCs w:val="26"/>
        </w:rPr>
        <w:t>to</w:t>
      </w:r>
      <w:r w:rsidR="00071F78">
        <w:rPr>
          <w:szCs w:val="26"/>
        </w:rPr>
        <w:t xml:space="preserve"> 922</w:t>
      </w:r>
      <w:r w:rsidRPr="00A5379E">
        <w:rPr>
          <w:szCs w:val="26"/>
        </w:rPr>
        <w:t xml:space="preserve"> non-BES IBRs</w:t>
      </w:r>
      <w:r w:rsidR="009132FC">
        <w:rPr>
          <w:szCs w:val="26"/>
        </w:rPr>
        <w:t>,</w:t>
      </w:r>
      <w:r w:rsidR="001F0552">
        <w:rPr>
          <w:szCs w:val="26"/>
        </w:rPr>
        <w:t xml:space="preserve"> </w:t>
      </w:r>
      <w:r w:rsidRPr="00A5379E">
        <w:rPr>
          <w:szCs w:val="26"/>
        </w:rPr>
        <w:t>with a median of 755</w:t>
      </w:r>
      <w:r w:rsidR="009132FC">
        <w:rPr>
          <w:szCs w:val="26"/>
        </w:rPr>
        <w:t>,</w:t>
      </w:r>
      <w:r w:rsidR="00071F78">
        <w:rPr>
          <w:szCs w:val="26"/>
        </w:rPr>
        <w:t xml:space="preserve"> wi</w:t>
      </w:r>
      <w:r w:rsidR="00A6591C">
        <w:rPr>
          <w:szCs w:val="26"/>
        </w:rPr>
        <w:t xml:space="preserve">ll be subject to </w:t>
      </w:r>
      <w:r w:rsidR="009132FC">
        <w:rPr>
          <w:szCs w:val="26"/>
        </w:rPr>
        <w:t>proposed Reliability Standard PRC-029-1</w:t>
      </w:r>
      <w:r w:rsidR="007A1A9B">
        <w:rPr>
          <w:szCs w:val="26"/>
        </w:rPr>
        <w:t xml:space="preserve"> and the other Milestone 2 Reliability Standards that were filed in Docket Nos. RD25-2-000 and RD25-3-000</w:t>
      </w:r>
      <w:r w:rsidRPr="00A5379E">
        <w:rPr>
          <w:szCs w:val="26"/>
        </w:rPr>
        <w:t>.</w:t>
      </w:r>
      <w:r w:rsidR="009132FC">
        <w:rPr>
          <w:szCs w:val="26"/>
        </w:rPr>
        <w:t xml:space="preserve"> </w:t>
      </w:r>
      <w:r w:rsidR="002825A8">
        <w:rPr>
          <w:szCs w:val="26"/>
        </w:rPr>
        <w:t xml:space="preserve"> </w:t>
      </w:r>
      <w:r w:rsidR="009132FC">
        <w:rPr>
          <w:i/>
          <w:iCs/>
          <w:szCs w:val="26"/>
        </w:rPr>
        <w:t>See</w:t>
      </w:r>
      <w:r w:rsidR="006B5D86">
        <w:rPr>
          <w:szCs w:val="26"/>
        </w:rPr>
        <w:t xml:space="preserve"> NERC</w:t>
      </w:r>
      <w:r w:rsidRPr="00A5379E">
        <w:rPr>
          <w:szCs w:val="26"/>
        </w:rPr>
        <w:t xml:space="preserve">, Petition </w:t>
      </w:r>
      <w:r w:rsidRPr="00A5379E">
        <w:rPr>
          <w:szCs w:val="26"/>
        </w:rPr>
        <w:t>For</w:t>
      </w:r>
      <w:r w:rsidRPr="00A5379E">
        <w:rPr>
          <w:szCs w:val="26"/>
        </w:rPr>
        <w:t xml:space="preserve"> Approval of Proposed Distribution Monitoring Reliability Standards PRC-028-1 and PRC-002-5, Docket No. RD25-2-000, at 41 n.60 (filed </w:t>
      </w:r>
      <w:r w:rsidRPr="00A5379E" w:rsidR="00492F48">
        <w:rPr>
          <w:szCs w:val="26"/>
        </w:rPr>
        <w:t>Nov</w:t>
      </w:r>
      <w:r w:rsidR="00492F48">
        <w:rPr>
          <w:szCs w:val="26"/>
        </w:rPr>
        <w:t>.</w:t>
      </w:r>
      <w:r w:rsidRPr="00A5379E" w:rsidR="00492F48">
        <w:rPr>
          <w:szCs w:val="26"/>
        </w:rPr>
        <w:t xml:space="preserve"> </w:t>
      </w:r>
      <w:r w:rsidRPr="00A5379E">
        <w:rPr>
          <w:szCs w:val="26"/>
        </w:rPr>
        <w:t>4, 2024)</w:t>
      </w:r>
      <w:r w:rsidR="007A1A9B">
        <w:rPr>
          <w:szCs w:val="26"/>
        </w:rPr>
        <w:t xml:space="preserve"> (</w:t>
      </w:r>
      <w:r w:rsidR="00A04C54">
        <w:rPr>
          <w:szCs w:val="26"/>
        </w:rPr>
        <w:t>description of NERC estimates</w:t>
      </w:r>
      <w:r w:rsidR="009C0535">
        <w:rPr>
          <w:szCs w:val="26"/>
        </w:rPr>
        <w:t xml:space="preserve"> of BES IBRs</w:t>
      </w:r>
      <w:r w:rsidR="000770DA">
        <w:rPr>
          <w:szCs w:val="26"/>
        </w:rPr>
        <w:t xml:space="preserve"> and the</w:t>
      </w:r>
      <w:r w:rsidR="00A53D2C">
        <w:rPr>
          <w:szCs w:val="26"/>
        </w:rPr>
        <w:br/>
      </w:r>
      <w:r w:rsidR="00A53D2C">
        <w:rPr>
          <w:szCs w:val="26"/>
        </w:rPr>
        <w:br/>
      </w:r>
      <w:r w:rsidR="00A53D2C">
        <w:rPr>
          <w:szCs w:val="26"/>
        </w:rPr>
        <w:br/>
      </w:r>
      <w:r w:rsidR="000770DA">
        <w:rPr>
          <w:szCs w:val="26"/>
        </w:rPr>
        <w:t xml:space="preserve">range of </w:t>
      </w:r>
      <w:r w:rsidR="0095584F">
        <w:rPr>
          <w:szCs w:val="26"/>
        </w:rPr>
        <w:t>non-BES IBRs that would be subject to compliance with proposed Reliability Standard PRC-028-1)</w:t>
      </w:r>
      <w:r w:rsidRPr="00A5379E">
        <w:rPr>
          <w:szCs w:val="26"/>
        </w:rPr>
        <w:t>.</w:t>
      </w:r>
    </w:p>
  </w:footnote>
  <w:footnote w:id="68">
    <w:p w:rsidR="00EE7941" w:rsidRPr="00A5379E" w:rsidP="00EE7941" w14:paraId="2938DA88" w14:textId="77777777">
      <w:pPr>
        <w:pStyle w:val="FootnoteText"/>
        <w:rPr>
          <w:szCs w:val="26"/>
        </w:rPr>
      </w:pPr>
      <w:r w:rsidRPr="00A5379E">
        <w:rPr>
          <w:rStyle w:val="FootnoteReference"/>
          <w:szCs w:val="26"/>
        </w:rPr>
        <w:footnoteRef/>
      </w:r>
      <w:r w:rsidRPr="00A5379E">
        <w:rPr>
          <w:szCs w:val="26"/>
        </w:rPr>
        <w:t xml:space="preserve"> </w:t>
      </w:r>
      <w:r>
        <w:rPr>
          <w:szCs w:val="26"/>
        </w:rPr>
        <w:t>The “</w:t>
      </w:r>
      <w:r w:rsidRPr="00A5379E">
        <w:rPr>
          <w:szCs w:val="26"/>
        </w:rPr>
        <w:t xml:space="preserve">Number of </w:t>
      </w:r>
      <w:r>
        <w:rPr>
          <w:szCs w:val="26"/>
        </w:rPr>
        <w:t>E</w:t>
      </w:r>
      <w:r w:rsidRPr="00A5379E">
        <w:rPr>
          <w:szCs w:val="26"/>
        </w:rPr>
        <w:t>ntity</w:t>
      </w:r>
      <w:r>
        <w:rPr>
          <w:szCs w:val="26"/>
        </w:rPr>
        <w:t>”</w:t>
      </w:r>
      <w:r w:rsidRPr="00A5379E">
        <w:rPr>
          <w:szCs w:val="26"/>
        </w:rPr>
        <w:t xml:space="preserve"> data </w:t>
      </w:r>
      <w:r>
        <w:rPr>
          <w:szCs w:val="26"/>
        </w:rPr>
        <w:t>is compiled</w:t>
      </w:r>
      <w:r w:rsidRPr="00A5379E">
        <w:rPr>
          <w:szCs w:val="26"/>
        </w:rPr>
        <w:t xml:space="preserve"> from the</w:t>
      </w:r>
      <w:r>
        <w:rPr>
          <w:szCs w:val="26"/>
        </w:rPr>
        <w:t xml:space="preserve"> September 24, 2024, edition of the</w:t>
      </w:r>
      <w:r w:rsidRPr="00A5379E">
        <w:rPr>
          <w:szCs w:val="26"/>
        </w:rPr>
        <w:t xml:space="preserve"> NERC </w:t>
      </w:r>
      <w:r>
        <w:rPr>
          <w:szCs w:val="26"/>
        </w:rPr>
        <w:t>C</w:t>
      </w:r>
      <w:r w:rsidRPr="00A5379E">
        <w:rPr>
          <w:szCs w:val="26"/>
        </w:rPr>
        <w:t xml:space="preserve">ompliance </w:t>
      </w:r>
      <w:r>
        <w:rPr>
          <w:szCs w:val="26"/>
        </w:rPr>
        <w:t>R</w:t>
      </w:r>
      <w:r w:rsidRPr="00A5379E">
        <w:rPr>
          <w:szCs w:val="26"/>
        </w:rPr>
        <w:t>egistry.</w:t>
      </w:r>
    </w:p>
  </w:footnote>
  <w:footnote w:id="69">
    <w:p w:rsidR="00EE7941" w:rsidRPr="000C519D" w:rsidP="000C519D" w14:paraId="05246A41" w14:textId="7CA3E239">
      <w:pPr>
        <w:pStyle w:val="FootnoteText"/>
        <w:rPr>
          <w:szCs w:val="26"/>
        </w:rPr>
      </w:pPr>
      <w:r w:rsidRPr="00A5379E">
        <w:rPr>
          <w:rStyle w:val="FootnoteReference"/>
          <w:szCs w:val="26"/>
        </w:rPr>
        <w:footnoteRef/>
      </w:r>
      <w:r w:rsidRPr="00A5379E">
        <w:rPr>
          <w:szCs w:val="26"/>
        </w:rPr>
        <w:t xml:space="preserve"> The estimated hourly cost (salary plus benefits) is a combination</w:t>
      </w:r>
      <w:r w:rsidR="0035388D">
        <w:rPr>
          <w:szCs w:val="26"/>
        </w:rPr>
        <w:t xml:space="preserve"> of the following categories</w:t>
      </w:r>
      <w:r w:rsidR="006256B9">
        <w:rPr>
          <w:szCs w:val="26"/>
        </w:rPr>
        <w:t xml:space="preserve"> from </w:t>
      </w:r>
      <w:r w:rsidRPr="00A5379E">
        <w:rPr>
          <w:szCs w:val="26"/>
        </w:rPr>
        <w:t>the Bureau of Labor Statistics (BLS)</w:t>
      </w:r>
      <w:r w:rsidR="000D390A">
        <w:rPr>
          <w:szCs w:val="26"/>
        </w:rPr>
        <w:t xml:space="preserve"> website</w:t>
      </w:r>
      <w:r w:rsidRPr="00A5379E">
        <w:rPr>
          <w:szCs w:val="26"/>
        </w:rPr>
        <w:t>,</w:t>
      </w:r>
      <w:r w:rsidR="000C519D">
        <w:rPr>
          <w:szCs w:val="26"/>
        </w:rPr>
        <w:t xml:space="preserve"> </w:t>
      </w:r>
      <w:r w:rsidRPr="00301870" w:rsidR="00B93B43">
        <w:t>http://www.bls.gov/oes/current/naics2_22.htm</w:t>
      </w:r>
      <w:r w:rsidR="00B93B43">
        <w:rPr>
          <w:szCs w:val="26"/>
        </w:rPr>
        <w:t xml:space="preserve">:  </w:t>
      </w:r>
      <w:r w:rsidRPr="00A5379E">
        <w:rPr>
          <w:szCs w:val="26"/>
        </w:rPr>
        <w:t>75% of the average of an Electrical Engineer (17-2071) $79.31/hr., 79.31 x .75 = 59.4825 ($59.48-rounded) ($59.48/hour)</w:t>
      </w:r>
      <w:r w:rsidR="00335375">
        <w:rPr>
          <w:szCs w:val="26"/>
        </w:rPr>
        <w:t xml:space="preserve">; </w:t>
      </w:r>
      <w:r w:rsidRPr="00A5379E">
        <w:rPr>
          <w:szCs w:val="26"/>
        </w:rPr>
        <w:t xml:space="preserve"> and 25% of an Information and Record Clerk (43-4199) $44.74/hr., $44.74 x .25% = 11.185 ($11.19 rounded) ($11.19/hour), for a total ($59.48+$11.19 = $70.67/hour).</w:t>
      </w:r>
    </w:p>
  </w:footnote>
  <w:footnote w:id="70">
    <w:p w:rsidR="00993F41" w:rsidRPr="00A5379E" w:rsidP="0023758F" w14:paraId="4CC13522" w14:textId="2061EEE8">
      <w:pPr>
        <w:pStyle w:val="FootnoteText"/>
        <w:rPr>
          <w:szCs w:val="26"/>
        </w:rPr>
      </w:pPr>
      <w:r w:rsidRPr="00A5379E">
        <w:rPr>
          <w:rStyle w:val="FootnoteReference"/>
          <w:szCs w:val="26"/>
        </w:rPr>
        <w:footnoteRef/>
      </w:r>
      <w:r w:rsidRPr="00A5379E">
        <w:rPr>
          <w:szCs w:val="26"/>
        </w:rPr>
        <w:t xml:space="preserve"> </w:t>
      </w:r>
      <w:r w:rsidRPr="0023758F" w:rsidR="0023758F">
        <w:rPr>
          <w:szCs w:val="26"/>
        </w:rPr>
        <w:t xml:space="preserve">The “Number of Entity” data is compiled from </w:t>
      </w:r>
      <w:r w:rsidR="00FB0115">
        <w:rPr>
          <w:szCs w:val="26"/>
        </w:rPr>
        <w:t xml:space="preserve">NERC’s petition for approval </w:t>
      </w:r>
      <w:r w:rsidR="00AF68FE">
        <w:rPr>
          <w:szCs w:val="26"/>
        </w:rPr>
        <w:t>of proposed Reliability Standard PRC-028-1 in Docket No. RD25-2</w:t>
      </w:r>
      <w:r w:rsidR="00ED0FA5">
        <w:rPr>
          <w:szCs w:val="26"/>
        </w:rPr>
        <w:t xml:space="preserve">-000.  </w:t>
      </w:r>
      <w:r w:rsidR="00B87059">
        <w:rPr>
          <w:szCs w:val="26"/>
        </w:rPr>
        <w:t>NERC</w:t>
      </w:r>
      <w:r w:rsidRPr="00A5379E" w:rsidR="00ED0FA5">
        <w:rPr>
          <w:szCs w:val="26"/>
        </w:rPr>
        <w:t xml:space="preserve">, Petition </w:t>
      </w:r>
      <w:r w:rsidRPr="00A5379E" w:rsidR="00ED0FA5">
        <w:rPr>
          <w:szCs w:val="26"/>
        </w:rPr>
        <w:t>For</w:t>
      </w:r>
      <w:r w:rsidRPr="00A5379E" w:rsidR="00ED0FA5">
        <w:rPr>
          <w:szCs w:val="26"/>
        </w:rPr>
        <w:t xml:space="preserve"> Approval of Proposed Distribution Monitoring Reliability Standards PRC-028-1 and PRC-002-5, Docket No. RD25-2-000, at 41 n.60 (filed </w:t>
      </w:r>
      <w:r w:rsidRPr="00A5379E" w:rsidR="00492F48">
        <w:rPr>
          <w:szCs w:val="26"/>
        </w:rPr>
        <w:t>Nov</w:t>
      </w:r>
      <w:r w:rsidR="00492F48">
        <w:rPr>
          <w:szCs w:val="26"/>
        </w:rPr>
        <w:t>.</w:t>
      </w:r>
      <w:r w:rsidRPr="00A5379E" w:rsidR="00492F48">
        <w:rPr>
          <w:szCs w:val="26"/>
        </w:rPr>
        <w:t xml:space="preserve"> </w:t>
      </w:r>
      <w:r w:rsidRPr="00A5379E" w:rsidR="00ED0FA5">
        <w:rPr>
          <w:szCs w:val="26"/>
        </w:rPr>
        <w:t>4, 2024)</w:t>
      </w:r>
      <w:r w:rsidR="00ED0FA5">
        <w:rPr>
          <w:szCs w:val="26"/>
        </w:rPr>
        <w:t xml:space="preserve">. </w:t>
      </w:r>
    </w:p>
  </w:footnote>
  <w:footnote w:id="71">
    <w:p w:rsidR="00993F41" w:rsidP="00993F41" w14:paraId="2B203165" w14:textId="300760CD">
      <w:pPr>
        <w:pStyle w:val="FootnoteText"/>
      </w:pPr>
      <w:r w:rsidRPr="00A5379E">
        <w:rPr>
          <w:rStyle w:val="FootnoteReference"/>
          <w:szCs w:val="26"/>
        </w:rPr>
        <w:footnoteRef/>
      </w:r>
      <w:r w:rsidRPr="00A5379E">
        <w:rPr>
          <w:szCs w:val="26"/>
        </w:rPr>
        <w:t xml:space="preserve"> </w:t>
      </w:r>
      <w:r w:rsidRPr="00A5379E" w:rsidR="00A5531C">
        <w:rPr>
          <w:szCs w:val="26"/>
        </w:rPr>
        <w:t>The estimated hourly cost (salary plus benefits) is a combination</w:t>
      </w:r>
      <w:r w:rsidR="00A5531C">
        <w:rPr>
          <w:szCs w:val="26"/>
        </w:rPr>
        <w:t xml:space="preserve"> of the following categories from </w:t>
      </w:r>
      <w:r w:rsidRPr="00A5379E" w:rsidR="00A5531C">
        <w:rPr>
          <w:szCs w:val="26"/>
        </w:rPr>
        <w:t>the Bureau of Labor Statistics (BLS)</w:t>
      </w:r>
      <w:r w:rsidR="00A5531C">
        <w:rPr>
          <w:szCs w:val="26"/>
        </w:rPr>
        <w:t xml:space="preserve"> website</w:t>
      </w:r>
      <w:r w:rsidRPr="00A5379E" w:rsidR="00A5531C">
        <w:rPr>
          <w:szCs w:val="26"/>
        </w:rPr>
        <w:t>,</w:t>
      </w:r>
      <w:r w:rsidR="00A5531C">
        <w:rPr>
          <w:szCs w:val="26"/>
        </w:rPr>
        <w:t xml:space="preserve"> </w:t>
      </w:r>
      <w:r w:rsidRPr="0007331A" w:rsidR="00A5531C">
        <w:rPr>
          <w:szCs w:val="26"/>
        </w:rPr>
        <w:t>http://www.bls.gov/oes/current/naics2_22.htm</w:t>
      </w:r>
      <w:r w:rsidR="00A5531C">
        <w:rPr>
          <w:szCs w:val="26"/>
        </w:rPr>
        <w:t xml:space="preserve">:  </w:t>
      </w:r>
      <w:r w:rsidRPr="00A5379E" w:rsidR="00A5531C">
        <w:rPr>
          <w:szCs w:val="26"/>
        </w:rPr>
        <w:t>75% of the average of an Electrical Engineer (17-2071) $79.31/hr., 79.31 x .75 = 59.4825 ($59.48-rounded) ($59.48/hour)</w:t>
      </w:r>
      <w:r w:rsidR="00A5531C">
        <w:rPr>
          <w:szCs w:val="26"/>
        </w:rPr>
        <w:t xml:space="preserve">; </w:t>
      </w:r>
      <w:r w:rsidRPr="00A5379E" w:rsidR="00A5531C">
        <w:rPr>
          <w:szCs w:val="26"/>
        </w:rPr>
        <w:t xml:space="preserve"> and 25% of an Information and Record Clerk (43-4199) $44.74/hr., $44.74 x .25% = 11.185 ($11.19 rounded) ($11.19/hour), for a total ($59.48+$11.19 = $70.67/hour).</w:t>
      </w:r>
    </w:p>
  </w:footnote>
  <w:footnote w:id="72">
    <w:p w:rsidR="00F239F6" w:rsidP="00F239F6" w14:paraId="774D393C" w14:textId="23D343CF">
      <w:pPr>
        <w:pStyle w:val="FootnoteText"/>
      </w:pPr>
      <w:r w:rsidRPr="00F239F6">
        <w:rPr>
          <w:rStyle w:val="FootnoteReference"/>
        </w:rPr>
        <w:footnoteRef/>
      </w:r>
      <w:r>
        <w:rPr>
          <w:i/>
          <w:iCs/>
        </w:rPr>
        <w:t xml:space="preserve"> </w:t>
      </w:r>
      <w:r w:rsidRPr="00544C5F">
        <w:rPr>
          <w:i/>
          <w:iCs/>
        </w:rPr>
        <w:t>Regulations Implementing the National Environmental Policy Act</w:t>
      </w:r>
      <w:r>
        <w:t xml:space="preserve">, </w:t>
      </w:r>
      <w:r w:rsidRPr="00346257">
        <w:t>Ord</w:t>
      </w:r>
      <w:r>
        <w:t>er</w:t>
      </w:r>
      <w:r w:rsidR="005B2A6C">
        <w:br/>
      </w:r>
      <w:r w:rsidRPr="00346257">
        <w:t>No. 486</w:t>
      </w:r>
      <w:r>
        <w:t>, 52 FR 47897 (Dec. 17, 1987), FERC Stats. &amp; Regs.</w:t>
      </w:r>
      <w:r w:rsidR="005B2A6C">
        <w:t xml:space="preserve"> </w:t>
      </w:r>
      <w:r>
        <w:t>¶ 30,783 (1987) (</w:t>
      </w:r>
      <w:r w:rsidRPr="00E950E7">
        <w:t>cross-referenced at 41 FERC ¶ 61,284).</w:t>
      </w:r>
    </w:p>
  </w:footnote>
  <w:footnote w:id="73">
    <w:p w:rsidR="00AA01D5" w:rsidP="00AA01D5" w14:paraId="38558BB6" w14:textId="77777777">
      <w:pPr>
        <w:pStyle w:val="FootnoteText"/>
      </w:pPr>
      <w:r>
        <w:rPr>
          <w:rStyle w:val="FootnoteReference"/>
        </w:rPr>
        <w:footnoteRef/>
      </w:r>
      <w:r>
        <w:t xml:space="preserve"> </w:t>
      </w:r>
      <w:r w:rsidRPr="00B07237">
        <w:t>18 CFR</w:t>
      </w:r>
      <w:r>
        <w:t xml:space="preserve"> </w:t>
      </w:r>
      <w:r w:rsidRPr="00B07237">
        <w:t>380.4(a)(2)(ii).</w:t>
      </w:r>
    </w:p>
  </w:footnote>
  <w:footnote w:id="74">
    <w:p w:rsidR="00F239F6" w:rsidRPr="00060537" w:rsidP="00F239F6" w14:paraId="689997F3" w14:textId="77777777">
      <w:pPr>
        <w:pStyle w:val="FootnoteText"/>
      </w:pPr>
      <w:r w:rsidRPr="00F239F6">
        <w:rPr>
          <w:rStyle w:val="FootnoteReference"/>
        </w:rPr>
        <w:footnoteRef/>
      </w:r>
      <w:r>
        <w:t xml:space="preserve"> 5 U.S.C. 601-612.</w:t>
      </w:r>
    </w:p>
  </w:footnote>
  <w:footnote w:id="75">
    <w:p w:rsidR="00071CFD" w:rsidP="00071CFD" w14:paraId="3DC6ACAC" w14:textId="77777777">
      <w:pPr>
        <w:pStyle w:val="FootnoteText"/>
      </w:pPr>
      <w:r>
        <w:rPr>
          <w:rStyle w:val="FootnoteReference"/>
        </w:rPr>
        <w:footnoteRef/>
      </w:r>
      <w:r>
        <w:t xml:space="preserve"> </w:t>
      </w:r>
      <w:r w:rsidRPr="00B56021">
        <w:t>13 CFR</w:t>
      </w:r>
      <w:r>
        <w:t xml:space="preserve"> </w:t>
      </w:r>
      <w:r w:rsidRPr="00B56021">
        <w:t>121.101.</w:t>
      </w:r>
    </w:p>
  </w:footnote>
  <w:footnote w:id="76">
    <w:p w:rsidR="00071CFD" w:rsidP="00071CFD" w14:paraId="50F678D0" w14:textId="77777777">
      <w:pPr>
        <w:pStyle w:val="FootnoteText"/>
      </w:pPr>
      <w:r>
        <w:rPr>
          <w:rStyle w:val="FootnoteReference"/>
        </w:rPr>
        <w:footnoteRef/>
      </w:r>
      <w:r>
        <w:t xml:space="preserve"> </w:t>
      </w:r>
      <w:r w:rsidRPr="00B56021">
        <w:t>13 CFR</w:t>
      </w:r>
      <w:r>
        <w:t xml:space="preserve"> </w:t>
      </w:r>
      <w:r w:rsidRPr="00B56021">
        <w:t>121.201, Subsect</w:t>
      </w:r>
      <w:r>
        <w:t>or</w:t>
      </w:r>
      <w:r w:rsidRPr="00B56021">
        <w:t xml:space="preserve"> 221</w:t>
      </w:r>
      <w:r>
        <w:t xml:space="preserve"> (Utilities)</w:t>
      </w:r>
      <w:r w:rsidRPr="00B56021">
        <w:t>.</w:t>
      </w:r>
    </w:p>
  </w:footnote>
  <w:footnote w:id="77">
    <w:p w:rsidR="00ED6BBA" w:rsidRPr="00301870" w:rsidP="00ED6BBA" w14:paraId="3AAD873B" w14:textId="1D213E08">
      <w:pPr>
        <w:pStyle w:val="FootnoteText"/>
        <w:rPr>
          <w:szCs w:val="26"/>
        </w:rPr>
      </w:pPr>
      <w:r w:rsidRPr="007C7148">
        <w:rPr>
          <w:rStyle w:val="FootnoteReference"/>
          <w:sz w:val="24"/>
          <w:szCs w:val="24"/>
        </w:rPr>
        <w:footnoteRef/>
      </w:r>
      <w:r w:rsidRPr="007C7148">
        <w:rPr>
          <w:sz w:val="24"/>
          <w:szCs w:val="24"/>
        </w:rPr>
        <w:t xml:space="preserve"> </w:t>
      </w:r>
      <w:r w:rsidRPr="00301870">
        <w:rPr>
          <w:szCs w:val="26"/>
        </w:rPr>
        <w:t xml:space="preserve">Many respondents serve multiple roles in the NERC </w:t>
      </w:r>
      <w:r w:rsidR="002A189F">
        <w:rPr>
          <w:szCs w:val="26"/>
        </w:rPr>
        <w:t>C</w:t>
      </w:r>
      <w:r w:rsidRPr="00301870">
        <w:rPr>
          <w:szCs w:val="26"/>
        </w:rPr>
        <w:t xml:space="preserve">ompliance </w:t>
      </w:r>
      <w:r w:rsidR="002A189F">
        <w:rPr>
          <w:szCs w:val="26"/>
        </w:rPr>
        <w:t>R</w:t>
      </w:r>
      <w:r w:rsidRPr="00301870">
        <w:rPr>
          <w:szCs w:val="26"/>
        </w:rPr>
        <w:t xml:space="preserve">egistry, </w:t>
      </w:r>
      <w:r w:rsidR="000A56ED">
        <w:rPr>
          <w:szCs w:val="26"/>
        </w:rPr>
        <w:br/>
      </w:r>
      <w:r w:rsidRPr="00301870">
        <w:rPr>
          <w:szCs w:val="26"/>
        </w:rPr>
        <w:t>so there is likely double counting in the estimates.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39F6" w14:paraId="2882FC93" w14:textId="14A3A9CB">
    <w:pPr>
      <w:pStyle w:val="Header"/>
      <w:framePr w:wrap="around" w:vAnchor="text" w:hAnchor="margin" w:xAlign="right" w:y="1"/>
      <w:rPr>
        <w:rStyle w:val="PageNumber"/>
      </w:rP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top</wp:align>
              </wp:positionV>
              <wp:extent cx="443865" cy="443865"/>
              <wp:effectExtent l="0" t="0" r="1270" b="635"/>
              <wp:wrapNone/>
              <wp:docPr id="2" name="Text Box 2" descr="CUI">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A333A2" w:rsidRPr="00A333A2" w:rsidP="00A333A2" w14:textId="3AFDC27A">
                          <w:pPr>
                            <w:rPr>
                              <w:rFonts w:eastAsia="Times New Roman"/>
                              <w:noProof/>
                              <w:color w:val="FF0000"/>
                              <w:szCs w:val="26"/>
                            </w:rPr>
                          </w:pPr>
                          <w:r w:rsidRPr="00A333A2">
                            <w:rPr>
                              <w:rFonts w:eastAsia="Times New Roman"/>
                              <w:noProof/>
                              <w:color w:val="FF0000"/>
                              <w:szCs w:val="26"/>
                            </w:rPr>
                            <w:t>CUI</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59264" filled="f" stroked="f">
              <v:textbox style="mso-fit-shape-to-text:t" inset="0,15pt,0,0">
                <w:txbxContent>
                  <w:p w:rsidR="00A333A2" w:rsidRPr="00A333A2" w:rsidP="00A333A2" w14:paraId="416E2E94" w14:textId="3AFDC27A">
                    <w:pPr>
                      <w:rPr>
                        <w:rFonts w:eastAsia="Times New Roman"/>
                        <w:noProof/>
                        <w:color w:val="FF0000"/>
                        <w:szCs w:val="26"/>
                      </w:rPr>
                    </w:pPr>
                    <w:r w:rsidRPr="00A333A2">
                      <w:rPr>
                        <w:rFonts w:eastAsia="Times New Roman"/>
                        <w:noProof/>
                        <w:color w:val="FF0000"/>
                        <w:szCs w:val="26"/>
                      </w:rPr>
                      <w:t>CUI</w:t>
                    </w:r>
                  </w:p>
                </w:txbxContent>
              </v:textbox>
            </v:shape>
          </w:pict>
        </mc:Fallback>
      </mc:AlternateContent>
    </w:r>
    <w:r w:rsidR="00F239F6">
      <w:rPr>
        <w:rStyle w:val="PageNumber"/>
      </w:rPr>
      <w:fldChar w:fldCharType="begin"/>
    </w:r>
    <w:r w:rsidR="00F239F6">
      <w:rPr>
        <w:rStyle w:val="PageNumber"/>
      </w:rPr>
      <w:instrText xml:space="preserve">PAGE  </w:instrText>
    </w:r>
    <w:r w:rsidR="00F239F6">
      <w:rPr>
        <w:rStyle w:val="PageNumber"/>
      </w:rPr>
      <w:fldChar w:fldCharType="separate"/>
    </w:r>
    <w:r w:rsidR="00F239F6">
      <w:rPr>
        <w:rStyle w:val="PageNumber"/>
        <w:noProof/>
      </w:rPr>
      <w:t>8</w:t>
    </w:r>
    <w:r w:rsidR="00F239F6">
      <w:rPr>
        <w:rStyle w:val="PageNumber"/>
      </w:rPr>
      <w:fldChar w:fldCharType="end"/>
    </w:r>
  </w:p>
  <w:p w:rsidR="00F239F6" w14:paraId="44206D3E"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39F6" w:rsidP="00F239F6" w14:paraId="7B33188D" w14:textId="302CE2D4">
    <w:pPr>
      <w:pStyle w:val="Header"/>
      <w:tabs>
        <w:tab w:val="clear" w:pos="4680"/>
      </w:tabs>
      <w:spacing w:after="240"/>
    </w:pPr>
    <w:r>
      <w:t xml:space="preserve">Docket No. </w:t>
    </w:r>
    <w:r w:rsidR="00421087">
      <w:t>RM25-3-000</w:t>
    </w:r>
    <w:r>
      <w:tab/>
    </w:r>
    <w:r>
      <w:fldChar w:fldCharType="begin"/>
    </w:r>
    <w:r>
      <w:instrText xml:space="preserve"> PAGE  \* MERGEFORMAT </w:instrText>
    </w:r>
    <w:r>
      <w:fldChar w:fldCharType="separate"/>
    </w:r>
    <w:r>
      <w:rPr>
        <w:noProof/>
      </w:rPr>
      <w:t>ii</w:t>
    </w:r>
    <w:r>
      <w:fldChar w:fldCharType="end"/>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39F6" w14:paraId="2276189F" w14:textId="4506BDCD">
    <w:pPr>
      <w:pStyle w:val="Header"/>
      <w:tabs>
        <w:tab w:val="clear" w:pos="4680"/>
        <w:tab w:val="left" w:pos="8640"/>
        <w:tab w:val="clear"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407EE0" w14:paraId="54C81622" w14:textId="467CCFC0">
    <w:pPr>
      <w:pStyle w:val="Header"/>
      <w:framePr w:wrap="around" w:vAnchor="text" w:hAnchor="margin" w:xAlign="right" w:y="1"/>
      <w:rPr>
        <w:rStyle w:val="PageNumber"/>
      </w:rP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top</wp:align>
              </wp:positionV>
              <wp:extent cx="443865" cy="443865"/>
              <wp:effectExtent l="0" t="0" r="1270" b="635"/>
              <wp:wrapNone/>
              <wp:docPr id="5" name="Text Box 5" descr="CUI">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A333A2" w:rsidRPr="00A333A2" w:rsidP="00A333A2" w14:textId="159955D9">
                          <w:pPr>
                            <w:rPr>
                              <w:rFonts w:eastAsia="Times New Roman"/>
                              <w:noProof/>
                              <w:color w:val="FF0000"/>
                              <w:szCs w:val="26"/>
                            </w:rPr>
                          </w:pPr>
                          <w:r w:rsidRPr="00A333A2">
                            <w:rPr>
                              <w:rFonts w:eastAsia="Times New Roman"/>
                              <w:noProof/>
                              <w:color w:val="FF0000"/>
                              <w:szCs w:val="26"/>
                            </w:rPr>
                            <w:t>CUI</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0"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1312" filled="f" stroked="f">
              <v:textbox style="mso-fit-shape-to-text:t" inset="0,15pt,0,0">
                <w:txbxContent>
                  <w:p w:rsidR="00A333A2" w:rsidRPr="00A333A2" w:rsidP="00A333A2" w14:paraId="78815B52" w14:textId="159955D9">
                    <w:pPr>
                      <w:rPr>
                        <w:rFonts w:eastAsia="Times New Roman"/>
                        <w:noProof/>
                        <w:color w:val="FF0000"/>
                        <w:szCs w:val="26"/>
                      </w:rPr>
                    </w:pPr>
                    <w:r w:rsidRPr="00A333A2">
                      <w:rPr>
                        <w:rFonts w:eastAsia="Times New Roman"/>
                        <w:noProof/>
                        <w:color w:val="FF0000"/>
                        <w:szCs w:val="26"/>
                      </w:rPr>
                      <w:t>CUI</w:t>
                    </w:r>
                  </w:p>
                </w:txbxContent>
              </v:textbox>
            </v:shape>
          </w:pict>
        </mc:Fallback>
      </mc:AlternateConten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rsidR="00653D8D" w:rsidP="00407EE0" w14:paraId="1B05F164" w14:textId="77777777">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F239F6" w14:paraId="7DC7EE98" w14:textId="17B6AF67">
    <w:pPr>
      <w:pStyle w:val="Header"/>
      <w:tabs>
        <w:tab w:val="clear" w:pos="4680"/>
      </w:tabs>
      <w:spacing w:after="240"/>
    </w:pPr>
    <w:r>
      <w:t xml:space="preserve">Docket No. </w:t>
    </w:r>
    <w:r w:rsidR="0078188A">
      <w:t>RM2</w:t>
    </w:r>
    <w:r w:rsidR="0048326D">
      <w:t>5</w:t>
    </w:r>
    <w:r w:rsidR="0078188A">
      <w:t>-</w:t>
    </w:r>
    <w:r w:rsidR="006C75F4">
      <w:t>3-000</w:t>
    </w:r>
    <w:r>
      <w:t xml:space="preserve"> </w:t>
    </w:r>
    <w:r>
      <w:tab/>
    </w:r>
    <w:r>
      <w:fldChar w:fldCharType="begin"/>
    </w:r>
    <w:r>
      <w:instrText xml:space="preserve"> PAGE  \* MERGEFORMAT </w:instrText>
    </w:r>
    <w:r>
      <w:fldChar w:fldCharType="separate"/>
    </w:r>
    <w:r>
      <w:rPr>
        <w:noProof/>
      </w:rPr>
      <w:t>- 2 -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EC3F55" w14:paraId="347E939B" w14:textId="5673B67E">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hAnsi="Times New Roman" w:eastAsiaTheme="minorHAnsi"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0D116F14"/>
    <w:multiLevelType w:val="hybridMultilevel"/>
    <w:tmpl w:val="42787BB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0B34444"/>
    <w:multiLevelType w:val="hybridMultilevel"/>
    <w:tmpl w:val="67F20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24F16BD"/>
    <w:multiLevelType w:val="hybridMultilevel"/>
    <w:tmpl w:val="2D44FB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135140CC"/>
    <w:multiLevelType w:val="hybridMultilevel"/>
    <w:tmpl w:val="765C418E"/>
    <w:lvl w:ilvl="0">
      <w:start w:val="0"/>
      <w:numFmt w:val="bullet"/>
      <w:lvlText w:val="-"/>
      <w:lvlJc w:val="left"/>
      <w:pPr>
        <w:ind w:left="430" w:hanging="360"/>
      </w:pPr>
      <w:rPr>
        <w:rFonts w:ascii="Times New Roman" w:hAnsi="Times New Roman" w:eastAsiaTheme="minorHAnsi" w:cs="Times New Roman" w:hint="default"/>
      </w:rPr>
    </w:lvl>
    <w:lvl w:ilvl="1" w:tentative="1">
      <w:start w:val="1"/>
      <w:numFmt w:val="bullet"/>
      <w:lvlText w:val="o"/>
      <w:lvlJc w:val="left"/>
      <w:pPr>
        <w:ind w:left="1150" w:hanging="360"/>
      </w:pPr>
      <w:rPr>
        <w:rFonts w:ascii="Courier New" w:hAnsi="Courier New" w:cs="Courier New" w:hint="default"/>
      </w:rPr>
    </w:lvl>
    <w:lvl w:ilvl="2" w:tentative="1">
      <w:start w:val="1"/>
      <w:numFmt w:val="bullet"/>
      <w:lvlText w:val=""/>
      <w:lvlJc w:val="left"/>
      <w:pPr>
        <w:ind w:left="1870" w:hanging="360"/>
      </w:pPr>
      <w:rPr>
        <w:rFonts w:ascii="Wingdings" w:hAnsi="Wingdings" w:hint="default"/>
      </w:rPr>
    </w:lvl>
    <w:lvl w:ilvl="3" w:tentative="1">
      <w:start w:val="1"/>
      <w:numFmt w:val="bullet"/>
      <w:lvlText w:val=""/>
      <w:lvlJc w:val="left"/>
      <w:pPr>
        <w:ind w:left="2590" w:hanging="360"/>
      </w:pPr>
      <w:rPr>
        <w:rFonts w:ascii="Symbol" w:hAnsi="Symbol" w:hint="default"/>
      </w:rPr>
    </w:lvl>
    <w:lvl w:ilvl="4" w:tentative="1">
      <w:start w:val="1"/>
      <w:numFmt w:val="bullet"/>
      <w:lvlText w:val="o"/>
      <w:lvlJc w:val="left"/>
      <w:pPr>
        <w:ind w:left="3310" w:hanging="360"/>
      </w:pPr>
      <w:rPr>
        <w:rFonts w:ascii="Courier New" w:hAnsi="Courier New" w:cs="Courier New" w:hint="default"/>
      </w:rPr>
    </w:lvl>
    <w:lvl w:ilvl="5" w:tentative="1">
      <w:start w:val="1"/>
      <w:numFmt w:val="bullet"/>
      <w:lvlText w:val=""/>
      <w:lvlJc w:val="left"/>
      <w:pPr>
        <w:ind w:left="4030" w:hanging="360"/>
      </w:pPr>
      <w:rPr>
        <w:rFonts w:ascii="Wingdings" w:hAnsi="Wingdings" w:hint="default"/>
      </w:rPr>
    </w:lvl>
    <w:lvl w:ilvl="6" w:tentative="1">
      <w:start w:val="1"/>
      <w:numFmt w:val="bullet"/>
      <w:lvlText w:val=""/>
      <w:lvlJc w:val="left"/>
      <w:pPr>
        <w:ind w:left="4750" w:hanging="360"/>
      </w:pPr>
      <w:rPr>
        <w:rFonts w:ascii="Symbol" w:hAnsi="Symbol" w:hint="default"/>
      </w:rPr>
    </w:lvl>
    <w:lvl w:ilvl="7" w:tentative="1">
      <w:start w:val="1"/>
      <w:numFmt w:val="bullet"/>
      <w:lvlText w:val="o"/>
      <w:lvlJc w:val="left"/>
      <w:pPr>
        <w:ind w:left="5470" w:hanging="360"/>
      </w:pPr>
      <w:rPr>
        <w:rFonts w:ascii="Courier New" w:hAnsi="Courier New" w:cs="Courier New" w:hint="default"/>
      </w:rPr>
    </w:lvl>
    <w:lvl w:ilvl="8" w:tentative="1">
      <w:start w:val="1"/>
      <w:numFmt w:val="bullet"/>
      <w:lvlText w:val=""/>
      <w:lvlJc w:val="left"/>
      <w:pPr>
        <w:ind w:left="6190" w:hanging="360"/>
      </w:pPr>
      <w:rPr>
        <w:rFonts w:ascii="Wingdings" w:hAnsi="Wingdings" w:hint="default"/>
      </w:rPr>
    </w:lvl>
  </w:abstractNum>
  <w:abstractNum w:abstractNumId="16">
    <w:nsid w:val="13B11278"/>
    <w:multiLevelType w:val="hybridMultilevel"/>
    <w:tmpl w:val="8158AD8E"/>
    <w:lvl w:ilvl="0">
      <w:start w:val="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B0A1149"/>
    <w:multiLevelType w:val="hybridMultilevel"/>
    <w:tmpl w:val="AF4A3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9">
    <w:nsid w:val="1E5A2883"/>
    <w:multiLevelType w:val="hybridMultilevel"/>
    <w:tmpl w:val="543635AE"/>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20">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650B16"/>
    <w:multiLevelType w:val="hybridMultilevel"/>
    <w:tmpl w:val="D3562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3">
    <w:nsid w:val="65A06BAD"/>
    <w:multiLevelType w:val="hybridMultilevel"/>
    <w:tmpl w:val="47AC28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6510579"/>
    <w:multiLevelType w:val="hybridMultilevel"/>
    <w:tmpl w:val="55A882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9C32F2C"/>
    <w:multiLevelType w:val="hybridMultilevel"/>
    <w:tmpl w:val="BEDEB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8">
    <w:nsid w:val="792F5A45"/>
    <w:multiLevelType w:val="hybridMultilevel"/>
    <w:tmpl w:val="837E130E"/>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B663B2B"/>
    <w:multiLevelType w:val="hybridMultilevel"/>
    <w:tmpl w:val="2E98E8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D3B09D3"/>
    <w:multiLevelType w:val="hybridMultilevel"/>
    <w:tmpl w:val="F77841C6"/>
    <w:lvl w:ilvl="0">
      <w:start w:val="1"/>
      <w:numFmt w:val="decimal"/>
      <w:pStyle w:val="FERCparanumber"/>
      <w:lvlText w:val="%1."/>
      <w:lvlJc w:val="left"/>
      <w:pPr>
        <w:tabs>
          <w:tab w:val="num" w:pos="720"/>
        </w:tabs>
        <w:ind w:left="0" w:firstLine="0"/>
      </w:pPr>
      <w:rPr>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31080175">
    <w:abstractNumId w:val="9"/>
  </w:num>
  <w:num w:numId="2" w16cid:durableId="436825673">
    <w:abstractNumId w:val="7"/>
  </w:num>
  <w:num w:numId="3" w16cid:durableId="2023042739">
    <w:abstractNumId w:val="6"/>
  </w:num>
  <w:num w:numId="4" w16cid:durableId="1507210208">
    <w:abstractNumId w:val="5"/>
  </w:num>
  <w:num w:numId="5" w16cid:durableId="255291719">
    <w:abstractNumId w:val="4"/>
  </w:num>
  <w:num w:numId="6" w16cid:durableId="124351206">
    <w:abstractNumId w:val="8"/>
  </w:num>
  <w:num w:numId="7" w16cid:durableId="1778678035">
    <w:abstractNumId w:val="3"/>
  </w:num>
  <w:num w:numId="8" w16cid:durableId="1575512540">
    <w:abstractNumId w:val="2"/>
  </w:num>
  <w:num w:numId="9" w16cid:durableId="1142500387">
    <w:abstractNumId w:val="1"/>
  </w:num>
  <w:num w:numId="10" w16cid:durableId="1312561718">
    <w:abstractNumId w:val="0"/>
  </w:num>
  <w:num w:numId="11" w16cid:durableId="812917180">
    <w:abstractNumId w:val="30"/>
  </w:num>
  <w:num w:numId="12" w16cid:durableId="52506773">
    <w:abstractNumId w:val="25"/>
  </w:num>
  <w:num w:numId="13" w16cid:durableId="859006164">
    <w:abstractNumId w:val="18"/>
  </w:num>
  <w:num w:numId="14" w16cid:durableId="311065281">
    <w:abstractNumId w:val="27"/>
  </w:num>
  <w:num w:numId="15" w16cid:durableId="1146164863">
    <w:abstractNumId w:val="22"/>
  </w:num>
  <w:num w:numId="16" w16cid:durableId="10713903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519094">
    <w:abstractNumId w:val="11"/>
  </w:num>
  <w:num w:numId="18" w16cid:durableId="1754618900">
    <w:abstractNumId w:val="10"/>
  </w:num>
  <w:num w:numId="19" w16cid:durableId="1358699890">
    <w:abstractNumId w:val="19"/>
  </w:num>
  <w:num w:numId="20" w16cid:durableId="1399862505">
    <w:abstractNumId w:val="16"/>
  </w:num>
  <w:num w:numId="21" w16cid:durableId="984897000">
    <w:abstractNumId w:val="31"/>
  </w:num>
  <w:num w:numId="22" w16cid:durableId="46496330">
    <w:abstractNumId w:val="20"/>
  </w:num>
  <w:num w:numId="23" w16cid:durableId="1082027079">
    <w:abstractNumId w:val="23"/>
  </w:num>
  <w:num w:numId="24" w16cid:durableId="1819415569">
    <w:abstractNumId w:val="13"/>
  </w:num>
  <w:num w:numId="25" w16cid:durableId="305933658">
    <w:abstractNumId w:val="12"/>
  </w:num>
  <w:num w:numId="26" w16cid:durableId="1275940175">
    <w:abstractNumId w:val="14"/>
  </w:num>
  <w:num w:numId="27" w16cid:durableId="399795979">
    <w:abstractNumId w:val="24"/>
  </w:num>
  <w:num w:numId="28" w16cid:durableId="1587108505">
    <w:abstractNumId w:val="26"/>
  </w:num>
  <w:num w:numId="29" w16cid:durableId="1499493003">
    <w:abstractNumId w:val="28"/>
  </w:num>
  <w:num w:numId="30" w16cid:durableId="58139865">
    <w:abstractNumId w:val="15"/>
  </w:num>
  <w:num w:numId="31" w16cid:durableId="1940749307">
    <w:abstractNumId w:val="30"/>
    <w:lvlOverride w:ilvl="0">
      <w:startOverride w:val="19"/>
    </w:lvlOverride>
  </w:num>
  <w:num w:numId="32" w16cid:durableId="1250888044">
    <w:abstractNumId w:val="17"/>
  </w:num>
  <w:num w:numId="33" w16cid:durableId="852764963">
    <w:abstractNumId w:val="30"/>
    <w:lvlOverride w:ilvl="0">
      <w:startOverride w:val="20"/>
    </w:lvlOverride>
  </w:num>
  <w:num w:numId="34" w16cid:durableId="924648372">
    <w:abstractNumId w:val="29"/>
  </w:num>
  <w:num w:numId="35" w16cid:durableId="330761726">
    <w:abstractNumId w:val="30"/>
  </w:num>
  <w:num w:numId="36" w16cid:durableId="904998378">
    <w:abstractNumId w:val="30"/>
    <w:lvlOverride w:ilvl="0">
      <w:startOverride w:val="1"/>
    </w:lvlOverride>
  </w:num>
  <w:num w:numId="37" w16cid:durableId="16043396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F6"/>
    <w:rsid w:val="00000001"/>
    <w:rsid w:val="00000219"/>
    <w:rsid w:val="000008A2"/>
    <w:rsid w:val="00000A88"/>
    <w:rsid w:val="000010D0"/>
    <w:rsid w:val="0000110B"/>
    <w:rsid w:val="0000146D"/>
    <w:rsid w:val="000014DF"/>
    <w:rsid w:val="00001596"/>
    <w:rsid w:val="000017C3"/>
    <w:rsid w:val="0000226D"/>
    <w:rsid w:val="00002381"/>
    <w:rsid w:val="00002391"/>
    <w:rsid w:val="00002C0B"/>
    <w:rsid w:val="00002CD9"/>
    <w:rsid w:val="00002CE3"/>
    <w:rsid w:val="00003001"/>
    <w:rsid w:val="00003340"/>
    <w:rsid w:val="00003652"/>
    <w:rsid w:val="00003655"/>
    <w:rsid w:val="000036CD"/>
    <w:rsid w:val="000036D9"/>
    <w:rsid w:val="00003A09"/>
    <w:rsid w:val="00003B41"/>
    <w:rsid w:val="00003D07"/>
    <w:rsid w:val="00003EDA"/>
    <w:rsid w:val="00003FAD"/>
    <w:rsid w:val="00004800"/>
    <w:rsid w:val="00004C90"/>
    <w:rsid w:val="00005039"/>
    <w:rsid w:val="00005881"/>
    <w:rsid w:val="00005A1B"/>
    <w:rsid w:val="00005B62"/>
    <w:rsid w:val="00005CE6"/>
    <w:rsid w:val="00005EF7"/>
    <w:rsid w:val="000068CD"/>
    <w:rsid w:val="00006F73"/>
    <w:rsid w:val="000071E4"/>
    <w:rsid w:val="0000731D"/>
    <w:rsid w:val="00007ADC"/>
    <w:rsid w:val="00007AE0"/>
    <w:rsid w:val="00007EFD"/>
    <w:rsid w:val="00007F64"/>
    <w:rsid w:val="000103FE"/>
    <w:rsid w:val="00010ACA"/>
    <w:rsid w:val="00010C7E"/>
    <w:rsid w:val="00010CAD"/>
    <w:rsid w:val="00010E98"/>
    <w:rsid w:val="00010FA6"/>
    <w:rsid w:val="00011229"/>
    <w:rsid w:val="000113EB"/>
    <w:rsid w:val="000116F0"/>
    <w:rsid w:val="000117F3"/>
    <w:rsid w:val="000118B1"/>
    <w:rsid w:val="000118C8"/>
    <w:rsid w:val="00012432"/>
    <w:rsid w:val="00012A95"/>
    <w:rsid w:val="00012D77"/>
    <w:rsid w:val="00012F43"/>
    <w:rsid w:val="00012FFE"/>
    <w:rsid w:val="00013083"/>
    <w:rsid w:val="000136F2"/>
    <w:rsid w:val="0001378C"/>
    <w:rsid w:val="00013B45"/>
    <w:rsid w:val="00013C56"/>
    <w:rsid w:val="000143AA"/>
    <w:rsid w:val="000143D7"/>
    <w:rsid w:val="00014A46"/>
    <w:rsid w:val="00014C2E"/>
    <w:rsid w:val="000150AC"/>
    <w:rsid w:val="0001544F"/>
    <w:rsid w:val="0001566D"/>
    <w:rsid w:val="00015AB2"/>
    <w:rsid w:val="00015C8E"/>
    <w:rsid w:val="00016134"/>
    <w:rsid w:val="00016489"/>
    <w:rsid w:val="000169EA"/>
    <w:rsid w:val="000170E8"/>
    <w:rsid w:val="000170F2"/>
    <w:rsid w:val="00017416"/>
    <w:rsid w:val="000179D3"/>
    <w:rsid w:val="0002042F"/>
    <w:rsid w:val="000209C3"/>
    <w:rsid w:val="00020B36"/>
    <w:rsid w:val="00021B6E"/>
    <w:rsid w:val="00021CA1"/>
    <w:rsid w:val="00022A33"/>
    <w:rsid w:val="0002302C"/>
    <w:rsid w:val="0002309B"/>
    <w:rsid w:val="00023197"/>
    <w:rsid w:val="0002355F"/>
    <w:rsid w:val="000236F7"/>
    <w:rsid w:val="00023AC5"/>
    <w:rsid w:val="00023B54"/>
    <w:rsid w:val="00023F11"/>
    <w:rsid w:val="00023F1B"/>
    <w:rsid w:val="000244A2"/>
    <w:rsid w:val="00024B94"/>
    <w:rsid w:val="00024BD8"/>
    <w:rsid w:val="00024C82"/>
    <w:rsid w:val="00024D16"/>
    <w:rsid w:val="0002500C"/>
    <w:rsid w:val="000251C5"/>
    <w:rsid w:val="0002558C"/>
    <w:rsid w:val="00025754"/>
    <w:rsid w:val="000259A2"/>
    <w:rsid w:val="00026008"/>
    <w:rsid w:val="00026146"/>
    <w:rsid w:val="00026592"/>
    <w:rsid w:val="000266C0"/>
    <w:rsid w:val="00026815"/>
    <w:rsid w:val="00026CE5"/>
    <w:rsid w:val="00027462"/>
    <w:rsid w:val="00027A21"/>
    <w:rsid w:val="00027BBE"/>
    <w:rsid w:val="000303E4"/>
    <w:rsid w:val="0003047C"/>
    <w:rsid w:val="00030A99"/>
    <w:rsid w:val="00030AFA"/>
    <w:rsid w:val="000311DC"/>
    <w:rsid w:val="000312DB"/>
    <w:rsid w:val="00031434"/>
    <w:rsid w:val="00031595"/>
    <w:rsid w:val="00031667"/>
    <w:rsid w:val="00031D0C"/>
    <w:rsid w:val="000326DB"/>
    <w:rsid w:val="00032748"/>
    <w:rsid w:val="000328F1"/>
    <w:rsid w:val="00032FE3"/>
    <w:rsid w:val="0003303E"/>
    <w:rsid w:val="000333E5"/>
    <w:rsid w:val="00033550"/>
    <w:rsid w:val="0003382F"/>
    <w:rsid w:val="000338F8"/>
    <w:rsid w:val="00033DB9"/>
    <w:rsid w:val="0003420B"/>
    <w:rsid w:val="000344EA"/>
    <w:rsid w:val="000345D0"/>
    <w:rsid w:val="000348C2"/>
    <w:rsid w:val="00034D53"/>
    <w:rsid w:val="00034E52"/>
    <w:rsid w:val="00035227"/>
    <w:rsid w:val="000356C3"/>
    <w:rsid w:val="0003570A"/>
    <w:rsid w:val="000358FD"/>
    <w:rsid w:val="0003599F"/>
    <w:rsid w:val="00035C97"/>
    <w:rsid w:val="00035CDB"/>
    <w:rsid w:val="00035D5A"/>
    <w:rsid w:val="00036192"/>
    <w:rsid w:val="00036211"/>
    <w:rsid w:val="00036268"/>
    <w:rsid w:val="0003672E"/>
    <w:rsid w:val="00036BD6"/>
    <w:rsid w:val="00036C04"/>
    <w:rsid w:val="00036F67"/>
    <w:rsid w:val="00036FD5"/>
    <w:rsid w:val="00037113"/>
    <w:rsid w:val="0003712B"/>
    <w:rsid w:val="0003716A"/>
    <w:rsid w:val="00037262"/>
    <w:rsid w:val="00037A62"/>
    <w:rsid w:val="00037B04"/>
    <w:rsid w:val="0004005B"/>
    <w:rsid w:val="00040173"/>
    <w:rsid w:val="00040307"/>
    <w:rsid w:val="0004043C"/>
    <w:rsid w:val="000406FF"/>
    <w:rsid w:val="00040B26"/>
    <w:rsid w:val="00040F8B"/>
    <w:rsid w:val="0004109D"/>
    <w:rsid w:val="000411A6"/>
    <w:rsid w:val="00041783"/>
    <w:rsid w:val="000418F8"/>
    <w:rsid w:val="00041BBE"/>
    <w:rsid w:val="00041E67"/>
    <w:rsid w:val="000424EE"/>
    <w:rsid w:val="0004254E"/>
    <w:rsid w:val="000428C4"/>
    <w:rsid w:val="00042E48"/>
    <w:rsid w:val="00043024"/>
    <w:rsid w:val="00043433"/>
    <w:rsid w:val="00043472"/>
    <w:rsid w:val="000436E8"/>
    <w:rsid w:val="00043A60"/>
    <w:rsid w:val="00043E56"/>
    <w:rsid w:val="00044516"/>
    <w:rsid w:val="0004453D"/>
    <w:rsid w:val="000447B6"/>
    <w:rsid w:val="00044833"/>
    <w:rsid w:val="00044B97"/>
    <w:rsid w:val="00044D66"/>
    <w:rsid w:val="000454E9"/>
    <w:rsid w:val="0004576F"/>
    <w:rsid w:val="0004624A"/>
    <w:rsid w:val="00046853"/>
    <w:rsid w:val="0004688A"/>
    <w:rsid w:val="000468BF"/>
    <w:rsid w:val="0004732C"/>
    <w:rsid w:val="000479AA"/>
    <w:rsid w:val="00047BE3"/>
    <w:rsid w:val="00050390"/>
    <w:rsid w:val="00050422"/>
    <w:rsid w:val="00050482"/>
    <w:rsid w:val="00050622"/>
    <w:rsid w:val="00050892"/>
    <w:rsid w:val="0005092E"/>
    <w:rsid w:val="00050FF0"/>
    <w:rsid w:val="0005107A"/>
    <w:rsid w:val="000512F0"/>
    <w:rsid w:val="0005135D"/>
    <w:rsid w:val="0005166F"/>
    <w:rsid w:val="000519ED"/>
    <w:rsid w:val="00051A20"/>
    <w:rsid w:val="00051DE3"/>
    <w:rsid w:val="00051E5E"/>
    <w:rsid w:val="00051FBA"/>
    <w:rsid w:val="000520B4"/>
    <w:rsid w:val="00052F0A"/>
    <w:rsid w:val="00053241"/>
    <w:rsid w:val="000535E7"/>
    <w:rsid w:val="00053717"/>
    <w:rsid w:val="000538FC"/>
    <w:rsid w:val="00053A9E"/>
    <w:rsid w:val="00053AD9"/>
    <w:rsid w:val="00053C31"/>
    <w:rsid w:val="000540FE"/>
    <w:rsid w:val="0005437F"/>
    <w:rsid w:val="0005450F"/>
    <w:rsid w:val="00054732"/>
    <w:rsid w:val="00054A13"/>
    <w:rsid w:val="00054D27"/>
    <w:rsid w:val="000550DC"/>
    <w:rsid w:val="00055472"/>
    <w:rsid w:val="00055494"/>
    <w:rsid w:val="00055EA2"/>
    <w:rsid w:val="00055EF9"/>
    <w:rsid w:val="00055F5F"/>
    <w:rsid w:val="000568FC"/>
    <w:rsid w:val="00056DE7"/>
    <w:rsid w:val="000570F8"/>
    <w:rsid w:val="000574F7"/>
    <w:rsid w:val="0005753C"/>
    <w:rsid w:val="000576CC"/>
    <w:rsid w:val="000576F4"/>
    <w:rsid w:val="000577A2"/>
    <w:rsid w:val="00057C0F"/>
    <w:rsid w:val="00057C6B"/>
    <w:rsid w:val="00057F13"/>
    <w:rsid w:val="00057FDC"/>
    <w:rsid w:val="00060287"/>
    <w:rsid w:val="00060537"/>
    <w:rsid w:val="000605D1"/>
    <w:rsid w:val="0006067D"/>
    <w:rsid w:val="00060CBF"/>
    <w:rsid w:val="00060D0B"/>
    <w:rsid w:val="00060DAC"/>
    <w:rsid w:val="00061162"/>
    <w:rsid w:val="0006117F"/>
    <w:rsid w:val="000617FF"/>
    <w:rsid w:val="00061CF9"/>
    <w:rsid w:val="00061ED6"/>
    <w:rsid w:val="00061F9C"/>
    <w:rsid w:val="0006246A"/>
    <w:rsid w:val="000624E7"/>
    <w:rsid w:val="00062732"/>
    <w:rsid w:val="00062FDE"/>
    <w:rsid w:val="0006373A"/>
    <w:rsid w:val="0006378B"/>
    <w:rsid w:val="00063BF0"/>
    <w:rsid w:val="0006403E"/>
    <w:rsid w:val="000641C2"/>
    <w:rsid w:val="0006421A"/>
    <w:rsid w:val="00064C25"/>
    <w:rsid w:val="00064CE4"/>
    <w:rsid w:val="00064F81"/>
    <w:rsid w:val="00065293"/>
    <w:rsid w:val="0006540E"/>
    <w:rsid w:val="00065515"/>
    <w:rsid w:val="00065771"/>
    <w:rsid w:val="00065968"/>
    <w:rsid w:val="00065A5E"/>
    <w:rsid w:val="00065D80"/>
    <w:rsid w:val="00065DDE"/>
    <w:rsid w:val="0006662B"/>
    <w:rsid w:val="00066A7A"/>
    <w:rsid w:val="0006743D"/>
    <w:rsid w:val="00067620"/>
    <w:rsid w:val="000703FB"/>
    <w:rsid w:val="0007056A"/>
    <w:rsid w:val="00070857"/>
    <w:rsid w:val="00071469"/>
    <w:rsid w:val="00071628"/>
    <w:rsid w:val="0007196F"/>
    <w:rsid w:val="00071A08"/>
    <w:rsid w:val="00071CFD"/>
    <w:rsid w:val="00071F53"/>
    <w:rsid w:val="00071F78"/>
    <w:rsid w:val="00072472"/>
    <w:rsid w:val="00072ECA"/>
    <w:rsid w:val="00073250"/>
    <w:rsid w:val="0007331A"/>
    <w:rsid w:val="000733BF"/>
    <w:rsid w:val="00073692"/>
    <w:rsid w:val="00073720"/>
    <w:rsid w:val="0007377C"/>
    <w:rsid w:val="000737AB"/>
    <w:rsid w:val="00073F41"/>
    <w:rsid w:val="00074095"/>
    <w:rsid w:val="00074419"/>
    <w:rsid w:val="00074893"/>
    <w:rsid w:val="00075009"/>
    <w:rsid w:val="000754D6"/>
    <w:rsid w:val="0007558C"/>
    <w:rsid w:val="0007571E"/>
    <w:rsid w:val="00075E0A"/>
    <w:rsid w:val="0007636C"/>
    <w:rsid w:val="000764B1"/>
    <w:rsid w:val="000770DA"/>
    <w:rsid w:val="0007715C"/>
    <w:rsid w:val="0007759D"/>
    <w:rsid w:val="00077BD4"/>
    <w:rsid w:val="00077EB1"/>
    <w:rsid w:val="00077F55"/>
    <w:rsid w:val="0008068E"/>
    <w:rsid w:val="000808D3"/>
    <w:rsid w:val="00080B0D"/>
    <w:rsid w:val="00080D20"/>
    <w:rsid w:val="00080D75"/>
    <w:rsid w:val="0008163F"/>
    <w:rsid w:val="00081875"/>
    <w:rsid w:val="00081C12"/>
    <w:rsid w:val="00081DC1"/>
    <w:rsid w:val="000825D6"/>
    <w:rsid w:val="00082A5F"/>
    <w:rsid w:val="00082FCB"/>
    <w:rsid w:val="00082FF2"/>
    <w:rsid w:val="000831FE"/>
    <w:rsid w:val="0008321F"/>
    <w:rsid w:val="00083573"/>
    <w:rsid w:val="000836FC"/>
    <w:rsid w:val="00083B6A"/>
    <w:rsid w:val="00083C40"/>
    <w:rsid w:val="00083E66"/>
    <w:rsid w:val="00084049"/>
    <w:rsid w:val="00084121"/>
    <w:rsid w:val="000841E2"/>
    <w:rsid w:val="000842B1"/>
    <w:rsid w:val="00084357"/>
    <w:rsid w:val="00084697"/>
    <w:rsid w:val="0008478C"/>
    <w:rsid w:val="000847F8"/>
    <w:rsid w:val="00084A31"/>
    <w:rsid w:val="00085461"/>
    <w:rsid w:val="00085473"/>
    <w:rsid w:val="00085659"/>
    <w:rsid w:val="000856B9"/>
    <w:rsid w:val="00085B7A"/>
    <w:rsid w:val="00086430"/>
    <w:rsid w:val="00086593"/>
    <w:rsid w:val="00086CE9"/>
    <w:rsid w:val="00086D98"/>
    <w:rsid w:val="00087517"/>
    <w:rsid w:val="0008776B"/>
    <w:rsid w:val="0008778D"/>
    <w:rsid w:val="00087C96"/>
    <w:rsid w:val="00087F9D"/>
    <w:rsid w:val="00087FC1"/>
    <w:rsid w:val="00090355"/>
    <w:rsid w:val="000909CA"/>
    <w:rsid w:val="00090B27"/>
    <w:rsid w:val="00090B6A"/>
    <w:rsid w:val="00090D38"/>
    <w:rsid w:val="00090E56"/>
    <w:rsid w:val="00091439"/>
    <w:rsid w:val="00091568"/>
    <w:rsid w:val="000916EB"/>
    <w:rsid w:val="000918D4"/>
    <w:rsid w:val="00091A7A"/>
    <w:rsid w:val="00091FAD"/>
    <w:rsid w:val="0009205A"/>
    <w:rsid w:val="0009206B"/>
    <w:rsid w:val="000922E7"/>
    <w:rsid w:val="00092634"/>
    <w:rsid w:val="000928AE"/>
    <w:rsid w:val="00093198"/>
    <w:rsid w:val="00093445"/>
    <w:rsid w:val="000936D8"/>
    <w:rsid w:val="000938A6"/>
    <w:rsid w:val="00093BED"/>
    <w:rsid w:val="00093F85"/>
    <w:rsid w:val="000941A9"/>
    <w:rsid w:val="00094314"/>
    <w:rsid w:val="00094C49"/>
    <w:rsid w:val="00095574"/>
    <w:rsid w:val="0009577F"/>
    <w:rsid w:val="000957E0"/>
    <w:rsid w:val="00095B85"/>
    <w:rsid w:val="00095F9C"/>
    <w:rsid w:val="0009650A"/>
    <w:rsid w:val="0009654D"/>
    <w:rsid w:val="00096FDF"/>
    <w:rsid w:val="000973D1"/>
    <w:rsid w:val="0009742B"/>
    <w:rsid w:val="000976C3"/>
    <w:rsid w:val="000977C4"/>
    <w:rsid w:val="0009785D"/>
    <w:rsid w:val="000978F8"/>
    <w:rsid w:val="000979F6"/>
    <w:rsid w:val="00097BE3"/>
    <w:rsid w:val="00097C05"/>
    <w:rsid w:val="00097EA0"/>
    <w:rsid w:val="000A0037"/>
    <w:rsid w:val="000A06E3"/>
    <w:rsid w:val="000A0922"/>
    <w:rsid w:val="000A114D"/>
    <w:rsid w:val="000A11BC"/>
    <w:rsid w:val="000A16D3"/>
    <w:rsid w:val="000A17FF"/>
    <w:rsid w:val="000A1B9D"/>
    <w:rsid w:val="000A1C10"/>
    <w:rsid w:val="000A232B"/>
    <w:rsid w:val="000A2C13"/>
    <w:rsid w:val="000A3128"/>
    <w:rsid w:val="000A3179"/>
    <w:rsid w:val="000A31D6"/>
    <w:rsid w:val="000A3239"/>
    <w:rsid w:val="000A337A"/>
    <w:rsid w:val="000A3873"/>
    <w:rsid w:val="000A3C2F"/>
    <w:rsid w:val="000A3D2F"/>
    <w:rsid w:val="000A4297"/>
    <w:rsid w:val="000A44C8"/>
    <w:rsid w:val="000A4BEA"/>
    <w:rsid w:val="000A56ED"/>
    <w:rsid w:val="000A5729"/>
    <w:rsid w:val="000A58DA"/>
    <w:rsid w:val="000A5DBD"/>
    <w:rsid w:val="000A6078"/>
    <w:rsid w:val="000A61F8"/>
    <w:rsid w:val="000A6354"/>
    <w:rsid w:val="000A6368"/>
    <w:rsid w:val="000A6623"/>
    <w:rsid w:val="000A6723"/>
    <w:rsid w:val="000A6835"/>
    <w:rsid w:val="000A6C08"/>
    <w:rsid w:val="000A75FD"/>
    <w:rsid w:val="000A7B0A"/>
    <w:rsid w:val="000B01B1"/>
    <w:rsid w:val="000B07C3"/>
    <w:rsid w:val="000B0D3D"/>
    <w:rsid w:val="000B108B"/>
    <w:rsid w:val="000B1318"/>
    <w:rsid w:val="000B1340"/>
    <w:rsid w:val="000B13FD"/>
    <w:rsid w:val="000B18F7"/>
    <w:rsid w:val="000B1AA3"/>
    <w:rsid w:val="000B1D47"/>
    <w:rsid w:val="000B1F91"/>
    <w:rsid w:val="000B2133"/>
    <w:rsid w:val="000B2957"/>
    <w:rsid w:val="000B2F80"/>
    <w:rsid w:val="000B31D0"/>
    <w:rsid w:val="000B3238"/>
    <w:rsid w:val="000B370F"/>
    <w:rsid w:val="000B3CB6"/>
    <w:rsid w:val="000B3D75"/>
    <w:rsid w:val="000B3EE0"/>
    <w:rsid w:val="000B403D"/>
    <w:rsid w:val="000B4082"/>
    <w:rsid w:val="000B4124"/>
    <w:rsid w:val="000B424E"/>
    <w:rsid w:val="000B4355"/>
    <w:rsid w:val="000B4444"/>
    <w:rsid w:val="000B47C4"/>
    <w:rsid w:val="000B4C6F"/>
    <w:rsid w:val="000B4C7E"/>
    <w:rsid w:val="000B4D09"/>
    <w:rsid w:val="000B4EA0"/>
    <w:rsid w:val="000B5216"/>
    <w:rsid w:val="000B52DB"/>
    <w:rsid w:val="000B5437"/>
    <w:rsid w:val="000B56E3"/>
    <w:rsid w:val="000B57AB"/>
    <w:rsid w:val="000B5C26"/>
    <w:rsid w:val="000B5E2D"/>
    <w:rsid w:val="000B5F72"/>
    <w:rsid w:val="000B672A"/>
    <w:rsid w:val="000B6B8C"/>
    <w:rsid w:val="000B6E67"/>
    <w:rsid w:val="000B7381"/>
    <w:rsid w:val="000B7945"/>
    <w:rsid w:val="000B7A94"/>
    <w:rsid w:val="000B7E62"/>
    <w:rsid w:val="000C005D"/>
    <w:rsid w:val="000C010D"/>
    <w:rsid w:val="000C0253"/>
    <w:rsid w:val="000C0A41"/>
    <w:rsid w:val="000C0AC0"/>
    <w:rsid w:val="000C1080"/>
    <w:rsid w:val="000C13B9"/>
    <w:rsid w:val="000C141C"/>
    <w:rsid w:val="000C1512"/>
    <w:rsid w:val="000C1879"/>
    <w:rsid w:val="000C1A60"/>
    <w:rsid w:val="000C1B7F"/>
    <w:rsid w:val="000C1E90"/>
    <w:rsid w:val="000C1F8A"/>
    <w:rsid w:val="000C1FCA"/>
    <w:rsid w:val="000C22CE"/>
    <w:rsid w:val="000C2326"/>
    <w:rsid w:val="000C2F02"/>
    <w:rsid w:val="000C30A9"/>
    <w:rsid w:val="000C32A6"/>
    <w:rsid w:val="000C336B"/>
    <w:rsid w:val="000C36FC"/>
    <w:rsid w:val="000C37E6"/>
    <w:rsid w:val="000C3969"/>
    <w:rsid w:val="000C3B61"/>
    <w:rsid w:val="000C3BAC"/>
    <w:rsid w:val="000C3BB0"/>
    <w:rsid w:val="000C3DBE"/>
    <w:rsid w:val="000C4650"/>
    <w:rsid w:val="000C492E"/>
    <w:rsid w:val="000C49DE"/>
    <w:rsid w:val="000C4A0B"/>
    <w:rsid w:val="000C4EB3"/>
    <w:rsid w:val="000C4F34"/>
    <w:rsid w:val="000C510A"/>
    <w:rsid w:val="000C519D"/>
    <w:rsid w:val="000C5309"/>
    <w:rsid w:val="000C5466"/>
    <w:rsid w:val="000C558A"/>
    <w:rsid w:val="000C5ABB"/>
    <w:rsid w:val="000C5BB6"/>
    <w:rsid w:val="000C5CD8"/>
    <w:rsid w:val="000C5EE9"/>
    <w:rsid w:val="000C6257"/>
    <w:rsid w:val="000C6869"/>
    <w:rsid w:val="000C686D"/>
    <w:rsid w:val="000C6986"/>
    <w:rsid w:val="000C6D3E"/>
    <w:rsid w:val="000C72AB"/>
    <w:rsid w:val="000C73E6"/>
    <w:rsid w:val="000C7485"/>
    <w:rsid w:val="000C75B3"/>
    <w:rsid w:val="000C7C15"/>
    <w:rsid w:val="000C7C1F"/>
    <w:rsid w:val="000C7D35"/>
    <w:rsid w:val="000D00CB"/>
    <w:rsid w:val="000D021D"/>
    <w:rsid w:val="000D04A9"/>
    <w:rsid w:val="000D04F3"/>
    <w:rsid w:val="000D0679"/>
    <w:rsid w:val="000D07DA"/>
    <w:rsid w:val="000D0865"/>
    <w:rsid w:val="000D0D70"/>
    <w:rsid w:val="000D0EE6"/>
    <w:rsid w:val="000D1329"/>
    <w:rsid w:val="000D1CDF"/>
    <w:rsid w:val="000D1D4B"/>
    <w:rsid w:val="000D1F22"/>
    <w:rsid w:val="000D1F9C"/>
    <w:rsid w:val="000D1FB6"/>
    <w:rsid w:val="000D268A"/>
    <w:rsid w:val="000D28F1"/>
    <w:rsid w:val="000D2949"/>
    <w:rsid w:val="000D29AF"/>
    <w:rsid w:val="000D2B0E"/>
    <w:rsid w:val="000D2B7B"/>
    <w:rsid w:val="000D37CD"/>
    <w:rsid w:val="000D390A"/>
    <w:rsid w:val="000D3CA6"/>
    <w:rsid w:val="000D401E"/>
    <w:rsid w:val="000D40DD"/>
    <w:rsid w:val="000D4307"/>
    <w:rsid w:val="000D459D"/>
    <w:rsid w:val="000D4738"/>
    <w:rsid w:val="000D4CAA"/>
    <w:rsid w:val="000D4EB1"/>
    <w:rsid w:val="000D4F7F"/>
    <w:rsid w:val="000D509F"/>
    <w:rsid w:val="000D51CB"/>
    <w:rsid w:val="000D52A8"/>
    <w:rsid w:val="000D5348"/>
    <w:rsid w:val="000D5489"/>
    <w:rsid w:val="000D56FB"/>
    <w:rsid w:val="000D5A54"/>
    <w:rsid w:val="000D5AFA"/>
    <w:rsid w:val="000D5B31"/>
    <w:rsid w:val="000D5C0B"/>
    <w:rsid w:val="000D5C5A"/>
    <w:rsid w:val="000D5F4F"/>
    <w:rsid w:val="000D62FD"/>
    <w:rsid w:val="000D6734"/>
    <w:rsid w:val="000D6A82"/>
    <w:rsid w:val="000D6AD8"/>
    <w:rsid w:val="000D6BEA"/>
    <w:rsid w:val="000D6E80"/>
    <w:rsid w:val="000D6FFD"/>
    <w:rsid w:val="000D70F4"/>
    <w:rsid w:val="000D739B"/>
    <w:rsid w:val="000D75BB"/>
    <w:rsid w:val="000D76CE"/>
    <w:rsid w:val="000D7D03"/>
    <w:rsid w:val="000D7DD4"/>
    <w:rsid w:val="000D7E4E"/>
    <w:rsid w:val="000D7E96"/>
    <w:rsid w:val="000D7EF1"/>
    <w:rsid w:val="000E01C2"/>
    <w:rsid w:val="000E065B"/>
    <w:rsid w:val="000E065C"/>
    <w:rsid w:val="000E0857"/>
    <w:rsid w:val="000E0E2F"/>
    <w:rsid w:val="000E0FB3"/>
    <w:rsid w:val="000E11D7"/>
    <w:rsid w:val="000E15F1"/>
    <w:rsid w:val="000E1604"/>
    <w:rsid w:val="000E19D3"/>
    <w:rsid w:val="000E1B77"/>
    <w:rsid w:val="000E211F"/>
    <w:rsid w:val="000E22BA"/>
    <w:rsid w:val="000E24C4"/>
    <w:rsid w:val="000E24EC"/>
    <w:rsid w:val="000E27D4"/>
    <w:rsid w:val="000E2977"/>
    <w:rsid w:val="000E2A35"/>
    <w:rsid w:val="000E2B06"/>
    <w:rsid w:val="000E2BFA"/>
    <w:rsid w:val="000E2D2C"/>
    <w:rsid w:val="000E2E0F"/>
    <w:rsid w:val="000E3067"/>
    <w:rsid w:val="000E350E"/>
    <w:rsid w:val="000E3789"/>
    <w:rsid w:val="000E39D6"/>
    <w:rsid w:val="000E3C14"/>
    <w:rsid w:val="000E416E"/>
    <w:rsid w:val="000E41C3"/>
    <w:rsid w:val="000E444B"/>
    <w:rsid w:val="000E485B"/>
    <w:rsid w:val="000E49AB"/>
    <w:rsid w:val="000E4C8C"/>
    <w:rsid w:val="000E50FA"/>
    <w:rsid w:val="000E544D"/>
    <w:rsid w:val="000E5817"/>
    <w:rsid w:val="000E61BF"/>
    <w:rsid w:val="000E65D8"/>
    <w:rsid w:val="000E6775"/>
    <w:rsid w:val="000E6916"/>
    <w:rsid w:val="000E692D"/>
    <w:rsid w:val="000E69E1"/>
    <w:rsid w:val="000E6A7E"/>
    <w:rsid w:val="000E6A9C"/>
    <w:rsid w:val="000E6D12"/>
    <w:rsid w:val="000E6E7D"/>
    <w:rsid w:val="000E74E1"/>
    <w:rsid w:val="000E75DE"/>
    <w:rsid w:val="000F0030"/>
    <w:rsid w:val="000F0089"/>
    <w:rsid w:val="000F0268"/>
    <w:rsid w:val="000F026C"/>
    <w:rsid w:val="000F08A0"/>
    <w:rsid w:val="000F0BD9"/>
    <w:rsid w:val="000F1164"/>
    <w:rsid w:val="000F116A"/>
    <w:rsid w:val="000F1256"/>
    <w:rsid w:val="000F15B3"/>
    <w:rsid w:val="000F1ACB"/>
    <w:rsid w:val="000F1C0A"/>
    <w:rsid w:val="000F1D0A"/>
    <w:rsid w:val="000F1FF3"/>
    <w:rsid w:val="000F20AA"/>
    <w:rsid w:val="000F21DB"/>
    <w:rsid w:val="000F2347"/>
    <w:rsid w:val="000F236C"/>
    <w:rsid w:val="000F2547"/>
    <w:rsid w:val="000F2864"/>
    <w:rsid w:val="000F2A24"/>
    <w:rsid w:val="000F2AD4"/>
    <w:rsid w:val="000F2D87"/>
    <w:rsid w:val="000F2DC1"/>
    <w:rsid w:val="000F2F20"/>
    <w:rsid w:val="000F366B"/>
    <w:rsid w:val="000F3693"/>
    <w:rsid w:val="000F36AE"/>
    <w:rsid w:val="000F372C"/>
    <w:rsid w:val="000F3CD3"/>
    <w:rsid w:val="000F423F"/>
    <w:rsid w:val="000F4C84"/>
    <w:rsid w:val="000F5179"/>
    <w:rsid w:val="000F5961"/>
    <w:rsid w:val="000F5BC8"/>
    <w:rsid w:val="000F603B"/>
    <w:rsid w:val="000F61D7"/>
    <w:rsid w:val="000F6289"/>
    <w:rsid w:val="000F63C8"/>
    <w:rsid w:val="000F63C9"/>
    <w:rsid w:val="000F6403"/>
    <w:rsid w:val="000F69BC"/>
    <w:rsid w:val="000F6C7F"/>
    <w:rsid w:val="000F728D"/>
    <w:rsid w:val="000F74BB"/>
    <w:rsid w:val="000F76B6"/>
    <w:rsid w:val="001000EE"/>
    <w:rsid w:val="0010043B"/>
    <w:rsid w:val="00100738"/>
    <w:rsid w:val="00100946"/>
    <w:rsid w:val="0010095E"/>
    <w:rsid w:val="00100A58"/>
    <w:rsid w:val="00100A66"/>
    <w:rsid w:val="00100E1B"/>
    <w:rsid w:val="00101107"/>
    <w:rsid w:val="001014AF"/>
    <w:rsid w:val="00101752"/>
    <w:rsid w:val="001017CD"/>
    <w:rsid w:val="00101ED3"/>
    <w:rsid w:val="00101F7B"/>
    <w:rsid w:val="001023F5"/>
    <w:rsid w:val="00102736"/>
    <w:rsid w:val="0010290F"/>
    <w:rsid w:val="00102C66"/>
    <w:rsid w:val="00102D20"/>
    <w:rsid w:val="00102E9E"/>
    <w:rsid w:val="00102EAA"/>
    <w:rsid w:val="00102EE2"/>
    <w:rsid w:val="001032FA"/>
    <w:rsid w:val="0010396C"/>
    <w:rsid w:val="00103BE2"/>
    <w:rsid w:val="00103E6F"/>
    <w:rsid w:val="00103EB4"/>
    <w:rsid w:val="00103FEC"/>
    <w:rsid w:val="001042B6"/>
    <w:rsid w:val="00104447"/>
    <w:rsid w:val="0010444B"/>
    <w:rsid w:val="00104E65"/>
    <w:rsid w:val="00104F76"/>
    <w:rsid w:val="00105062"/>
    <w:rsid w:val="001053F0"/>
    <w:rsid w:val="00105544"/>
    <w:rsid w:val="001057A2"/>
    <w:rsid w:val="0010588A"/>
    <w:rsid w:val="00105A51"/>
    <w:rsid w:val="00105AE9"/>
    <w:rsid w:val="0010601A"/>
    <w:rsid w:val="00106117"/>
    <w:rsid w:val="00106375"/>
    <w:rsid w:val="00106595"/>
    <w:rsid w:val="0010674D"/>
    <w:rsid w:val="001073A4"/>
    <w:rsid w:val="001074A2"/>
    <w:rsid w:val="00107609"/>
    <w:rsid w:val="0010761F"/>
    <w:rsid w:val="00107AD8"/>
    <w:rsid w:val="00107C3A"/>
    <w:rsid w:val="00107E60"/>
    <w:rsid w:val="00110332"/>
    <w:rsid w:val="0011084F"/>
    <w:rsid w:val="00110D61"/>
    <w:rsid w:val="0011159B"/>
    <w:rsid w:val="00111BD4"/>
    <w:rsid w:val="00111D34"/>
    <w:rsid w:val="00111F5C"/>
    <w:rsid w:val="001125EC"/>
    <w:rsid w:val="0011276B"/>
    <w:rsid w:val="0011288D"/>
    <w:rsid w:val="00112FE8"/>
    <w:rsid w:val="00113246"/>
    <w:rsid w:val="001136EB"/>
    <w:rsid w:val="00113B74"/>
    <w:rsid w:val="00113FF7"/>
    <w:rsid w:val="001144CA"/>
    <w:rsid w:val="001145F6"/>
    <w:rsid w:val="00114B0B"/>
    <w:rsid w:val="00114DD9"/>
    <w:rsid w:val="00115176"/>
    <w:rsid w:val="00115207"/>
    <w:rsid w:val="0011536A"/>
    <w:rsid w:val="00115A40"/>
    <w:rsid w:val="00115AFC"/>
    <w:rsid w:val="001166BC"/>
    <w:rsid w:val="00116842"/>
    <w:rsid w:val="00116862"/>
    <w:rsid w:val="0011686D"/>
    <w:rsid w:val="00116F6B"/>
    <w:rsid w:val="0011703E"/>
    <w:rsid w:val="00117583"/>
    <w:rsid w:val="001176ED"/>
    <w:rsid w:val="00117789"/>
    <w:rsid w:val="00117C55"/>
    <w:rsid w:val="00117DAC"/>
    <w:rsid w:val="00117E0D"/>
    <w:rsid w:val="001202A6"/>
    <w:rsid w:val="00120573"/>
    <w:rsid w:val="00120603"/>
    <w:rsid w:val="001208A2"/>
    <w:rsid w:val="001209EF"/>
    <w:rsid w:val="00120A0E"/>
    <w:rsid w:val="00120F0D"/>
    <w:rsid w:val="00121556"/>
    <w:rsid w:val="001218FF"/>
    <w:rsid w:val="00122438"/>
    <w:rsid w:val="00122AC0"/>
    <w:rsid w:val="00122D63"/>
    <w:rsid w:val="001236E4"/>
    <w:rsid w:val="00124030"/>
    <w:rsid w:val="00124043"/>
    <w:rsid w:val="00124257"/>
    <w:rsid w:val="00124528"/>
    <w:rsid w:val="00124901"/>
    <w:rsid w:val="001249ED"/>
    <w:rsid w:val="00124BEE"/>
    <w:rsid w:val="00124C66"/>
    <w:rsid w:val="00124CF6"/>
    <w:rsid w:val="0012545A"/>
    <w:rsid w:val="001263AD"/>
    <w:rsid w:val="001263C5"/>
    <w:rsid w:val="0012657B"/>
    <w:rsid w:val="00126751"/>
    <w:rsid w:val="00126882"/>
    <w:rsid w:val="00126975"/>
    <w:rsid w:val="001269C0"/>
    <w:rsid w:val="00126B23"/>
    <w:rsid w:val="00126B9D"/>
    <w:rsid w:val="00126BBE"/>
    <w:rsid w:val="00126DD9"/>
    <w:rsid w:val="00126DDF"/>
    <w:rsid w:val="0012713F"/>
    <w:rsid w:val="001271E5"/>
    <w:rsid w:val="00127216"/>
    <w:rsid w:val="00127478"/>
    <w:rsid w:val="00127524"/>
    <w:rsid w:val="001277FA"/>
    <w:rsid w:val="001279B9"/>
    <w:rsid w:val="00127FFB"/>
    <w:rsid w:val="001303EC"/>
    <w:rsid w:val="00130525"/>
    <w:rsid w:val="001309DE"/>
    <w:rsid w:val="00130A18"/>
    <w:rsid w:val="00130CCE"/>
    <w:rsid w:val="00130CF9"/>
    <w:rsid w:val="00130F14"/>
    <w:rsid w:val="001310B5"/>
    <w:rsid w:val="001311F1"/>
    <w:rsid w:val="001312F3"/>
    <w:rsid w:val="00131468"/>
    <w:rsid w:val="00131633"/>
    <w:rsid w:val="00131DE7"/>
    <w:rsid w:val="00132175"/>
    <w:rsid w:val="001321D0"/>
    <w:rsid w:val="001322AC"/>
    <w:rsid w:val="0013250A"/>
    <w:rsid w:val="0013267A"/>
    <w:rsid w:val="00132734"/>
    <w:rsid w:val="001328A5"/>
    <w:rsid w:val="00132B03"/>
    <w:rsid w:val="00132B0D"/>
    <w:rsid w:val="00132D57"/>
    <w:rsid w:val="00133104"/>
    <w:rsid w:val="0013377A"/>
    <w:rsid w:val="001341A9"/>
    <w:rsid w:val="00134492"/>
    <w:rsid w:val="0013462E"/>
    <w:rsid w:val="001346BD"/>
    <w:rsid w:val="00134872"/>
    <w:rsid w:val="001348B4"/>
    <w:rsid w:val="00134CF2"/>
    <w:rsid w:val="00135043"/>
    <w:rsid w:val="001351E5"/>
    <w:rsid w:val="001355A8"/>
    <w:rsid w:val="00135D8B"/>
    <w:rsid w:val="001360A8"/>
    <w:rsid w:val="0013678F"/>
    <w:rsid w:val="00136838"/>
    <w:rsid w:val="00136916"/>
    <w:rsid w:val="00136C83"/>
    <w:rsid w:val="00137734"/>
    <w:rsid w:val="00140423"/>
    <w:rsid w:val="001405DF"/>
    <w:rsid w:val="00140626"/>
    <w:rsid w:val="001413FC"/>
    <w:rsid w:val="00141BCE"/>
    <w:rsid w:val="00141D18"/>
    <w:rsid w:val="001421AA"/>
    <w:rsid w:val="001428AD"/>
    <w:rsid w:val="0014293C"/>
    <w:rsid w:val="00142964"/>
    <w:rsid w:val="00142A10"/>
    <w:rsid w:val="00142CB9"/>
    <w:rsid w:val="00143650"/>
    <w:rsid w:val="0014405E"/>
    <w:rsid w:val="0014437F"/>
    <w:rsid w:val="00144433"/>
    <w:rsid w:val="00145056"/>
    <w:rsid w:val="00145776"/>
    <w:rsid w:val="001458D1"/>
    <w:rsid w:val="001459F4"/>
    <w:rsid w:val="00146074"/>
    <w:rsid w:val="00146581"/>
    <w:rsid w:val="00146876"/>
    <w:rsid w:val="00146A50"/>
    <w:rsid w:val="00146F0E"/>
    <w:rsid w:val="001478D6"/>
    <w:rsid w:val="00147BD2"/>
    <w:rsid w:val="00147C29"/>
    <w:rsid w:val="00147F69"/>
    <w:rsid w:val="00150B51"/>
    <w:rsid w:val="00151131"/>
    <w:rsid w:val="001512A7"/>
    <w:rsid w:val="001514FE"/>
    <w:rsid w:val="00151C44"/>
    <w:rsid w:val="001520D4"/>
    <w:rsid w:val="001526EF"/>
    <w:rsid w:val="00152F7E"/>
    <w:rsid w:val="00152FE3"/>
    <w:rsid w:val="00153497"/>
    <w:rsid w:val="00153DD1"/>
    <w:rsid w:val="001549DE"/>
    <w:rsid w:val="00154A78"/>
    <w:rsid w:val="00154BF2"/>
    <w:rsid w:val="00154C7A"/>
    <w:rsid w:val="001553FE"/>
    <w:rsid w:val="001554E6"/>
    <w:rsid w:val="0015560D"/>
    <w:rsid w:val="00155750"/>
    <w:rsid w:val="00155822"/>
    <w:rsid w:val="00155B16"/>
    <w:rsid w:val="00155B7F"/>
    <w:rsid w:val="00155C89"/>
    <w:rsid w:val="00155ECE"/>
    <w:rsid w:val="00156111"/>
    <w:rsid w:val="001561D2"/>
    <w:rsid w:val="001563E4"/>
    <w:rsid w:val="001568F4"/>
    <w:rsid w:val="0015785F"/>
    <w:rsid w:val="001600DD"/>
    <w:rsid w:val="00160D04"/>
    <w:rsid w:val="00160E77"/>
    <w:rsid w:val="00160F7C"/>
    <w:rsid w:val="0016104B"/>
    <w:rsid w:val="001618A3"/>
    <w:rsid w:val="00161C4D"/>
    <w:rsid w:val="00161D81"/>
    <w:rsid w:val="001623D3"/>
    <w:rsid w:val="00162704"/>
    <w:rsid w:val="0016279B"/>
    <w:rsid w:val="0016325F"/>
    <w:rsid w:val="0016345E"/>
    <w:rsid w:val="0016392F"/>
    <w:rsid w:val="00164142"/>
    <w:rsid w:val="001641AE"/>
    <w:rsid w:val="00164499"/>
    <w:rsid w:val="00164F34"/>
    <w:rsid w:val="00165129"/>
    <w:rsid w:val="0016518A"/>
    <w:rsid w:val="001652B7"/>
    <w:rsid w:val="0016531B"/>
    <w:rsid w:val="001656D4"/>
    <w:rsid w:val="001657B0"/>
    <w:rsid w:val="00165858"/>
    <w:rsid w:val="001658BD"/>
    <w:rsid w:val="001659D9"/>
    <w:rsid w:val="00165EEC"/>
    <w:rsid w:val="0016615A"/>
    <w:rsid w:val="001666DB"/>
    <w:rsid w:val="001667B2"/>
    <w:rsid w:val="0016680A"/>
    <w:rsid w:val="0016690F"/>
    <w:rsid w:val="00166C44"/>
    <w:rsid w:val="00166EA2"/>
    <w:rsid w:val="00166EF9"/>
    <w:rsid w:val="00167156"/>
    <w:rsid w:val="0016721A"/>
    <w:rsid w:val="0016729E"/>
    <w:rsid w:val="001673DB"/>
    <w:rsid w:val="001675A3"/>
    <w:rsid w:val="00167A43"/>
    <w:rsid w:val="00167B70"/>
    <w:rsid w:val="00167E96"/>
    <w:rsid w:val="001701E8"/>
    <w:rsid w:val="00170213"/>
    <w:rsid w:val="00170539"/>
    <w:rsid w:val="00170974"/>
    <w:rsid w:val="00170A09"/>
    <w:rsid w:val="00171532"/>
    <w:rsid w:val="00171547"/>
    <w:rsid w:val="00171670"/>
    <w:rsid w:val="0017191E"/>
    <w:rsid w:val="00172283"/>
    <w:rsid w:val="001724CE"/>
    <w:rsid w:val="001726AE"/>
    <w:rsid w:val="00172745"/>
    <w:rsid w:val="0017290B"/>
    <w:rsid w:val="00172A19"/>
    <w:rsid w:val="00172CDA"/>
    <w:rsid w:val="00172D80"/>
    <w:rsid w:val="0017367B"/>
    <w:rsid w:val="001736BB"/>
    <w:rsid w:val="00173AC2"/>
    <w:rsid w:val="00173D2B"/>
    <w:rsid w:val="001740B7"/>
    <w:rsid w:val="0017437F"/>
    <w:rsid w:val="00174518"/>
    <w:rsid w:val="0017457C"/>
    <w:rsid w:val="001747EC"/>
    <w:rsid w:val="00174BF3"/>
    <w:rsid w:val="00174C53"/>
    <w:rsid w:val="001755FC"/>
    <w:rsid w:val="001758C4"/>
    <w:rsid w:val="00175D93"/>
    <w:rsid w:val="00176524"/>
    <w:rsid w:val="00176710"/>
    <w:rsid w:val="00176904"/>
    <w:rsid w:val="0017696A"/>
    <w:rsid w:val="00176FC0"/>
    <w:rsid w:val="0017701D"/>
    <w:rsid w:val="00177072"/>
    <w:rsid w:val="00177B2E"/>
    <w:rsid w:val="00177FE6"/>
    <w:rsid w:val="001808C7"/>
    <w:rsid w:val="00180F3F"/>
    <w:rsid w:val="001811EB"/>
    <w:rsid w:val="001815B4"/>
    <w:rsid w:val="0018188C"/>
    <w:rsid w:val="00181932"/>
    <w:rsid w:val="00181CB6"/>
    <w:rsid w:val="001820F2"/>
    <w:rsid w:val="00182681"/>
    <w:rsid w:val="0018276E"/>
    <w:rsid w:val="001828BB"/>
    <w:rsid w:val="00182DA7"/>
    <w:rsid w:val="00183394"/>
    <w:rsid w:val="00183D6D"/>
    <w:rsid w:val="001843D9"/>
    <w:rsid w:val="00184836"/>
    <w:rsid w:val="001848CF"/>
    <w:rsid w:val="00184BE3"/>
    <w:rsid w:val="00184C55"/>
    <w:rsid w:val="00184EA9"/>
    <w:rsid w:val="00184F7C"/>
    <w:rsid w:val="001854F9"/>
    <w:rsid w:val="001858F3"/>
    <w:rsid w:val="00185B52"/>
    <w:rsid w:val="00185BA4"/>
    <w:rsid w:val="00185BE3"/>
    <w:rsid w:val="00185D30"/>
    <w:rsid w:val="00185FB0"/>
    <w:rsid w:val="00186915"/>
    <w:rsid w:val="00186BB9"/>
    <w:rsid w:val="00186CD3"/>
    <w:rsid w:val="00186D01"/>
    <w:rsid w:val="00187398"/>
    <w:rsid w:val="0018758C"/>
    <w:rsid w:val="001879C6"/>
    <w:rsid w:val="00190072"/>
    <w:rsid w:val="00190189"/>
    <w:rsid w:val="00190597"/>
    <w:rsid w:val="00190627"/>
    <w:rsid w:val="001906B4"/>
    <w:rsid w:val="001906C1"/>
    <w:rsid w:val="00190C19"/>
    <w:rsid w:val="00190D65"/>
    <w:rsid w:val="00190EBD"/>
    <w:rsid w:val="00191449"/>
    <w:rsid w:val="00191617"/>
    <w:rsid w:val="00191F76"/>
    <w:rsid w:val="00192085"/>
    <w:rsid w:val="001924F2"/>
    <w:rsid w:val="001925BC"/>
    <w:rsid w:val="001926A5"/>
    <w:rsid w:val="0019292E"/>
    <w:rsid w:val="00192BA7"/>
    <w:rsid w:val="00192E72"/>
    <w:rsid w:val="00192FF6"/>
    <w:rsid w:val="001930D6"/>
    <w:rsid w:val="00193283"/>
    <w:rsid w:val="00193679"/>
    <w:rsid w:val="00193ADB"/>
    <w:rsid w:val="00193E74"/>
    <w:rsid w:val="00193FB3"/>
    <w:rsid w:val="0019411E"/>
    <w:rsid w:val="0019437F"/>
    <w:rsid w:val="0019446C"/>
    <w:rsid w:val="00194605"/>
    <w:rsid w:val="00194C42"/>
    <w:rsid w:val="00194FA8"/>
    <w:rsid w:val="00195716"/>
    <w:rsid w:val="00195791"/>
    <w:rsid w:val="00195B7E"/>
    <w:rsid w:val="001960DD"/>
    <w:rsid w:val="0019623E"/>
    <w:rsid w:val="001962DD"/>
    <w:rsid w:val="0019656F"/>
    <w:rsid w:val="00196A69"/>
    <w:rsid w:val="00196AA1"/>
    <w:rsid w:val="00196ABD"/>
    <w:rsid w:val="00196BA5"/>
    <w:rsid w:val="00196F72"/>
    <w:rsid w:val="00196F8A"/>
    <w:rsid w:val="001970A3"/>
    <w:rsid w:val="00197153"/>
    <w:rsid w:val="00197903"/>
    <w:rsid w:val="001979D3"/>
    <w:rsid w:val="001A009E"/>
    <w:rsid w:val="001A031D"/>
    <w:rsid w:val="001A032D"/>
    <w:rsid w:val="001A0449"/>
    <w:rsid w:val="001A0770"/>
    <w:rsid w:val="001A0E31"/>
    <w:rsid w:val="001A1605"/>
    <w:rsid w:val="001A1641"/>
    <w:rsid w:val="001A1693"/>
    <w:rsid w:val="001A1B5E"/>
    <w:rsid w:val="001A1BEA"/>
    <w:rsid w:val="001A2091"/>
    <w:rsid w:val="001A2466"/>
    <w:rsid w:val="001A2AF1"/>
    <w:rsid w:val="001A2E55"/>
    <w:rsid w:val="001A3331"/>
    <w:rsid w:val="001A33D6"/>
    <w:rsid w:val="001A33F7"/>
    <w:rsid w:val="001A3506"/>
    <w:rsid w:val="001A3C6C"/>
    <w:rsid w:val="001A420F"/>
    <w:rsid w:val="001A4549"/>
    <w:rsid w:val="001A464D"/>
    <w:rsid w:val="001A4C42"/>
    <w:rsid w:val="001A4CC8"/>
    <w:rsid w:val="001A5472"/>
    <w:rsid w:val="001A55BA"/>
    <w:rsid w:val="001A563A"/>
    <w:rsid w:val="001A5858"/>
    <w:rsid w:val="001A5BC8"/>
    <w:rsid w:val="001A5FE8"/>
    <w:rsid w:val="001A6560"/>
    <w:rsid w:val="001A6655"/>
    <w:rsid w:val="001A6912"/>
    <w:rsid w:val="001A6E07"/>
    <w:rsid w:val="001A729C"/>
    <w:rsid w:val="001A7697"/>
    <w:rsid w:val="001A779F"/>
    <w:rsid w:val="001B010E"/>
    <w:rsid w:val="001B0329"/>
    <w:rsid w:val="001B042B"/>
    <w:rsid w:val="001B055D"/>
    <w:rsid w:val="001B0A5A"/>
    <w:rsid w:val="001B0A71"/>
    <w:rsid w:val="001B0C79"/>
    <w:rsid w:val="001B0D00"/>
    <w:rsid w:val="001B0E3D"/>
    <w:rsid w:val="001B1A82"/>
    <w:rsid w:val="001B1FE9"/>
    <w:rsid w:val="001B27A3"/>
    <w:rsid w:val="001B2A0C"/>
    <w:rsid w:val="001B2AFB"/>
    <w:rsid w:val="001B2C6D"/>
    <w:rsid w:val="001B2DF9"/>
    <w:rsid w:val="001B2E3E"/>
    <w:rsid w:val="001B3256"/>
    <w:rsid w:val="001B334D"/>
    <w:rsid w:val="001B353B"/>
    <w:rsid w:val="001B362D"/>
    <w:rsid w:val="001B381A"/>
    <w:rsid w:val="001B38B5"/>
    <w:rsid w:val="001B39B5"/>
    <w:rsid w:val="001B3A27"/>
    <w:rsid w:val="001B3E49"/>
    <w:rsid w:val="001B46F5"/>
    <w:rsid w:val="001B4815"/>
    <w:rsid w:val="001B48C0"/>
    <w:rsid w:val="001B4973"/>
    <w:rsid w:val="001B49F3"/>
    <w:rsid w:val="001B4AD3"/>
    <w:rsid w:val="001B4FB2"/>
    <w:rsid w:val="001B50D5"/>
    <w:rsid w:val="001B5863"/>
    <w:rsid w:val="001B5932"/>
    <w:rsid w:val="001B5974"/>
    <w:rsid w:val="001B5B1B"/>
    <w:rsid w:val="001B5B83"/>
    <w:rsid w:val="001B5D9D"/>
    <w:rsid w:val="001B6D34"/>
    <w:rsid w:val="001B72A4"/>
    <w:rsid w:val="001B74B3"/>
    <w:rsid w:val="001B7E12"/>
    <w:rsid w:val="001B7E43"/>
    <w:rsid w:val="001B7F31"/>
    <w:rsid w:val="001C0BE1"/>
    <w:rsid w:val="001C0C01"/>
    <w:rsid w:val="001C0CE2"/>
    <w:rsid w:val="001C0F56"/>
    <w:rsid w:val="001C11F4"/>
    <w:rsid w:val="001C1420"/>
    <w:rsid w:val="001C14AD"/>
    <w:rsid w:val="001C179A"/>
    <w:rsid w:val="001C1985"/>
    <w:rsid w:val="001C1B7D"/>
    <w:rsid w:val="001C1CBD"/>
    <w:rsid w:val="001C1EF3"/>
    <w:rsid w:val="001C2534"/>
    <w:rsid w:val="001C26F0"/>
    <w:rsid w:val="001C273E"/>
    <w:rsid w:val="001C2B63"/>
    <w:rsid w:val="001C2FBB"/>
    <w:rsid w:val="001C3556"/>
    <w:rsid w:val="001C3951"/>
    <w:rsid w:val="001C39E9"/>
    <w:rsid w:val="001C3B95"/>
    <w:rsid w:val="001C3C26"/>
    <w:rsid w:val="001C4195"/>
    <w:rsid w:val="001C454B"/>
    <w:rsid w:val="001C47B3"/>
    <w:rsid w:val="001C4CEB"/>
    <w:rsid w:val="001C4F91"/>
    <w:rsid w:val="001C52CA"/>
    <w:rsid w:val="001C52EB"/>
    <w:rsid w:val="001C542B"/>
    <w:rsid w:val="001C54F0"/>
    <w:rsid w:val="001C56C0"/>
    <w:rsid w:val="001C578D"/>
    <w:rsid w:val="001C58D8"/>
    <w:rsid w:val="001C58F3"/>
    <w:rsid w:val="001C5F2E"/>
    <w:rsid w:val="001C62F9"/>
    <w:rsid w:val="001C683C"/>
    <w:rsid w:val="001C6A44"/>
    <w:rsid w:val="001C7329"/>
    <w:rsid w:val="001C733F"/>
    <w:rsid w:val="001C7607"/>
    <w:rsid w:val="001C7EAA"/>
    <w:rsid w:val="001C7FC5"/>
    <w:rsid w:val="001D01D3"/>
    <w:rsid w:val="001D02C5"/>
    <w:rsid w:val="001D0511"/>
    <w:rsid w:val="001D052E"/>
    <w:rsid w:val="001D0647"/>
    <w:rsid w:val="001D08DD"/>
    <w:rsid w:val="001D1390"/>
    <w:rsid w:val="001D14CB"/>
    <w:rsid w:val="001D1914"/>
    <w:rsid w:val="001D1CFD"/>
    <w:rsid w:val="001D1EAE"/>
    <w:rsid w:val="001D1ED3"/>
    <w:rsid w:val="001D25D2"/>
    <w:rsid w:val="001D264B"/>
    <w:rsid w:val="001D2874"/>
    <w:rsid w:val="001D29EF"/>
    <w:rsid w:val="001D2CE7"/>
    <w:rsid w:val="001D3425"/>
    <w:rsid w:val="001D3571"/>
    <w:rsid w:val="001D36D9"/>
    <w:rsid w:val="001D37EF"/>
    <w:rsid w:val="001D3847"/>
    <w:rsid w:val="001D3A6A"/>
    <w:rsid w:val="001D3B0D"/>
    <w:rsid w:val="001D3B42"/>
    <w:rsid w:val="001D42D0"/>
    <w:rsid w:val="001D4411"/>
    <w:rsid w:val="001D441E"/>
    <w:rsid w:val="001D4E0C"/>
    <w:rsid w:val="001D4E58"/>
    <w:rsid w:val="001D5458"/>
    <w:rsid w:val="001D54E3"/>
    <w:rsid w:val="001D56E2"/>
    <w:rsid w:val="001D5A9F"/>
    <w:rsid w:val="001D5BA4"/>
    <w:rsid w:val="001D5D85"/>
    <w:rsid w:val="001D600C"/>
    <w:rsid w:val="001D68CE"/>
    <w:rsid w:val="001D7157"/>
    <w:rsid w:val="001D74BB"/>
    <w:rsid w:val="001D765C"/>
    <w:rsid w:val="001D77B3"/>
    <w:rsid w:val="001D7902"/>
    <w:rsid w:val="001D7927"/>
    <w:rsid w:val="001D799E"/>
    <w:rsid w:val="001E050B"/>
    <w:rsid w:val="001E0885"/>
    <w:rsid w:val="001E0E2D"/>
    <w:rsid w:val="001E1142"/>
    <w:rsid w:val="001E11E9"/>
    <w:rsid w:val="001E129A"/>
    <w:rsid w:val="001E12F5"/>
    <w:rsid w:val="001E1409"/>
    <w:rsid w:val="001E15BE"/>
    <w:rsid w:val="001E15F3"/>
    <w:rsid w:val="001E1799"/>
    <w:rsid w:val="001E18A9"/>
    <w:rsid w:val="001E1A6B"/>
    <w:rsid w:val="001E1E55"/>
    <w:rsid w:val="001E2226"/>
    <w:rsid w:val="001E296B"/>
    <w:rsid w:val="001E2ECE"/>
    <w:rsid w:val="001E2F1E"/>
    <w:rsid w:val="001E3375"/>
    <w:rsid w:val="001E3557"/>
    <w:rsid w:val="001E3653"/>
    <w:rsid w:val="001E3879"/>
    <w:rsid w:val="001E3B55"/>
    <w:rsid w:val="001E3CEA"/>
    <w:rsid w:val="001E3FDE"/>
    <w:rsid w:val="001E48F9"/>
    <w:rsid w:val="001E49FC"/>
    <w:rsid w:val="001E4BDF"/>
    <w:rsid w:val="001E57A8"/>
    <w:rsid w:val="001E59F9"/>
    <w:rsid w:val="001E612D"/>
    <w:rsid w:val="001E63CD"/>
    <w:rsid w:val="001E677F"/>
    <w:rsid w:val="001E6A3C"/>
    <w:rsid w:val="001E6ABD"/>
    <w:rsid w:val="001E7A8F"/>
    <w:rsid w:val="001E7DF3"/>
    <w:rsid w:val="001E7E37"/>
    <w:rsid w:val="001F01E2"/>
    <w:rsid w:val="001F029F"/>
    <w:rsid w:val="001F02FC"/>
    <w:rsid w:val="001F0552"/>
    <w:rsid w:val="001F07EA"/>
    <w:rsid w:val="001F0AF9"/>
    <w:rsid w:val="001F0CDB"/>
    <w:rsid w:val="001F155E"/>
    <w:rsid w:val="001F15D5"/>
    <w:rsid w:val="001F1641"/>
    <w:rsid w:val="001F22D9"/>
    <w:rsid w:val="001F2972"/>
    <w:rsid w:val="001F2BE5"/>
    <w:rsid w:val="001F2CD9"/>
    <w:rsid w:val="001F2D41"/>
    <w:rsid w:val="001F2E59"/>
    <w:rsid w:val="001F3616"/>
    <w:rsid w:val="001F3C9B"/>
    <w:rsid w:val="001F42C3"/>
    <w:rsid w:val="001F472F"/>
    <w:rsid w:val="001F4CA3"/>
    <w:rsid w:val="001F4D7D"/>
    <w:rsid w:val="001F4E0E"/>
    <w:rsid w:val="001F4EE5"/>
    <w:rsid w:val="001F51A0"/>
    <w:rsid w:val="001F55E9"/>
    <w:rsid w:val="001F5717"/>
    <w:rsid w:val="001F57EC"/>
    <w:rsid w:val="001F5813"/>
    <w:rsid w:val="001F5CC6"/>
    <w:rsid w:val="001F5DC6"/>
    <w:rsid w:val="001F5E25"/>
    <w:rsid w:val="001F637E"/>
    <w:rsid w:val="001F6E23"/>
    <w:rsid w:val="001F721C"/>
    <w:rsid w:val="001F7749"/>
    <w:rsid w:val="001F7D72"/>
    <w:rsid w:val="001F7E94"/>
    <w:rsid w:val="002000B1"/>
    <w:rsid w:val="0020033D"/>
    <w:rsid w:val="00200479"/>
    <w:rsid w:val="00200546"/>
    <w:rsid w:val="002005F4"/>
    <w:rsid w:val="0020081C"/>
    <w:rsid w:val="00200F27"/>
    <w:rsid w:val="002013A8"/>
    <w:rsid w:val="002017D1"/>
    <w:rsid w:val="00201863"/>
    <w:rsid w:val="002018A2"/>
    <w:rsid w:val="00201A25"/>
    <w:rsid w:val="00201B8D"/>
    <w:rsid w:val="00202013"/>
    <w:rsid w:val="002027C9"/>
    <w:rsid w:val="00202BC3"/>
    <w:rsid w:val="002036AC"/>
    <w:rsid w:val="0020377A"/>
    <w:rsid w:val="0020381F"/>
    <w:rsid w:val="00203876"/>
    <w:rsid w:val="00203911"/>
    <w:rsid w:val="00203B5C"/>
    <w:rsid w:val="0020454A"/>
    <w:rsid w:val="0020462D"/>
    <w:rsid w:val="00204980"/>
    <w:rsid w:val="00205643"/>
    <w:rsid w:val="00205746"/>
    <w:rsid w:val="00205C63"/>
    <w:rsid w:val="00205D67"/>
    <w:rsid w:val="0020603A"/>
    <w:rsid w:val="002066CF"/>
    <w:rsid w:val="00206827"/>
    <w:rsid w:val="002072CF"/>
    <w:rsid w:val="00207493"/>
    <w:rsid w:val="002078E0"/>
    <w:rsid w:val="002079EA"/>
    <w:rsid w:val="00207B57"/>
    <w:rsid w:val="00207BAE"/>
    <w:rsid w:val="00207CD4"/>
    <w:rsid w:val="00210340"/>
    <w:rsid w:val="0021035D"/>
    <w:rsid w:val="0021038D"/>
    <w:rsid w:val="0021063D"/>
    <w:rsid w:val="002109C0"/>
    <w:rsid w:val="00211074"/>
    <w:rsid w:val="002111ED"/>
    <w:rsid w:val="00211765"/>
    <w:rsid w:val="00211AA4"/>
    <w:rsid w:val="00211ACC"/>
    <w:rsid w:val="00211C78"/>
    <w:rsid w:val="00211D69"/>
    <w:rsid w:val="00211D81"/>
    <w:rsid w:val="002123FC"/>
    <w:rsid w:val="002126D1"/>
    <w:rsid w:val="00212AAC"/>
    <w:rsid w:val="00212B94"/>
    <w:rsid w:val="00213128"/>
    <w:rsid w:val="00213251"/>
    <w:rsid w:val="002135E9"/>
    <w:rsid w:val="002136E7"/>
    <w:rsid w:val="002136F0"/>
    <w:rsid w:val="00213798"/>
    <w:rsid w:val="00213A16"/>
    <w:rsid w:val="00213BC2"/>
    <w:rsid w:val="00213D3F"/>
    <w:rsid w:val="00213E56"/>
    <w:rsid w:val="00213FA4"/>
    <w:rsid w:val="00214121"/>
    <w:rsid w:val="002141CF"/>
    <w:rsid w:val="0021456A"/>
    <w:rsid w:val="002145AF"/>
    <w:rsid w:val="00214858"/>
    <w:rsid w:val="00214CAB"/>
    <w:rsid w:val="00215097"/>
    <w:rsid w:val="002152E1"/>
    <w:rsid w:val="002156DB"/>
    <w:rsid w:val="0021583F"/>
    <w:rsid w:val="00215A86"/>
    <w:rsid w:val="00215C56"/>
    <w:rsid w:val="00216229"/>
    <w:rsid w:val="002167E8"/>
    <w:rsid w:val="00216BD2"/>
    <w:rsid w:val="00216E4B"/>
    <w:rsid w:val="00216F08"/>
    <w:rsid w:val="00216F74"/>
    <w:rsid w:val="0021730C"/>
    <w:rsid w:val="00217348"/>
    <w:rsid w:val="00217435"/>
    <w:rsid w:val="00217981"/>
    <w:rsid w:val="00217FAC"/>
    <w:rsid w:val="00220679"/>
    <w:rsid w:val="002206DB"/>
    <w:rsid w:val="0022087B"/>
    <w:rsid w:val="00220A16"/>
    <w:rsid w:val="00220AA9"/>
    <w:rsid w:val="00220AD3"/>
    <w:rsid w:val="00220FE7"/>
    <w:rsid w:val="00221091"/>
    <w:rsid w:val="00221484"/>
    <w:rsid w:val="002215EC"/>
    <w:rsid w:val="0022182D"/>
    <w:rsid w:val="002218A9"/>
    <w:rsid w:val="00221E46"/>
    <w:rsid w:val="00222349"/>
    <w:rsid w:val="00222358"/>
    <w:rsid w:val="002224DC"/>
    <w:rsid w:val="00222586"/>
    <w:rsid w:val="002225D5"/>
    <w:rsid w:val="002229C6"/>
    <w:rsid w:val="00222C0C"/>
    <w:rsid w:val="00222CCF"/>
    <w:rsid w:val="002230E8"/>
    <w:rsid w:val="00223247"/>
    <w:rsid w:val="00223835"/>
    <w:rsid w:val="002239F7"/>
    <w:rsid w:val="00223A23"/>
    <w:rsid w:val="00223CFF"/>
    <w:rsid w:val="002245A7"/>
    <w:rsid w:val="00224839"/>
    <w:rsid w:val="00224859"/>
    <w:rsid w:val="002249AA"/>
    <w:rsid w:val="00224A65"/>
    <w:rsid w:val="00224C3A"/>
    <w:rsid w:val="00224D76"/>
    <w:rsid w:val="00224FA6"/>
    <w:rsid w:val="0022522E"/>
    <w:rsid w:val="002252D2"/>
    <w:rsid w:val="00225471"/>
    <w:rsid w:val="00225782"/>
    <w:rsid w:val="00225944"/>
    <w:rsid w:val="00225A12"/>
    <w:rsid w:val="002260BB"/>
    <w:rsid w:val="002261B3"/>
    <w:rsid w:val="002266F8"/>
    <w:rsid w:val="00226A7C"/>
    <w:rsid w:val="00226AC0"/>
    <w:rsid w:val="00226C87"/>
    <w:rsid w:val="00226E24"/>
    <w:rsid w:val="00226E91"/>
    <w:rsid w:val="00226EE0"/>
    <w:rsid w:val="002276AF"/>
    <w:rsid w:val="00227A69"/>
    <w:rsid w:val="0023021B"/>
    <w:rsid w:val="002308D6"/>
    <w:rsid w:val="00231212"/>
    <w:rsid w:val="00231451"/>
    <w:rsid w:val="002316C4"/>
    <w:rsid w:val="002318B6"/>
    <w:rsid w:val="00231ABA"/>
    <w:rsid w:val="00231E5B"/>
    <w:rsid w:val="00231EB8"/>
    <w:rsid w:val="00232245"/>
    <w:rsid w:val="00232730"/>
    <w:rsid w:val="00232823"/>
    <w:rsid w:val="0023283D"/>
    <w:rsid w:val="00232B0D"/>
    <w:rsid w:val="00232FD5"/>
    <w:rsid w:val="0023301A"/>
    <w:rsid w:val="00233049"/>
    <w:rsid w:val="00233163"/>
    <w:rsid w:val="0023350C"/>
    <w:rsid w:val="0023368E"/>
    <w:rsid w:val="0023375E"/>
    <w:rsid w:val="002338B4"/>
    <w:rsid w:val="00233CEF"/>
    <w:rsid w:val="00233FD0"/>
    <w:rsid w:val="00234201"/>
    <w:rsid w:val="00234309"/>
    <w:rsid w:val="0023461B"/>
    <w:rsid w:val="0023483E"/>
    <w:rsid w:val="00234A78"/>
    <w:rsid w:val="00234D95"/>
    <w:rsid w:val="00234EFA"/>
    <w:rsid w:val="00235279"/>
    <w:rsid w:val="002352B0"/>
    <w:rsid w:val="002354E4"/>
    <w:rsid w:val="0023556B"/>
    <w:rsid w:val="00235815"/>
    <w:rsid w:val="00235939"/>
    <w:rsid w:val="00235CEA"/>
    <w:rsid w:val="0023626F"/>
    <w:rsid w:val="0023630E"/>
    <w:rsid w:val="00236537"/>
    <w:rsid w:val="00236936"/>
    <w:rsid w:val="002369A6"/>
    <w:rsid w:val="002374C8"/>
    <w:rsid w:val="0023758F"/>
    <w:rsid w:val="0023779A"/>
    <w:rsid w:val="002377C8"/>
    <w:rsid w:val="00237868"/>
    <w:rsid w:val="00237ABA"/>
    <w:rsid w:val="002401BD"/>
    <w:rsid w:val="00240493"/>
    <w:rsid w:val="0024097A"/>
    <w:rsid w:val="00240A11"/>
    <w:rsid w:val="00240CF0"/>
    <w:rsid w:val="00240FF4"/>
    <w:rsid w:val="0024102B"/>
    <w:rsid w:val="00241309"/>
    <w:rsid w:val="002415D1"/>
    <w:rsid w:val="002418A6"/>
    <w:rsid w:val="00241B18"/>
    <w:rsid w:val="00241CBC"/>
    <w:rsid w:val="00241FFF"/>
    <w:rsid w:val="002423C8"/>
    <w:rsid w:val="0024268D"/>
    <w:rsid w:val="00242841"/>
    <w:rsid w:val="002428E8"/>
    <w:rsid w:val="00242C8E"/>
    <w:rsid w:val="00242FF7"/>
    <w:rsid w:val="002432AA"/>
    <w:rsid w:val="00243935"/>
    <w:rsid w:val="00243942"/>
    <w:rsid w:val="00243EB0"/>
    <w:rsid w:val="00244095"/>
    <w:rsid w:val="00244237"/>
    <w:rsid w:val="0024454F"/>
    <w:rsid w:val="00244ABB"/>
    <w:rsid w:val="002453F0"/>
    <w:rsid w:val="0024554F"/>
    <w:rsid w:val="002459DB"/>
    <w:rsid w:val="00245C5C"/>
    <w:rsid w:val="0024639C"/>
    <w:rsid w:val="002463D5"/>
    <w:rsid w:val="002464E8"/>
    <w:rsid w:val="0024696A"/>
    <w:rsid w:val="00246BB4"/>
    <w:rsid w:val="00246BF1"/>
    <w:rsid w:val="0024710C"/>
    <w:rsid w:val="00247627"/>
    <w:rsid w:val="002478AA"/>
    <w:rsid w:val="00247AF7"/>
    <w:rsid w:val="00247C25"/>
    <w:rsid w:val="00247D56"/>
    <w:rsid w:val="00247F9C"/>
    <w:rsid w:val="002501EE"/>
    <w:rsid w:val="002502C8"/>
    <w:rsid w:val="00250D7C"/>
    <w:rsid w:val="0025133E"/>
    <w:rsid w:val="0025164A"/>
    <w:rsid w:val="0025244B"/>
    <w:rsid w:val="0025268E"/>
    <w:rsid w:val="00252944"/>
    <w:rsid w:val="00252ABB"/>
    <w:rsid w:val="00252F59"/>
    <w:rsid w:val="00253776"/>
    <w:rsid w:val="00253DBD"/>
    <w:rsid w:val="00253EC4"/>
    <w:rsid w:val="00254014"/>
    <w:rsid w:val="00254463"/>
    <w:rsid w:val="002544D4"/>
    <w:rsid w:val="0025472E"/>
    <w:rsid w:val="00254AF4"/>
    <w:rsid w:val="00254B68"/>
    <w:rsid w:val="00254B8F"/>
    <w:rsid w:val="00254C4E"/>
    <w:rsid w:val="00254D11"/>
    <w:rsid w:val="00255417"/>
    <w:rsid w:val="0025568A"/>
    <w:rsid w:val="0025579B"/>
    <w:rsid w:val="00255928"/>
    <w:rsid w:val="00255B0C"/>
    <w:rsid w:val="00255F96"/>
    <w:rsid w:val="0025671D"/>
    <w:rsid w:val="002567DC"/>
    <w:rsid w:val="00256838"/>
    <w:rsid w:val="00256B63"/>
    <w:rsid w:val="00256BCA"/>
    <w:rsid w:val="00256E76"/>
    <w:rsid w:val="00256F8B"/>
    <w:rsid w:val="002570AE"/>
    <w:rsid w:val="00257148"/>
    <w:rsid w:val="00257679"/>
    <w:rsid w:val="00257775"/>
    <w:rsid w:val="00257989"/>
    <w:rsid w:val="00257A20"/>
    <w:rsid w:val="00257A83"/>
    <w:rsid w:val="00257E91"/>
    <w:rsid w:val="00257F95"/>
    <w:rsid w:val="00260411"/>
    <w:rsid w:val="00260497"/>
    <w:rsid w:val="00260517"/>
    <w:rsid w:val="002609C3"/>
    <w:rsid w:val="002612BC"/>
    <w:rsid w:val="00261856"/>
    <w:rsid w:val="00261976"/>
    <w:rsid w:val="00261CF8"/>
    <w:rsid w:val="00261FA4"/>
    <w:rsid w:val="0026237E"/>
    <w:rsid w:val="00262684"/>
    <w:rsid w:val="00262698"/>
    <w:rsid w:val="0026273D"/>
    <w:rsid w:val="0026290D"/>
    <w:rsid w:val="00262A34"/>
    <w:rsid w:val="00262AFE"/>
    <w:rsid w:val="00262FED"/>
    <w:rsid w:val="00263236"/>
    <w:rsid w:val="00263D06"/>
    <w:rsid w:val="0026410E"/>
    <w:rsid w:val="002641A8"/>
    <w:rsid w:val="0026462C"/>
    <w:rsid w:val="00264693"/>
    <w:rsid w:val="00264888"/>
    <w:rsid w:val="0026489D"/>
    <w:rsid w:val="00264A2C"/>
    <w:rsid w:val="00264F2F"/>
    <w:rsid w:val="00264F95"/>
    <w:rsid w:val="00265833"/>
    <w:rsid w:val="002658E3"/>
    <w:rsid w:val="00265E13"/>
    <w:rsid w:val="0026619C"/>
    <w:rsid w:val="00266323"/>
    <w:rsid w:val="00266A6F"/>
    <w:rsid w:val="00266DA7"/>
    <w:rsid w:val="00267328"/>
    <w:rsid w:val="00267781"/>
    <w:rsid w:val="002679F0"/>
    <w:rsid w:val="00270009"/>
    <w:rsid w:val="002704FB"/>
    <w:rsid w:val="002705E5"/>
    <w:rsid w:val="0027071B"/>
    <w:rsid w:val="0027087B"/>
    <w:rsid w:val="002709CD"/>
    <w:rsid w:val="00270C83"/>
    <w:rsid w:val="00270CE5"/>
    <w:rsid w:val="00270E49"/>
    <w:rsid w:val="00270EAB"/>
    <w:rsid w:val="00270F63"/>
    <w:rsid w:val="00271170"/>
    <w:rsid w:val="00271503"/>
    <w:rsid w:val="002716A9"/>
    <w:rsid w:val="00271848"/>
    <w:rsid w:val="00271C2A"/>
    <w:rsid w:val="00271C39"/>
    <w:rsid w:val="00271D16"/>
    <w:rsid w:val="00272065"/>
    <w:rsid w:val="002720A0"/>
    <w:rsid w:val="002722B3"/>
    <w:rsid w:val="00272F45"/>
    <w:rsid w:val="002739D8"/>
    <w:rsid w:val="00273C4A"/>
    <w:rsid w:val="00273CED"/>
    <w:rsid w:val="00273F03"/>
    <w:rsid w:val="00274132"/>
    <w:rsid w:val="00274224"/>
    <w:rsid w:val="002743AD"/>
    <w:rsid w:val="00274510"/>
    <w:rsid w:val="00274963"/>
    <w:rsid w:val="002757C5"/>
    <w:rsid w:val="002757F1"/>
    <w:rsid w:val="00275A4E"/>
    <w:rsid w:val="00275DFA"/>
    <w:rsid w:val="00275F99"/>
    <w:rsid w:val="00275FC7"/>
    <w:rsid w:val="00276459"/>
    <w:rsid w:val="00276734"/>
    <w:rsid w:val="00276842"/>
    <w:rsid w:val="002768A8"/>
    <w:rsid w:val="002768E9"/>
    <w:rsid w:val="00276D01"/>
    <w:rsid w:val="00277614"/>
    <w:rsid w:val="0027762B"/>
    <w:rsid w:val="00277791"/>
    <w:rsid w:val="00277A95"/>
    <w:rsid w:val="00280556"/>
    <w:rsid w:val="0028088A"/>
    <w:rsid w:val="00280F6C"/>
    <w:rsid w:val="00281188"/>
    <w:rsid w:val="002817CE"/>
    <w:rsid w:val="00281A77"/>
    <w:rsid w:val="00281EC3"/>
    <w:rsid w:val="0028256A"/>
    <w:rsid w:val="002825A8"/>
    <w:rsid w:val="00282621"/>
    <w:rsid w:val="00282A30"/>
    <w:rsid w:val="002836C7"/>
    <w:rsid w:val="00283AA6"/>
    <w:rsid w:val="00283B8E"/>
    <w:rsid w:val="00283C8A"/>
    <w:rsid w:val="00283D03"/>
    <w:rsid w:val="00283E34"/>
    <w:rsid w:val="002841AC"/>
    <w:rsid w:val="0028432C"/>
    <w:rsid w:val="00284466"/>
    <w:rsid w:val="002848EB"/>
    <w:rsid w:val="00284AC0"/>
    <w:rsid w:val="00284E46"/>
    <w:rsid w:val="0028550B"/>
    <w:rsid w:val="002857D7"/>
    <w:rsid w:val="002857E2"/>
    <w:rsid w:val="00285D9B"/>
    <w:rsid w:val="00285DF2"/>
    <w:rsid w:val="0028619C"/>
    <w:rsid w:val="00286790"/>
    <w:rsid w:val="00286A02"/>
    <w:rsid w:val="00286B86"/>
    <w:rsid w:val="002870A9"/>
    <w:rsid w:val="002874DA"/>
    <w:rsid w:val="00287613"/>
    <w:rsid w:val="002877CE"/>
    <w:rsid w:val="002879B8"/>
    <w:rsid w:val="00287C5C"/>
    <w:rsid w:val="0029032A"/>
    <w:rsid w:val="002903D2"/>
    <w:rsid w:val="00290504"/>
    <w:rsid w:val="00290691"/>
    <w:rsid w:val="002908EC"/>
    <w:rsid w:val="00290A22"/>
    <w:rsid w:val="00290ABD"/>
    <w:rsid w:val="00290BCA"/>
    <w:rsid w:val="00290BE5"/>
    <w:rsid w:val="00290C7F"/>
    <w:rsid w:val="00290F25"/>
    <w:rsid w:val="0029121E"/>
    <w:rsid w:val="00291224"/>
    <w:rsid w:val="002916DC"/>
    <w:rsid w:val="002917E0"/>
    <w:rsid w:val="002919A2"/>
    <w:rsid w:val="00291D85"/>
    <w:rsid w:val="00292783"/>
    <w:rsid w:val="00292B32"/>
    <w:rsid w:val="00292DAB"/>
    <w:rsid w:val="00292DF1"/>
    <w:rsid w:val="00292E33"/>
    <w:rsid w:val="00292F66"/>
    <w:rsid w:val="00293E05"/>
    <w:rsid w:val="0029402E"/>
    <w:rsid w:val="002940C7"/>
    <w:rsid w:val="0029481B"/>
    <w:rsid w:val="00294E85"/>
    <w:rsid w:val="002950A3"/>
    <w:rsid w:val="002952E3"/>
    <w:rsid w:val="00295637"/>
    <w:rsid w:val="00295E6B"/>
    <w:rsid w:val="00296000"/>
    <w:rsid w:val="002960D2"/>
    <w:rsid w:val="0029652C"/>
    <w:rsid w:val="00296A7B"/>
    <w:rsid w:val="00296C1A"/>
    <w:rsid w:val="00297301"/>
    <w:rsid w:val="0029731A"/>
    <w:rsid w:val="00297448"/>
    <w:rsid w:val="002974BA"/>
    <w:rsid w:val="0029755E"/>
    <w:rsid w:val="00297A0F"/>
    <w:rsid w:val="00297B05"/>
    <w:rsid w:val="00297DEF"/>
    <w:rsid w:val="002A052E"/>
    <w:rsid w:val="002A0768"/>
    <w:rsid w:val="002A0A79"/>
    <w:rsid w:val="002A0B4A"/>
    <w:rsid w:val="002A0CE1"/>
    <w:rsid w:val="002A0D67"/>
    <w:rsid w:val="002A10AE"/>
    <w:rsid w:val="002A1376"/>
    <w:rsid w:val="002A189F"/>
    <w:rsid w:val="002A1EE5"/>
    <w:rsid w:val="002A20FD"/>
    <w:rsid w:val="002A291B"/>
    <w:rsid w:val="002A2A80"/>
    <w:rsid w:val="002A2AAA"/>
    <w:rsid w:val="002A2DA7"/>
    <w:rsid w:val="002A3100"/>
    <w:rsid w:val="002A32CA"/>
    <w:rsid w:val="002A34C1"/>
    <w:rsid w:val="002A3538"/>
    <w:rsid w:val="002A36CF"/>
    <w:rsid w:val="002A3750"/>
    <w:rsid w:val="002A3CC2"/>
    <w:rsid w:val="002A3D4C"/>
    <w:rsid w:val="002A3DAA"/>
    <w:rsid w:val="002A3DBB"/>
    <w:rsid w:val="002A3F18"/>
    <w:rsid w:val="002A3FCD"/>
    <w:rsid w:val="002A458B"/>
    <w:rsid w:val="002A4676"/>
    <w:rsid w:val="002A49BC"/>
    <w:rsid w:val="002A5124"/>
    <w:rsid w:val="002A516D"/>
    <w:rsid w:val="002A5665"/>
    <w:rsid w:val="002A5AB0"/>
    <w:rsid w:val="002A5C43"/>
    <w:rsid w:val="002A5DD2"/>
    <w:rsid w:val="002A5E31"/>
    <w:rsid w:val="002A5FF5"/>
    <w:rsid w:val="002A5FFD"/>
    <w:rsid w:val="002A60CC"/>
    <w:rsid w:val="002A62A8"/>
    <w:rsid w:val="002A65B3"/>
    <w:rsid w:val="002A6660"/>
    <w:rsid w:val="002A7199"/>
    <w:rsid w:val="002A71E1"/>
    <w:rsid w:val="002A729E"/>
    <w:rsid w:val="002A76A0"/>
    <w:rsid w:val="002A7736"/>
    <w:rsid w:val="002A7CD2"/>
    <w:rsid w:val="002A7FB5"/>
    <w:rsid w:val="002B00F9"/>
    <w:rsid w:val="002B0561"/>
    <w:rsid w:val="002B07E5"/>
    <w:rsid w:val="002B09E9"/>
    <w:rsid w:val="002B0C08"/>
    <w:rsid w:val="002B0C39"/>
    <w:rsid w:val="002B0D9A"/>
    <w:rsid w:val="002B0E5E"/>
    <w:rsid w:val="002B0F6F"/>
    <w:rsid w:val="002B1300"/>
    <w:rsid w:val="002B1605"/>
    <w:rsid w:val="002B1653"/>
    <w:rsid w:val="002B2176"/>
    <w:rsid w:val="002B262D"/>
    <w:rsid w:val="002B29CC"/>
    <w:rsid w:val="002B34EB"/>
    <w:rsid w:val="002B35F2"/>
    <w:rsid w:val="002B36D2"/>
    <w:rsid w:val="002B3A65"/>
    <w:rsid w:val="002B3BD1"/>
    <w:rsid w:val="002B3E83"/>
    <w:rsid w:val="002B47C7"/>
    <w:rsid w:val="002B506C"/>
    <w:rsid w:val="002B5504"/>
    <w:rsid w:val="002B5539"/>
    <w:rsid w:val="002B5546"/>
    <w:rsid w:val="002B55BA"/>
    <w:rsid w:val="002B56E1"/>
    <w:rsid w:val="002B5BD8"/>
    <w:rsid w:val="002B5DA0"/>
    <w:rsid w:val="002B5EA8"/>
    <w:rsid w:val="002B5F53"/>
    <w:rsid w:val="002B6056"/>
    <w:rsid w:val="002B60E0"/>
    <w:rsid w:val="002B6125"/>
    <w:rsid w:val="002B613D"/>
    <w:rsid w:val="002B63BD"/>
    <w:rsid w:val="002B6491"/>
    <w:rsid w:val="002B6950"/>
    <w:rsid w:val="002B6E45"/>
    <w:rsid w:val="002B7197"/>
    <w:rsid w:val="002B754E"/>
    <w:rsid w:val="002B75F7"/>
    <w:rsid w:val="002B7682"/>
    <w:rsid w:val="002B7728"/>
    <w:rsid w:val="002B780B"/>
    <w:rsid w:val="002B7891"/>
    <w:rsid w:val="002B7A3F"/>
    <w:rsid w:val="002B7BDF"/>
    <w:rsid w:val="002B7DB4"/>
    <w:rsid w:val="002C07BF"/>
    <w:rsid w:val="002C0F41"/>
    <w:rsid w:val="002C11B0"/>
    <w:rsid w:val="002C14B4"/>
    <w:rsid w:val="002C19AA"/>
    <w:rsid w:val="002C1D33"/>
    <w:rsid w:val="002C1DC3"/>
    <w:rsid w:val="002C264A"/>
    <w:rsid w:val="002C272E"/>
    <w:rsid w:val="002C2AE5"/>
    <w:rsid w:val="002C2D69"/>
    <w:rsid w:val="002C2DC0"/>
    <w:rsid w:val="002C2F25"/>
    <w:rsid w:val="002C307C"/>
    <w:rsid w:val="002C355C"/>
    <w:rsid w:val="002C36FC"/>
    <w:rsid w:val="002C37FA"/>
    <w:rsid w:val="002C3A75"/>
    <w:rsid w:val="002C3B72"/>
    <w:rsid w:val="002C3F7F"/>
    <w:rsid w:val="002C4E93"/>
    <w:rsid w:val="002C50C6"/>
    <w:rsid w:val="002C5218"/>
    <w:rsid w:val="002C546C"/>
    <w:rsid w:val="002C5633"/>
    <w:rsid w:val="002C5668"/>
    <w:rsid w:val="002C5766"/>
    <w:rsid w:val="002C57E5"/>
    <w:rsid w:val="002C5852"/>
    <w:rsid w:val="002C59A6"/>
    <w:rsid w:val="002C6077"/>
    <w:rsid w:val="002C68A0"/>
    <w:rsid w:val="002C69E3"/>
    <w:rsid w:val="002C6C98"/>
    <w:rsid w:val="002C6F79"/>
    <w:rsid w:val="002C70D0"/>
    <w:rsid w:val="002C7704"/>
    <w:rsid w:val="002C79A6"/>
    <w:rsid w:val="002C7F13"/>
    <w:rsid w:val="002D0213"/>
    <w:rsid w:val="002D1528"/>
    <w:rsid w:val="002D1D29"/>
    <w:rsid w:val="002D1DD1"/>
    <w:rsid w:val="002D206A"/>
    <w:rsid w:val="002D2987"/>
    <w:rsid w:val="002D2A01"/>
    <w:rsid w:val="002D2C8C"/>
    <w:rsid w:val="002D311B"/>
    <w:rsid w:val="002D358E"/>
    <w:rsid w:val="002D3763"/>
    <w:rsid w:val="002D39B4"/>
    <w:rsid w:val="002D3BF6"/>
    <w:rsid w:val="002D3C04"/>
    <w:rsid w:val="002D42A1"/>
    <w:rsid w:val="002D457D"/>
    <w:rsid w:val="002D45A3"/>
    <w:rsid w:val="002D4620"/>
    <w:rsid w:val="002D462D"/>
    <w:rsid w:val="002D47A6"/>
    <w:rsid w:val="002D4E56"/>
    <w:rsid w:val="002D5061"/>
    <w:rsid w:val="002D54A7"/>
    <w:rsid w:val="002D5689"/>
    <w:rsid w:val="002D595A"/>
    <w:rsid w:val="002D5975"/>
    <w:rsid w:val="002D5D13"/>
    <w:rsid w:val="002D6211"/>
    <w:rsid w:val="002D65B3"/>
    <w:rsid w:val="002D6AF4"/>
    <w:rsid w:val="002D6C50"/>
    <w:rsid w:val="002D6D26"/>
    <w:rsid w:val="002D72C3"/>
    <w:rsid w:val="002D7735"/>
    <w:rsid w:val="002D7753"/>
    <w:rsid w:val="002D77D7"/>
    <w:rsid w:val="002D7969"/>
    <w:rsid w:val="002D7D6B"/>
    <w:rsid w:val="002D7E01"/>
    <w:rsid w:val="002D7E6D"/>
    <w:rsid w:val="002D7F17"/>
    <w:rsid w:val="002D7F83"/>
    <w:rsid w:val="002E0426"/>
    <w:rsid w:val="002E054B"/>
    <w:rsid w:val="002E0D70"/>
    <w:rsid w:val="002E0EA1"/>
    <w:rsid w:val="002E0F88"/>
    <w:rsid w:val="002E0FE8"/>
    <w:rsid w:val="002E0FEF"/>
    <w:rsid w:val="002E2247"/>
    <w:rsid w:val="002E2503"/>
    <w:rsid w:val="002E26E3"/>
    <w:rsid w:val="002E2B80"/>
    <w:rsid w:val="002E2C16"/>
    <w:rsid w:val="002E2E90"/>
    <w:rsid w:val="002E2EE2"/>
    <w:rsid w:val="002E2FE4"/>
    <w:rsid w:val="002E33E8"/>
    <w:rsid w:val="002E3917"/>
    <w:rsid w:val="002E3A54"/>
    <w:rsid w:val="002E3AF0"/>
    <w:rsid w:val="002E3BEA"/>
    <w:rsid w:val="002E3E9C"/>
    <w:rsid w:val="002E3FFD"/>
    <w:rsid w:val="002E41AF"/>
    <w:rsid w:val="002E44B1"/>
    <w:rsid w:val="002E4608"/>
    <w:rsid w:val="002E4BFF"/>
    <w:rsid w:val="002E4C05"/>
    <w:rsid w:val="002E4E8A"/>
    <w:rsid w:val="002E505C"/>
    <w:rsid w:val="002E527F"/>
    <w:rsid w:val="002E53DB"/>
    <w:rsid w:val="002E55A6"/>
    <w:rsid w:val="002E5687"/>
    <w:rsid w:val="002E57FA"/>
    <w:rsid w:val="002E5ABE"/>
    <w:rsid w:val="002E5AEE"/>
    <w:rsid w:val="002E5D42"/>
    <w:rsid w:val="002E5FB5"/>
    <w:rsid w:val="002E616F"/>
    <w:rsid w:val="002E62D1"/>
    <w:rsid w:val="002E636A"/>
    <w:rsid w:val="002E6727"/>
    <w:rsid w:val="002E69CF"/>
    <w:rsid w:val="002E7184"/>
    <w:rsid w:val="002E7191"/>
    <w:rsid w:val="002E71FD"/>
    <w:rsid w:val="002E73A2"/>
    <w:rsid w:val="002E74DA"/>
    <w:rsid w:val="002E764E"/>
    <w:rsid w:val="002E77A9"/>
    <w:rsid w:val="002E798C"/>
    <w:rsid w:val="002E799B"/>
    <w:rsid w:val="002E7AC0"/>
    <w:rsid w:val="002E7B67"/>
    <w:rsid w:val="002E7E7A"/>
    <w:rsid w:val="002F0612"/>
    <w:rsid w:val="002F0629"/>
    <w:rsid w:val="002F08DF"/>
    <w:rsid w:val="002F0B3C"/>
    <w:rsid w:val="002F113A"/>
    <w:rsid w:val="002F130F"/>
    <w:rsid w:val="002F1A50"/>
    <w:rsid w:val="002F1E0D"/>
    <w:rsid w:val="002F1F16"/>
    <w:rsid w:val="002F23E2"/>
    <w:rsid w:val="002F2775"/>
    <w:rsid w:val="002F2931"/>
    <w:rsid w:val="002F2A7A"/>
    <w:rsid w:val="002F2F03"/>
    <w:rsid w:val="002F33A7"/>
    <w:rsid w:val="002F34B3"/>
    <w:rsid w:val="002F3739"/>
    <w:rsid w:val="002F3EA0"/>
    <w:rsid w:val="002F4493"/>
    <w:rsid w:val="002F4D18"/>
    <w:rsid w:val="002F524D"/>
    <w:rsid w:val="002F5260"/>
    <w:rsid w:val="002F52A9"/>
    <w:rsid w:val="002F52AF"/>
    <w:rsid w:val="002F52FE"/>
    <w:rsid w:val="002F5A26"/>
    <w:rsid w:val="002F5B05"/>
    <w:rsid w:val="002F5E71"/>
    <w:rsid w:val="002F5F42"/>
    <w:rsid w:val="002F618C"/>
    <w:rsid w:val="002F63E7"/>
    <w:rsid w:val="002F6B64"/>
    <w:rsid w:val="002F6FD2"/>
    <w:rsid w:val="002F749B"/>
    <w:rsid w:val="002F7622"/>
    <w:rsid w:val="002F7936"/>
    <w:rsid w:val="002F7997"/>
    <w:rsid w:val="002F7ADF"/>
    <w:rsid w:val="003009E5"/>
    <w:rsid w:val="00300CD5"/>
    <w:rsid w:val="0030108A"/>
    <w:rsid w:val="00301161"/>
    <w:rsid w:val="003012B3"/>
    <w:rsid w:val="0030148A"/>
    <w:rsid w:val="00301870"/>
    <w:rsid w:val="00301A9F"/>
    <w:rsid w:val="00301BBA"/>
    <w:rsid w:val="00301D68"/>
    <w:rsid w:val="00302297"/>
    <w:rsid w:val="00302448"/>
    <w:rsid w:val="003024A2"/>
    <w:rsid w:val="00302A19"/>
    <w:rsid w:val="00302AC3"/>
    <w:rsid w:val="00302ACE"/>
    <w:rsid w:val="00302B9F"/>
    <w:rsid w:val="00302EF0"/>
    <w:rsid w:val="00303186"/>
    <w:rsid w:val="003031DA"/>
    <w:rsid w:val="003033D7"/>
    <w:rsid w:val="00303475"/>
    <w:rsid w:val="0030364F"/>
    <w:rsid w:val="00303F46"/>
    <w:rsid w:val="00304552"/>
    <w:rsid w:val="003047FD"/>
    <w:rsid w:val="00304EF0"/>
    <w:rsid w:val="003054E9"/>
    <w:rsid w:val="003056F4"/>
    <w:rsid w:val="003058D1"/>
    <w:rsid w:val="00305D3C"/>
    <w:rsid w:val="003060F1"/>
    <w:rsid w:val="00306216"/>
    <w:rsid w:val="003062E6"/>
    <w:rsid w:val="003063EE"/>
    <w:rsid w:val="00306A45"/>
    <w:rsid w:val="00306B15"/>
    <w:rsid w:val="003074BB"/>
    <w:rsid w:val="003075F9"/>
    <w:rsid w:val="003078AF"/>
    <w:rsid w:val="00310098"/>
    <w:rsid w:val="003102B3"/>
    <w:rsid w:val="00310437"/>
    <w:rsid w:val="003105FB"/>
    <w:rsid w:val="00310E15"/>
    <w:rsid w:val="00310E4B"/>
    <w:rsid w:val="00310F45"/>
    <w:rsid w:val="00311029"/>
    <w:rsid w:val="00311196"/>
    <w:rsid w:val="00311348"/>
    <w:rsid w:val="00311459"/>
    <w:rsid w:val="003114B7"/>
    <w:rsid w:val="00311C61"/>
    <w:rsid w:val="00311EEB"/>
    <w:rsid w:val="00311FCF"/>
    <w:rsid w:val="00312115"/>
    <w:rsid w:val="00312322"/>
    <w:rsid w:val="00312651"/>
    <w:rsid w:val="00312BD9"/>
    <w:rsid w:val="00312D48"/>
    <w:rsid w:val="003134B9"/>
    <w:rsid w:val="00313593"/>
    <w:rsid w:val="00313634"/>
    <w:rsid w:val="00313B02"/>
    <w:rsid w:val="00314339"/>
    <w:rsid w:val="00314662"/>
    <w:rsid w:val="003146A3"/>
    <w:rsid w:val="003148B0"/>
    <w:rsid w:val="003148DF"/>
    <w:rsid w:val="0031496A"/>
    <w:rsid w:val="00314A64"/>
    <w:rsid w:val="003155BB"/>
    <w:rsid w:val="003159CC"/>
    <w:rsid w:val="00315E21"/>
    <w:rsid w:val="00316170"/>
    <w:rsid w:val="003162B2"/>
    <w:rsid w:val="00316629"/>
    <w:rsid w:val="003167C1"/>
    <w:rsid w:val="0031693B"/>
    <w:rsid w:val="00316B92"/>
    <w:rsid w:val="00316BC9"/>
    <w:rsid w:val="00316DB7"/>
    <w:rsid w:val="00316E4E"/>
    <w:rsid w:val="003175A9"/>
    <w:rsid w:val="00317786"/>
    <w:rsid w:val="003177EC"/>
    <w:rsid w:val="003206D0"/>
    <w:rsid w:val="00320E6B"/>
    <w:rsid w:val="00321287"/>
    <w:rsid w:val="00321337"/>
    <w:rsid w:val="0032173A"/>
    <w:rsid w:val="00321A08"/>
    <w:rsid w:val="00321DCF"/>
    <w:rsid w:val="00321F55"/>
    <w:rsid w:val="00322243"/>
    <w:rsid w:val="00322317"/>
    <w:rsid w:val="003227BF"/>
    <w:rsid w:val="00322A11"/>
    <w:rsid w:val="00322BA0"/>
    <w:rsid w:val="00322E77"/>
    <w:rsid w:val="00322F05"/>
    <w:rsid w:val="003233D6"/>
    <w:rsid w:val="003233E6"/>
    <w:rsid w:val="00323452"/>
    <w:rsid w:val="0032377E"/>
    <w:rsid w:val="003239E5"/>
    <w:rsid w:val="00323AF2"/>
    <w:rsid w:val="00323B13"/>
    <w:rsid w:val="003241FA"/>
    <w:rsid w:val="003242DE"/>
    <w:rsid w:val="003245C7"/>
    <w:rsid w:val="003246E0"/>
    <w:rsid w:val="0032482B"/>
    <w:rsid w:val="00324F79"/>
    <w:rsid w:val="00324FB3"/>
    <w:rsid w:val="003254A5"/>
    <w:rsid w:val="00325739"/>
    <w:rsid w:val="00325799"/>
    <w:rsid w:val="003257DC"/>
    <w:rsid w:val="003259EE"/>
    <w:rsid w:val="00325DC4"/>
    <w:rsid w:val="00325FB5"/>
    <w:rsid w:val="00326479"/>
    <w:rsid w:val="00326676"/>
    <w:rsid w:val="00326844"/>
    <w:rsid w:val="0032687B"/>
    <w:rsid w:val="003268DE"/>
    <w:rsid w:val="00326B76"/>
    <w:rsid w:val="00326DCB"/>
    <w:rsid w:val="00327217"/>
    <w:rsid w:val="00327226"/>
    <w:rsid w:val="00327401"/>
    <w:rsid w:val="003276CC"/>
    <w:rsid w:val="0032795B"/>
    <w:rsid w:val="0033006B"/>
    <w:rsid w:val="00330326"/>
    <w:rsid w:val="00330A12"/>
    <w:rsid w:val="00330EAE"/>
    <w:rsid w:val="0033170D"/>
    <w:rsid w:val="003321D7"/>
    <w:rsid w:val="00332545"/>
    <w:rsid w:val="00332683"/>
    <w:rsid w:val="003327B9"/>
    <w:rsid w:val="003327CA"/>
    <w:rsid w:val="00332809"/>
    <w:rsid w:val="003328AF"/>
    <w:rsid w:val="0033295A"/>
    <w:rsid w:val="00332BFB"/>
    <w:rsid w:val="00332C27"/>
    <w:rsid w:val="00333077"/>
    <w:rsid w:val="0033316C"/>
    <w:rsid w:val="003342E7"/>
    <w:rsid w:val="0033430F"/>
    <w:rsid w:val="003346EB"/>
    <w:rsid w:val="003347A4"/>
    <w:rsid w:val="00334985"/>
    <w:rsid w:val="00334A11"/>
    <w:rsid w:val="00334BD7"/>
    <w:rsid w:val="00334BED"/>
    <w:rsid w:val="00335065"/>
    <w:rsid w:val="00335375"/>
    <w:rsid w:val="0033547E"/>
    <w:rsid w:val="00335544"/>
    <w:rsid w:val="003355E4"/>
    <w:rsid w:val="00335640"/>
    <w:rsid w:val="00335750"/>
    <w:rsid w:val="00335933"/>
    <w:rsid w:val="00335D94"/>
    <w:rsid w:val="00335E34"/>
    <w:rsid w:val="003360F6"/>
    <w:rsid w:val="00336638"/>
    <w:rsid w:val="00336A48"/>
    <w:rsid w:val="00336C6A"/>
    <w:rsid w:val="003370E4"/>
    <w:rsid w:val="00337243"/>
    <w:rsid w:val="0033752D"/>
    <w:rsid w:val="00337595"/>
    <w:rsid w:val="00337A13"/>
    <w:rsid w:val="00337C36"/>
    <w:rsid w:val="0034001C"/>
    <w:rsid w:val="0034008C"/>
    <w:rsid w:val="003406FE"/>
    <w:rsid w:val="003409C5"/>
    <w:rsid w:val="00340A0A"/>
    <w:rsid w:val="00340AB5"/>
    <w:rsid w:val="00340AE0"/>
    <w:rsid w:val="00340C1B"/>
    <w:rsid w:val="00340EBD"/>
    <w:rsid w:val="00341072"/>
    <w:rsid w:val="00341333"/>
    <w:rsid w:val="0034145A"/>
    <w:rsid w:val="00341831"/>
    <w:rsid w:val="00342137"/>
    <w:rsid w:val="003426ED"/>
    <w:rsid w:val="003428A9"/>
    <w:rsid w:val="00342926"/>
    <w:rsid w:val="00342A06"/>
    <w:rsid w:val="00342B7D"/>
    <w:rsid w:val="00342F79"/>
    <w:rsid w:val="003432BB"/>
    <w:rsid w:val="0034341B"/>
    <w:rsid w:val="00343752"/>
    <w:rsid w:val="003437BD"/>
    <w:rsid w:val="00343886"/>
    <w:rsid w:val="00343957"/>
    <w:rsid w:val="00343D32"/>
    <w:rsid w:val="00343D67"/>
    <w:rsid w:val="0034416F"/>
    <w:rsid w:val="003444F1"/>
    <w:rsid w:val="003448A0"/>
    <w:rsid w:val="00344E38"/>
    <w:rsid w:val="003453C9"/>
    <w:rsid w:val="00345623"/>
    <w:rsid w:val="0034579B"/>
    <w:rsid w:val="00345882"/>
    <w:rsid w:val="003459BA"/>
    <w:rsid w:val="00345BA3"/>
    <w:rsid w:val="00345E8B"/>
    <w:rsid w:val="00346074"/>
    <w:rsid w:val="0034611A"/>
    <w:rsid w:val="00346257"/>
    <w:rsid w:val="00346C0B"/>
    <w:rsid w:val="00346C30"/>
    <w:rsid w:val="00346CA5"/>
    <w:rsid w:val="00346E8F"/>
    <w:rsid w:val="003477DC"/>
    <w:rsid w:val="003478CF"/>
    <w:rsid w:val="003478F2"/>
    <w:rsid w:val="00347954"/>
    <w:rsid w:val="00347F5A"/>
    <w:rsid w:val="00350176"/>
    <w:rsid w:val="003508DF"/>
    <w:rsid w:val="003509BC"/>
    <w:rsid w:val="003509D1"/>
    <w:rsid w:val="00350BD6"/>
    <w:rsid w:val="00350E98"/>
    <w:rsid w:val="00350FC8"/>
    <w:rsid w:val="003511AE"/>
    <w:rsid w:val="003515AB"/>
    <w:rsid w:val="0035174B"/>
    <w:rsid w:val="00351CCD"/>
    <w:rsid w:val="00351DB5"/>
    <w:rsid w:val="00351F65"/>
    <w:rsid w:val="003520AD"/>
    <w:rsid w:val="00352188"/>
    <w:rsid w:val="003521F0"/>
    <w:rsid w:val="00352326"/>
    <w:rsid w:val="003526B1"/>
    <w:rsid w:val="00352749"/>
    <w:rsid w:val="0035277E"/>
    <w:rsid w:val="00352848"/>
    <w:rsid w:val="00352A3F"/>
    <w:rsid w:val="00352A84"/>
    <w:rsid w:val="00352D94"/>
    <w:rsid w:val="00352FBA"/>
    <w:rsid w:val="00352FE7"/>
    <w:rsid w:val="0035330A"/>
    <w:rsid w:val="003536C4"/>
    <w:rsid w:val="0035388D"/>
    <w:rsid w:val="00353F1D"/>
    <w:rsid w:val="00354179"/>
    <w:rsid w:val="003547AA"/>
    <w:rsid w:val="00354CEE"/>
    <w:rsid w:val="00354F3E"/>
    <w:rsid w:val="00355268"/>
    <w:rsid w:val="00355362"/>
    <w:rsid w:val="0035566E"/>
    <w:rsid w:val="00355777"/>
    <w:rsid w:val="00355D00"/>
    <w:rsid w:val="00355D09"/>
    <w:rsid w:val="00356704"/>
    <w:rsid w:val="00356733"/>
    <w:rsid w:val="00356B71"/>
    <w:rsid w:val="00356E44"/>
    <w:rsid w:val="0035752C"/>
    <w:rsid w:val="003577C9"/>
    <w:rsid w:val="003578B0"/>
    <w:rsid w:val="003600BA"/>
    <w:rsid w:val="00360288"/>
    <w:rsid w:val="003602A8"/>
    <w:rsid w:val="003608E7"/>
    <w:rsid w:val="00360A5B"/>
    <w:rsid w:val="00360AA1"/>
    <w:rsid w:val="0036114E"/>
    <w:rsid w:val="00361538"/>
    <w:rsid w:val="00361565"/>
    <w:rsid w:val="00361634"/>
    <w:rsid w:val="00361C37"/>
    <w:rsid w:val="00361C8C"/>
    <w:rsid w:val="00362085"/>
    <w:rsid w:val="003622E9"/>
    <w:rsid w:val="00362348"/>
    <w:rsid w:val="003624BB"/>
    <w:rsid w:val="00362678"/>
    <w:rsid w:val="00362AC1"/>
    <w:rsid w:val="00363294"/>
    <w:rsid w:val="003632F1"/>
    <w:rsid w:val="0036434D"/>
    <w:rsid w:val="003645E8"/>
    <w:rsid w:val="003648A0"/>
    <w:rsid w:val="00364C2C"/>
    <w:rsid w:val="00364DD4"/>
    <w:rsid w:val="00364E6F"/>
    <w:rsid w:val="0036500A"/>
    <w:rsid w:val="00365426"/>
    <w:rsid w:val="003657A2"/>
    <w:rsid w:val="00365E5F"/>
    <w:rsid w:val="00366BE5"/>
    <w:rsid w:val="00366F33"/>
    <w:rsid w:val="003673B5"/>
    <w:rsid w:val="00367971"/>
    <w:rsid w:val="00367A57"/>
    <w:rsid w:val="00370063"/>
    <w:rsid w:val="003700E3"/>
    <w:rsid w:val="00370553"/>
    <w:rsid w:val="00370864"/>
    <w:rsid w:val="00370A37"/>
    <w:rsid w:val="00370BF1"/>
    <w:rsid w:val="00370C57"/>
    <w:rsid w:val="00371454"/>
    <w:rsid w:val="003716B1"/>
    <w:rsid w:val="00371ACD"/>
    <w:rsid w:val="00371AFD"/>
    <w:rsid w:val="00371EAB"/>
    <w:rsid w:val="0037218E"/>
    <w:rsid w:val="003726A2"/>
    <w:rsid w:val="00372775"/>
    <w:rsid w:val="00372983"/>
    <w:rsid w:val="003729A7"/>
    <w:rsid w:val="00372C6E"/>
    <w:rsid w:val="003731FD"/>
    <w:rsid w:val="0037346E"/>
    <w:rsid w:val="00373595"/>
    <w:rsid w:val="003737A8"/>
    <w:rsid w:val="003737B1"/>
    <w:rsid w:val="003739E0"/>
    <w:rsid w:val="00373A2A"/>
    <w:rsid w:val="00373E11"/>
    <w:rsid w:val="00374532"/>
    <w:rsid w:val="003745D4"/>
    <w:rsid w:val="00374868"/>
    <w:rsid w:val="003748D3"/>
    <w:rsid w:val="00374D76"/>
    <w:rsid w:val="00374E1E"/>
    <w:rsid w:val="0037517A"/>
    <w:rsid w:val="00375565"/>
    <w:rsid w:val="0037558E"/>
    <w:rsid w:val="00375DF4"/>
    <w:rsid w:val="00376313"/>
    <w:rsid w:val="0037644E"/>
    <w:rsid w:val="00376530"/>
    <w:rsid w:val="00376534"/>
    <w:rsid w:val="00376906"/>
    <w:rsid w:val="00376F03"/>
    <w:rsid w:val="00377060"/>
    <w:rsid w:val="00377452"/>
    <w:rsid w:val="003777A5"/>
    <w:rsid w:val="00377AE9"/>
    <w:rsid w:val="00377CB0"/>
    <w:rsid w:val="00377EEF"/>
    <w:rsid w:val="0038037D"/>
    <w:rsid w:val="00380A5D"/>
    <w:rsid w:val="00380F75"/>
    <w:rsid w:val="00381260"/>
    <w:rsid w:val="00381948"/>
    <w:rsid w:val="00381D26"/>
    <w:rsid w:val="00381E34"/>
    <w:rsid w:val="00381E8F"/>
    <w:rsid w:val="00381ED5"/>
    <w:rsid w:val="003821C3"/>
    <w:rsid w:val="00382477"/>
    <w:rsid w:val="00382740"/>
    <w:rsid w:val="00382B06"/>
    <w:rsid w:val="00383004"/>
    <w:rsid w:val="0038303C"/>
    <w:rsid w:val="003830CE"/>
    <w:rsid w:val="00383649"/>
    <w:rsid w:val="00383749"/>
    <w:rsid w:val="003839AA"/>
    <w:rsid w:val="00383B13"/>
    <w:rsid w:val="00383D73"/>
    <w:rsid w:val="00384291"/>
    <w:rsid w:val="0038449B"/>
    <w:rsid w:val="0038482D"/>
    <w:rsid w:val="003848E6"/>
    <w:rsid w:val="00385155"/>
    <w:rsid w:val="0038526D"/>
    <w:rsid w:val="003853A3"/>
    <w:rsid w:val="003854A4"/>
    <w:rsid w:val="003854C6"/>
    <w:rsid w:val="0038550F"/>
    <w:rsid w:val="003857B8"/>
    <w:rsid w:val="00385A54"/>
    <w:rsid w:val="00385B38"/>
    <w:rsid w:val="00385D1F"/>
    <w:rsid w:val="00385E2D"/>
    <w:rsid w:val="00385F8F"/>
    <w:rsid w:val="00386154"/>
    <w:rsid w:val="00386944"/>
    <w:rsid w:val="00386C9F"/>
    <w:rsid w:val="00386E18"/>
    <w:rsid w:val="00386EB3"/>
    <w:rsid w:val="00387000"/>
    <w:rsid w:val="0038717D"/>
    <w:rsid w:val="0038723F"/>
    <w:rsid w:val="003876D6"/>
    <w:rsid w:val="00387976"/>
    <w:rsid w:val="00390689"/>
    <w:rsid w:val="003907DE"/>
    <w:rsid w:val="00390A69"/>
    <w:rsid w:val="00390B82"/>
    <w:rsid w:val="003913AB"/>
    <w:rsid w:val="0039190D"/>
    <w:rsid w:val="00391A35"/>
    <w:rsid w:val="00391C7F"/>
    <w:rsid w:val="00392007"/>
    <w:rsid w:val="003920A7"/>
    <w:rsid w:val="00392331"/>
    <w:rsid w:val="003923DC"/>
    <w:rsid w:val="0039262E"/>
    <w:rsid w:val="00392C21"/>
    <w:rsid w:val="00392FC9"/>
    <w:rsid w:val="00393314"/>
    <w:rsid w:val="00393790"/>
    <w:rsid w:val="003937F3"/>
    <w:rsid w:val="00394010"/>
    <w:rsid w:val="0039411D"/>
    <w:rsid w:val="0039493A"/>
    <w:rsid w:val="00394DAF"/>
    <w:rsid w:val="003952BF"/>
    <w:rsid w:val="003953AE"/>
    <w:rsid w:val="00395600"/>
    <w:rsid w:val="003958C2"/>
    <w:rsid w:val="00395949"/>
    <w:rsid w:val="00395A91"/>
    <w:rsid w:val="00395C4D"/>
    <w:rsid w:val="00395CAE"/>
    <w:rsid w:val="00395FFF"/>
    <w:rsid w:val="003971E3"/>
    <w:rsid w:val="0039722A"/>
    <w:rsid w:val="0039799D"/>
    <w:rsid w:val="00397DBE"/>
    <w:rsid w:val="003A0027"/>
    <w:rsid w:val="003A14D3"/>
    <w:rsid w:val="003A15D6"/>
    <w:rsid w:val="003A16B2"/>
    <w:rsid w:val="003A1A5F"/>
    <w:rsid w:val="003A1B1F"/>
    <w:rsid w:val="003A1C33"/>
    <w:rsid w:val="003A1ED2"/>
    <w:rsid w:val="003A216F"/>
    <w:rsid w:val="003A2188"/>
    <w:rsid w:val="003A21A2"/>
    <w:rsid w:val="003A22FA"/>
    <w:rsid w:val="003A2517"/>
    <w:rsid w:val="003A2D0B"/>
    <w:rsid w:val="003A38E4"/>
    <w:rsid w:val="003A42E5"/>
    <w:rsid w:val="003A44A5"/>
    <w:rsid w:val="003A4754"/>
    <w:rsid w:val="003A4AE5"/>
    <w:rsid w:val="003A4B29"/>
    <w:rsid w:val="003A4BDC"/>
    <w:rsid w:val="003A5145"/>
    <w:rsid w:val="003A52FF"/>
    <w:rsid w:val="003A55C0"/>
    <w:rsid w:val="003A5945"/>
    <w:rsid w:val="003A599C"/>
    <w:rsid w:val="003A59B0"/>
    <w:rsid w:val="003A5BBB"/>
    <w:rsid w:val="003A5C50"/>
    <w:rsid w:val="003A5D33"/>
    <w:rsid w:val="003A5D69"/>
    <w:rsid w:val="003A63A3"/>
    <w:rsid w:val="003A65CE"/>
    <w:rsid w:val="003A67A9"/>
    <w:rsid w:val="003A69AC"/>
    <w:rsid w:val="003A6B00"/>
    <w:rsid w:val="003A6BC1"/>
    <w:rsid w:val="003A6FE5"/>
    <w:rsid w:val="003A710F"/>
    <w:rsid w:val="003A78AD"/>
    <w:rsid w:val="003A7933"/>
    <w:rsid w:val="003A79FA"/>
    <w:rsid w:val="003A7D98"/>
    <w:rsid w:val="003B03C7"/>
    <w:rsid w:val="003B04B9"/>
    <w:rsid w:val="003B054F"/>
    <w:rsid w:val="003B0748"/>
    <w:rsid w:val="003B0A33"/>
    <w:rsid w:val="003B0EF8"/>
    <w:rsid w:val="003B1E41"/>
    <w:rsid w:val="003B1F89"/>
    <w:rsid w:val="003B2355"/>
    <w:rsid w:val="003B2418"/>
    <w:rsid w:val="003B2445"/>
    <w:rsid w:val="003B24BA"/>
    <w:rsid w:val="003B277B"/>
    <w:rsid w:val="003B280B"/>
    <w:rsid w:val="003B2819"/>
    <w:rsid w:val="003B2936"/>
    <w:rsid w:val="003B2DD6"/>
    <w:rsid w:val="003B2EB7"/>
    <w:rsid w:val="003B2F1B"/>
    <w:rsid w:val="003B2F26"/>
    <w:rsid w:val="003B31AC"/>
    <w:rsid w:val="003B33A9"/>
    <w:rsid w:val="003B343F"/>
    <w:rsid w:val="003B3657"/>
    <w:rsid w:val="003B36EF"/>
    <w:rsid w:val="003B371F"/>
    <w:rsid w:val="003B382F"/>
    <w:rsid w:val="003B3E27"/>
    <w:rsid w:val="003B461D"/>
    <w:rsid w:val="003B4804"/>
    <w:rsid w:val="003B49AA"/>
    <w:rsid w:val="003B4E31"/>
    <w:rsid w:val="003B4EA6"/>
    <w:rsid w:val="003B5020"/>
    <w:rsid w:val="003B58B2"/>
    <w:rsid w:val="003B5C57"/>
    <w:rsid w:val="003B5FA2"/>
    <w:rsid w:val="003B5FFE"/>
    <w:rsid w:val="003B60E5"/>
    <w:rsid w:val="003B6253"/>
    <w:rsid w:val="003B6A5F"/>
    <w:rsid w:val="003B6B55"/>
    <w:rsid w:val="003B6CE0"/>
    <w:rsid w:val="003B6E97"/>
    <w:rsid w:val="003B7772"/>
    <w:rsid w:val="003B77D5"/>
    <w:rsid w:val="003B7BCD"/>
    <w:rsid w:val="003B7CD1"/>
    <w:rsid w:val="003B7E9A"/>
    <w:rsid w:val="003B7F05"/>
    <w:rsid w:val="003C0098"/>
    <w:rsid w:val="003C00AA"/>
    <w:rsid w:val="003C00D7"/>
    <w:rsid w:val="003C0166"/>
    <w:rsid w:val="003C10A6"/>
    <w:rsid w:val="003C10AD"/>
    <w:rsid w:val="003C1263"/>
    <w:rsid w:val="003C1860"/>
    <w:rsid w:val="003C1888"/>
    <w:rsid w:val="003C188B"/>
    <w:rsid w:val="003C1B89"/>
    <w:rsid w:val="003C2446"/>
    <w:rsid w:val="003C27EC"/>
    <w:rsid w:val="003C336F"/>
    <w:rsid w:val="003C37F5"/>
    <w:rsid w:val="003C3A1E"/>
    <w:rsid w:val="003C3C06"/>
    <w:rsid w:val="003C47E2"/>
    <w:rsid w:val="003C4CC8"/>
    <w:rsid w:val="003C505B"/>
    <w:rsid w:val="003C50CF"/>
    <w:rsid w:val="003C52A5"/>
    <w:rsid w:val="003C59BB"/>
    <w:rsid w:val="003C6976"/>
    <w:rsid w:val="003C6B39"/>
    <w:rsid w:val="003C6EAF"/>
    <w:rsid w:val="003C6F0F"/>
    <w:rsid w:val="003C7109"/>
    <w:rsid w:val="003C7134"/>
    <w:rsid w:val="003C715A"/>
    <w:rsid w:val="003C71CF"/>
    <w:rsid w:val="003C7595"/>
    <w:rsid w:val="003C789D"/>
    <w:rsid w:val="003C7BD0"/>
    <w:rsid w:val="003C7F32"/>
    <w:rsid w:val="003C7F33"/>
    <w:rsid w:val="003D011A"/>
    <w:rsid w:val="003D0352"/>
    <w:rsid w:val="003D0609"/>
    <w:rsid w:val="003D0AF1"/>
    <w:rsid w:val="003D193F"/>
    <w:rsid w:val="003D2097"/>
    <w:rsid w:val="003D2184"/>
    <w:rsid w:val="003D25EF"/>
    <w:rsid w:val="003D260B"/>
    <w:rsid w:val="003D2BAF"/>
    <w:rsid w:val="003D2D31"/>
    <w:rsid w:val="003D31D8"/>
    <w:rsid w:val="003D39D7"/>
    <w:rsid w:val="003D3A1F"/>
    <w:rsid w:val="003D415A"/>
    <w:rsid w:val="003D41C3"/>
    <w:rsid w:val="003D43B1"/>
    <w:rsid w:val="003D4471"/>
    <w:rsid w:val="003D47DA"/>
    <w:rsid w:val="003D489E"/>
    <w:rsid w:val="003D48F3"/>
    <w:rsid w:val="003D4A56"/>
    <w:rsid w:val="003D4DD3"/>
    <w:rsid w:val="003D4E30"/>
    <w:rsid w:val="003D5086"/>
    <w:rsid w:val="003D52EA"/>
    <w:rsid w:val="003D54A9"/>
    <w:rsid w:val="003D5827"/>
    <w:rsid w:val="003D5F53"/>
    <w:rsid w:val="003D6377"/>
    <w:rsid w:val="003D6552"/>
    <w:rsid w:val="003D679A"/>
    <w:rsid w:val="003D6877"/>
    <w:rsid w:val="003D699F"/>
    <w:rsid w:val="003D69AD"/>
    <w:rsid w:val="003D69ED"/>
    <w:rsid w:val="003D6CF9"/>
    <w:rsid w:val="003D6FBE"/>
    <w:rsid w:val="003D73FA"/>
    <w:rsid w:val="003D7932"/>
    <w:rsid w:val="003D7B2C"/>
    <w:rsid w:val="003D7EF4"/>
    <w:rsid w:val="003E0404"/>
    <w:rsid w:val="003E0BC4"/>
    <w:rsid w:val="003E0FA4"/>
    <w:rsid w:val="003E10FF"/>
    <w:rsid w:val="003E17A3"/>
    <w:rsid w:val="003E1917"/>
    <w:rsid w:val="003E23D2"/>
    <w:rsid w:val="003E256A"/>
    <w:rsid w:val="003E259A"/>
    <w:rsid w:val="003E2707"/>
    <w:rsid w:val="003E2840"/>
    <w:rsid w:val="003E2A07"/>
    <w:rsid w:val="003E30C6"/>
    <w:rsid w:val="003E3160"/>
    <w:rsid w:val="003E3165"/>
    <w:rsid w:val="003E316C"/>
    <w:rsid w:val="003E319A"/>
    <w:rsid w:val="003E354E"/>
    <w:rsid w:val="003E3B21"/>
    <w:rsid w:val="003E42E2"/>
    <w:rsid w:val="003E4461"/>
    <w:rsid w:val="003E4B97"/>
    <w:rsid w:val="003E5008"/>
    <w:rsid w:val="003E516C"/>
    <w:rsid w:val="003E5211"/>
    <w:rsid w:val="003E5247"/>
    <w:rsid w:val="003E533C"/>
    <w:rsid w:val="003E5353"/>
    <w:rsid w:val="003E5482"/>
    <w:rsid w:val="003E57FA"/>
    <w:rsid w:val="003E583D"/>
    <w:rsid w:val="003E5888"/>
    <w:rsid w:val="003E6530"/>
    <w:rsid w:val="003E65BC"/>
    <w:rsid w:val="003E68DC"/>
    <w:rsid w:val="003E6928"/>
    <w:rsid w:val="003E6C5F"/>
    <w:rsid w:val="003E6E23"/>
    <w:rsid w:val="003E7251"/>
    <w:rsid w:val="003E72CA"/>
    <w:rsid w:val="003E7333"/>
    <w:rsid w:val="003E747A"/>
    <w:rsid w:val="003E7759"/>
    <w:rsid w:val="003E7BCD"/>
    <w:rsid w:val="003F036B"/>
    <w:rsid w:val="003F0552"/>
    <w:rsid w:val="003F05B2"/>
    <w:rsid w:val="003F0E9E"/>
    <w:rsid w:val="003F16E2"/>
    <w:rsid w:val="003F16FE"/>
    <w:rsid w:val="003F17D5"/>
    <w:rsid w:val="003F1A2F"/>
    <w:rsid w:val="003F1A67"/>
    <w:rsid w:val="003F1CF0"/>
    <w:rsid w:val="003F1DDC"/>
    <w:rsid w:val="003F1EC8"/>
    <w:rsid w:val="003F201C"/>
    <w:rsid w:val="003F25EA"/>
    <w:rsid w:val="003F269C"/>
    <w:rsid w:val="003F2E77"/>
    <w:rsid w:val="003F2FE5"/>
    <w:rsid w:val="003F31D2"/>
    <w:rsid w:val="003F3716"/>
    <w:rsid w:val="003F3968"/>
    <w:rsid w:val="003F3B70"/>
    <w:rsid w:val="003F3D49"/>
    <w:rsid w:val="003F3D60"/>
    <w:rsid w:val="003F3DC0"/>
    <w:rsid w:val="003F4171"/>
    <w:rsid w:val="003F45A0"/>
    <w:rsid w:val="003F4845"/>
    <w:rsid w:val="003F4DBE"/>
    <w:rsid w:val="003F503B"/>
    <w:rsid w:val="003F51AD"/>
    <w:rsid w:val="003F5232"/>
    <w:rsid w:val="003F5349"/>
    <w:rsid w:val="003F5549"/>
    <w:rsid w:val="003F557E"/>
    <w:rsid w:val="003F5AA3"/>
    <w:rsid w:val="003F5ABC"/>
    <w:rsid w:val="003F5ABF"/>
    <w:rsid w:val="003F5B31"/>
    <w:rsid w:val="003F6239"/>
    <w:rsid w:val="003F6671"/>
    <w:rsid w:val="003F6D24"/>
    <w:rsid w:val="003F6F22"/>
    <w:rsid w:val="003F7072"/>
    <w:rsid w:val="003F74C9"/>
    <w:rsid w:val="003F7664"/>
    <w:rsid w:val="003F7813"/>
    <w:rsid w:val="003F7CC5"/>
    <w:rsid w:val="004000E1"/>
    <w:rsid w:val="00400527"/>
    <w:rsid w:val="00400565"/>
    <w:rsid w:val="00400D68"/>
    <w:rsid w:val="00400F4F"/>
    <w:rsid w:val="0040116F"/>
    <w:rsid w:val="00401244"/>
    <w:rsid w:val="00401706"/>
    <w:rsid w:val="00401A63"/>
    <w:rsid w:val="00401C44"/>
    <w:rsid w:val="00401C65"/>
    <w:rsid w:val="0040248D"/>
    <w:rsid w:val="00402B9A"/>
    <w:rsid w:val="00403146"/>
    <w:rsid w:val="004033BF"/>
    <w:rsid w:val="0040363D"/>
    <w:rsid w:val="004036D0"/>
    <w:rsid w:val="00403A43"/>
    <w:rsid w:val="00403D27"/>
    <w:rsid w:val="00404101"/>
    <w:rsid w:val="00404269"/>
    <w:rsid w:val="00404340"/>
    <w:rsid w:val="004043CB"/>
    <w:rsid w:val="00404600"/>
    <w:rsid w:val="004049DE"/>
    <w:rsid w:val="00404AE7"/>
    <w:rsid w:val="00404E82"/>
    <w:rsid w:val="0040505C"/>
    <w:rsid w:val="004056C2"/>
    <w:rsid w:val="004058FA"/>
    <w:rsid w:val="00405CF7"/>
    <w:rsid w:val="00405D37"/>
    <w:rsid w:val="00405D7B"/>
    <w:rsid w:val="00406042"/>
    <w:rsid w:val="00406352"/>
    <w:rsid w:val="0040656B"/>
    <w:rsid w:val="00406636"/>
    <w:rsid w:val="004067AD"/>
    <w:rsid w:val="00406A1E"/>
    <w:rsid w:val="00406AE6"/>
    <w:rsid w:val="00406E32"/>
    <w:rsid w:val="00406E60"/>
    <w:rsid w:val="00406E69"/>
    <w:rsid w:val="004073DB"/>
    <w:rsid w:val="00407A2D"/>
    <w:rsid w:val="00407DFB"/>
    <w:rsid w:val="00407E41"/>
    <w:rsid w:val="00407EE0"/>
    <w:rsid w:val="004100D5"/>
    <w:rsid w:val="00410233"/>
    <w:rsid w:val="00410522"/>
    <w:rsid w:val="004105BE"/>
    <w:rsid w:val="00410867"/>
    <w:rsid w:val="00410D32"/>
    <w:rsid w:val="00411348"/>
    <w:rsid w:val="00411970"/>
    <w:rsid w:val="00411A61"/>
    <w:rsid w:val="00411E55"/>
    <w:rsid w:val="00411F50"/>
    <w:rsid w:val="0041245E"/>
    <w:rsid w:val="00412AFE"/>
    <w:rsid w:val="00412B86"/>
    <w:rsid w:val="00412BF8"/>
    <w:rsid w:val="00412C7D"/>
    <w:rsid w:val="00412C88"/>
    <w:rsid w:val="00412DC3"/>
    <w:rsid w:val="00413250"/>
    <w:rsid w:val="004132C0"/>
    <w:rsid w:val="00413685"/>
    <w:rsid w:val="0041375F"/>
    <w:rsid w:val="00413810"/>
    <w:rsid w:val="00413BEA"/>
    <w:rsid w:val="00413EDD"/>
    <w:rsid w:val="00413F1C"/>
    <w:rsid w:val="00413FA8"/>
    <w:rsid w:val="00414085"/>
    <w:rsid w:val="004142AC"/>
    <w:rsid w:val="00414806"/>
    <w:rsid w:val="00414ED2"/>
    <w:rsid w:val="004154C4"/>
    <w:rsid w:val="004158AC"/>
    <w:rsid w:val="00415909"/>
    <w:rsid w:val="004164AB"/>
    <w:rsid w:val="004166AE"/>
    <w:rsid w:val="004166CF"/>
    <w:rsid w:val="004167A5"/>
    <w:rsid w:val="00416929"/>
    <w:rsid w:val="00416BB0"/>
    <w:rsid w:val="00416E9F"/>
    <w:rsid w:val="0041714A"/>
    <w:rsid w:val="004177ED"/>
    <w:rsid w:val="00417947"/>
    <w:rsid w:val="00417B44"/>
    <w:rsid w:val="00417DE0"/>
    <w:rsid w:val="004202E2"/>
    <w:rsid w:val="00420388"/>
    <w:rsid w:val="004203BB"/>
    <w:rsid w:val="004203E1"/>
    <w:rsid w:val="00420771"/>
    <w:rsid w:val="004209F8"/>
    <w:rsid w:val="00421087"/>
    <w:rsid w:val="004210D6"/>
    <w:rsid w:val="004211AE"/>
    <w:rsid w:val="00421B13"/>
    <w:rsid w:val="00422032"/>
    <w:rsid w:val="004221FA"/>
    <w:rsid w:val="00422D1A"/>
    <w:rsid w:val="00422D53"/>
    <w:rsid w:val="0042352C"/>
    <w:rsid w:val="00423681"/>
    <w:rsid w:val="00423BFB"/>
    <w:rsid w:val="00423E0A"/>
    <w:rsid w:val="00423E89"/>
    <w:rsid w:val="004241DF"/>
    <w:rsid w:val="00424980"/>
    <w:rsid w:val="00424B78"/>
    <w:rsid w:val="00424BEF"/>
    <w:rsid w:val="00424F63"/>
    <w:rsid w:val="00425232"/>
    <w:rsid w:val="0042523E"/>
    <w:rsid w:val="004254D8"/>
    <w:rsid w:val="004255E6"/>
    <w:rsid w:val="004258CD"/>
    <w:rsid w:val="00425A11"/>
    <w:rsid w:val="00425B01"/>
    <w:rsid w:val="004263B8"/>
    <w:rsid w:val="004269B3"/>
    <w:rsid w:val="00426C19"/>
    <w:rsid w:val="00426C2C"/>
    <w:rsid w:val="00426E1F"/>
    <w:rsid w:val="0042734B"/>
    <w:rsid w:val="004273FF"/>
    <w:rsid w:val="00427505"/>
    <w:rsid w:val="00427546"/>
    <w:rsid w:val="00427A23"/>
    <w:rsid w:val="0043075B"/>
    <w:rsid w:val="00430784"/>
    <w:rsid w:val="00430A63"/>
    <w:rsid w:val="00430B5B"/>
    <w:rsid w:val="00430CCC"/>
    <w:rsid w:val="00430E72"/>
    <w:rsid w:val="00431275"/>
    <w:rsid w:val="004318DC"/>
    <w:rsid w:val="00431C14"/>
    <w:rsid w:val="00431DDE"/>
    <w:rsid w:val="0043237F"/>
    <w:rsid w:val="00432BCD"/>
    <w:rsid w:val="00433073"/>
    <w:rsid w:val="00433137"/>
    <w:rsid w:val="004333DC"/>
    <w:rsid w:val="00433424"/>
    <w:rsid w:val="004335E8"/>
    <w:rsid w:val="004341A4"/>
    <w:rsid w:val="004341FF"/>
    <w:rsid w:val="00434400"/>
    <w:rsid w:val="00434493"/>
    <w:rsid w:val="00434989"/>
    <w:rsid w:val="00434A6F"/>
    <w:rsid w:val="00434BD7"/>
    <w:rsid w:val="00434C55"/>
    <w:rsid w:val="00434F37"/>
    <w:rsid w:val="00435776"/>
    <w:rsid w:val="00435B6B"/>
    <w:rsid w:val="00435CBF"/>
    <w:rsid w:val="00435CFF"/>
    <w:rsid w:val="00435D37"/>
    <w:rsid w:val="00435E72"/>
    <w:rsid w:val="004365EB"/>
    <w:rsid w:val="00436A3E"/>
    <w:rsid w:val="00436DFB"/>
    <w:rsid w:val="00436EF9"/>
    <w:rsid w:val="004374A2"/>
    <w:rsid w:val="00437BDD"/>
    <w:rsid w:val="00437C1D"/>
    <w:rsid w:val="00437C8B"/>
    <w:rsid w:val="00437CFD"/>
    <w:rsid w:val="00440043"/>
    <w:rsid w:val="00440B24"/>
    <w:rsid w:val="00440D50"/>
    <w:rsid w:val="00440D78"/>
    <w:rsid w:val="00440E15"/>
    <w:rsid w:val="00441027"/>
    <w:rsid w:val="0044139F"/>
    <w:rsid w:val="004414CA"/>
    <w:rsid w:val="00441633"/>
    <w:rsid w:val="00441945"/>
    <w:rsid w:val="00441A2A"/>
    <w:rsid w:val="00441DA1"/>
    <w:rsid w:val="004420F6"/>
    <w:rsid w:val="004428B7"/>
    <w:rsid w:val="00442D7D"/>
    <w:rsid w:val="00443551"/>
    <w:rsid w:val="0044359A"/>
    <w:rsid w:val="004438C0"/>
    <w:rsid w:val="00443931"/>
    <w:rsid w:val="00443D20"/>
    <w:rsid w:val="00444017"/>
    <w:rsid w:val="00444044"/>
    <w:rsid w:val="004442D5"/>
    <w:rsid w:val="00444337"/>
    <w:rsid w:val="00444F00"/>
    <w:rsid w:val="00444F65"/>
    <w:rsid w:val="004451E4"/>
    <w:rsid w:val="004454C8"/>
    <w:rsid w:val="0044579D"/>
    <w:rsid w:val="004459E5"/>
    <w:rsid w:val="00446048"/>
    <w:rsid w:val="00446376"/>
    <w:rsid w:val="00446406"/>
    <w:rsid w:val="00446720"/>
    <w:rsid w:val="00446733"/>
    <w:rsid w:val="004467F9"/>
    <w:rsid w:val="0044688A"/>
    <w:rsid w:val="004469E5"/>
    <w:rsid w:val="00446B9B"/>
    <w:rsid w:val="00446BAA"/>
    <w:rsid w:val="00446BCF"/>
    <w:rsid w:val="0044742C"/>
    <w:rsid w:val="00447478"/>
    <w:rsid w:val="004476C6"/>
    <w:rsid w:val="00447A0C"/>
    <w:rsid w:val="00447B6D"/>
    <w:rsid w:val="00447C49"/>
    <w:rsid w:val="00447F96"/>
    <w:rsid w:val="0045036A"/>
    <w:rsid w:val="00450541"/>
    <w:rsid w:val="00450671"/>
    <w:rsid w:val="0045074F"/>
    <w:rsid w:val="00450CCB"/>
    <w:rsid w:val="0045114A"/>
    <w:rsid w:val="0045130C"/>
    <w:rsid w:val="00451C2D"/>
    <w:rsid w:val="00451C67"/>
    <w:rsid w:val="00451CBE"/>
    <w:rsid w:val="0045206D"/>
    <w:rsid w:val="00452C97"/>
    <w:rsid w:val="00452F31"/>
    <w:rsid w:val="004530D5"/>
    <w:rsid w:val="00453578"/>
    <w:rsid w:val="004536AC"/>
    <w:rsid w:val="00453792"/>
    <w:rsid w:val="00453901"/>
    <w:rsid w:val="004539A2"/>
    <w:rsid w:val="00453A26"/>
    <w:rsid w:val="00453A79"/>
    <w:rsid w:val="00453DC3"/>
    <w:rsid w:val="0045410D"/>
    <w:rsid w:val="004541E1"/>
    <w:rsid w:val="00454293"/>
    <w:rsid w:val="004547EF"/>
    <w:rsid w:val="0045492D"/>
    <w:rsid w:val="004549E7"/>
    <w:rsid w:val="00454A58"/>
    <w:rsid w:val="00454AB8"/>
    <w:rsid w:val="00454CC0"/>
    <w:rsid w:val="00455214"/>
    <w:rsid w:val="00455319"/>
    <w:rsid w:val="004553CF"/>
    <w:rsid w:val="004554FF"/>
    <w:rsid w:val="004555F5"/>
    <w:rsid w:val="00455672"/>
    <w:rsid w:val="00455695"/>
    <w:rsid w:val="00455A5E"/>
    <w:rsid w:val="00455D5F"/>
    <w:rsid w:val="00455EE5"/>
    <w:rsid w:val="00456136"/>
    <w:rsid w:val="004563AC"/>
    <w:rsid w:val="00456D5A"/>
    <w:rsid w:val="00456EC9"/>
    <w:rsid w:val="00456F4B"/>
    <w:rsid w:val="004571A3"/>
    <w:rsid w:val="004571BC"/>
    <w:rsid w:val="00457561"/>
    <w:rsid w:val="00457B2B"/>
    <w:rsid w:val="00457BA7"/>
    <w:rsid w:val="00457D5F"/>
    <w:rsid w:val="00457E6B"/>
    <w:rsid w:val="0046006B"/>
    <w:rsid w:val="00460632"/>
    <w:rsid w:val="0046064E"/>
    <w:rsid w:val="00460D84"/>
    <w:rsid w:val="0046119F"/>
    <w:rsid w:val="004611D3"/>
    <w:rsid w:val="0046133D"/>
    <w:rsid w:val="00461D90"/>
    <w:rsid w:val="0046220B"/>
    <w:rsid w:val="004622C4"/>
    <w:rsid w:val="0046233E"/>
    <w:rsid w:val="004624A4"/>
    <w:rsid w:val="0046255F"/>
    <w:rsid w:val="004625B8"/>
    <w:rsid w:val="0046268F"/>
    <w:rsid w:val="00462CAA"/>
    <w:rsid w:val="00463438"/>
    <w:rsid w:val="00463915"/>
    <w:rsid w:val="004639E1"/>
    <w:rsid w:val="00463BB6"/>
    <w:rsid w:val="0046429F"/>
    <w:rsid w:val="00464328"/>
    <w:rsid w:val="00464346"/>
    <w:rsid w:val="00464483"/>
    <w:rsid w:val="004644F9"/>
    <w:rsid w:val="004647CB"/>
    <w:rsid w:val="004647EF"/>
    <w:rsid w:val="0046480D"/>
    <w:rsid w:val="0046483C"/>
    <w:rsid w:val="00465244"/>
    <w:rsid w:val="004654B4"/>
    <w:rsid w:val="004655B0"/>
    <w:rsid w:val="004658BA"/>
    <w:rsid w:val="004659F8"/>
    <w:rsid w:val="00465E82"/>
    <w:rsid w:val="00465F96"/>
    <w:rsid w:val="00466963"/>
    <w:rsid w:val="004669BB"/>
    <w:rsid w:val="00466EF3"/>
    <w:rsid w:val="004671CD"/>
    <w:rsid w:val="0046755C"/>
    <w:rsid w:val="0046782D"/>
    <w:rsid w:val="00467D58"/>
    <w:rsid w:val="004716B5"/>
    <w:rsid w:val="004717E5"/>
    <w:rsid w:val="00471A93"/>
    <w:rsid w:val="00471B0B"/>
    <w:rsid w:val="0047225B"/>
    <w:rsid w:val="0047261F"/>
    <w:rsid w:val="00472742"/>
    <w:rsid w:val="004728B8"/>
    <w:rsid w:val="00472AF5"/>
    <w:rsid w:val="00472B2E"/>
    <w:rsid w:val="00472C49"/>
    <w:rsid w:val="00472C7D"/>
    <w:rsid w:val="00472C9B"/>
    <w:rsid w:val="00473074"/>
    <w:rsid w:val="00473179"/>
    <w:rsid w:val="004731B2"/>
    <w:rsid w:val="004732A7"/>
    <w:rsid w:val="00473367"/>
    <w:rsid w:val="004735FB"/>
    <w:rsid w:val="00473A5E"/>
    <w:rsid w:val="00473B7C"/>
    <w:rsid w:val="00473CE1"/>
    <w:rsid w:val="004744CA"/>
    <w:rsid w:val="00474968"/>
    <w:rsid w:val="00475479"/>
    <w:rsid w:val="004758A9"/>
    <w:rsid w:val="0047597D"/>
    <w:rsid w:val="00475A30"/>
    <w:rsid w:val="00476273"/>
    <w:rsid w:val="004767E0"/>
    <w:rsid w:val="00476C99"/>
    <w:rsid w:val="00477377"/>
    <w:rsid w:val="00477399"/>
    <w:rsid w:val="004773BA"/>
    <w:rsid w:val="00477A06"/>
    <w:rsid w:val="00477EEE"/>
    <w:rsid w:val="0048020B"/>
    <w:rsid w:val="00480398"/>
    <w:rsid w:val="00480A7A"/>
    <w:rsid w:val="00481381"/>
    <w:rsid w:val="00481560"/>
    <w:rsid w:val="00481B16"/>
    <w:rsid w:val="00481D92"/>
    <w:rsid w:val="00481DC2"/>
    <w:rsid w:val="00481E86"/>
    <w:rsid w:val="00481F2E"/>
    <w:rsid w:val="00482512"/>
    <w:rsid w:val="00482B94"/>
    <w:rsid w:val="00482C08"/>
    <w:rsid w:val="0048326D"/>
    <w:rsid w:val="00483342"/>
    <w:rsid w:val="00483444"/>
    <w:rsid w:val="00483AF4"/>
    <w:rsid w:val="00483BFA"/>
    <w:rsid w:val="004843D0"/>
    <w:rsid w:val="00484568"/>
    <w:rsid w:val="0048491F"/>
    <w:rsid w:val="00484D43"/>
    <w:rsid w:val="00484E44"/>
    <w:rsid w:val="004851FC"/>
    <w:rsid w:val="004852F1"/>
    <w:rsid w:val="004859D5"/>
    <w:rsid w:val="00485BA9"/>
    <w:rsid w:val="00485EF6"/>
    <w:rsid w:val="004864DA"/>
    <w:rsid w:val="0048670A"/>
    <w:rsid w:val="004868FA"/>
    <w:rsid w:val="00486B1C"/>
    <w:rsid w:val="00486FAA"/>
    <w:rsid w:val="004872BC"/>
    <w:rsid w:val="004874A4"/>
    <w:rsid w:val="0048781B"/>
    <w:rsid w:val="00487C52"/>
    <w:rsid w:val="00487E0A"/>
    <w:rsid w:val="00487E0B"/>
    <w:rsid w:val="004903D7"/>
    <w:rsid w:val="004904AF"/>
    <w:rsid w:val="004907E1"/>
    <w:rsid w:val="00490891"/>
    <w:rsid w:val="00490EBC"/>
    <w:rsid w:val="00490F9C"/>
    <w:rsid w:val="00490FA8"/>
    <w:rsid w:val="004912EE"/>
    <w:rsid w:val="0049132A"/>
    <w:rsid w:val="00491FE0"/>
    <w:rsid w:val="00492008"/>
    <w:rsid w:val="00492374"/>
    <w:rsid w:val="00492941"/>
    <w:rsid w:val="00492A87"/>
    <w:rsid w:val="00492D00"/>
    <w:rsid w:val="00492F48"/>
    <w:rsid w:val="0049346A"/>
    <w:rsid w:val="00493A66"/>
    <w:rsid w:val="00493F5A"/>
    <w:rsid w:val="0049400A"/>
    <w:rsid w:val="00494100"/>
    <w:rsid w:val="004941C4"/>
    <w:rsid w:val="00494355"/>
    <w:rsid w:val="00494362"/>
    <w:rsid w:val="0049474C"/>
    <w:rsid w:val="00494945"/>
    <w:rsid w:val="00494EBB"/>
    <w:rsid w:val="00494ECD"/>
    <w:rsid w:val="004951CD"/>
    <w:rsid w:val="00495661"/>
    <w:rsid w:val="00495736"/>
    <w:rsid w:val="00495AA4"/>
    <w:rsid w:val="00495ABE"/>
    <w:rsid w:val="00495E07"/>
    <w:rsid w:val="0049633C"/>
    <w:rsid w:val="00496356"/>
    <w:rsid w:val="00496AC2"/>
    <w:rsid w:val="00496C97"/>
    <w:rsid w:val="00496CAA"/>
    <w:rsid w:val="00496E98"/>
    <w:rsid w:val="004970DB"/>
    <w:rsid w:val="0049724D"/>
    <w:rsid w:val="004972B7"/>
    <w:rsid w:val="00497490"/>
    <w:rsid w:val="00497958"/>
    <w:rsid w:val="00497F70"/>
    <w:rsid w:val="00497FBA"/>
    <w:rsid w:val="004A001A"/>
    <w:rsid w:val="004A0164"/>
    <w:rsid w:val="004A03E5"/>
    <w:rsid w:val="004A0426"/>
    <w:rsid w:val="004A0A17"/>
    <w:rsid w:val="004A0E02"/>
    <w:rsid w:val="004A0FEC"/>
    <w:rsid w:val="004A12B3"/>
    <w:rsid w:val="004A14F5"/>
    <w:rsid w:val="004A17B6"/>
    <w:rsid w:val="004A19A7"/>
    <w:rsid w:val="004A1E95"/>
    <w:rsid w:val="004A215D"/>
    <w:rsid w:val="004A243E"/>
    <w:rsid w:val="004A2F0C"/>
    <w:rsid w:val="004A2F97"/>
    <w:rsid w:val="004A30A9"/>
    <w:rsid w:val="004A31D2"/>
    <w:rsid w:val="004A385D"/>
    <w:rsid w:val="004A3DB7"/>
    <w:rsid w:val="004A3DC8"/>
    <w:rsid w:val="004A4306"/>
    <w:rsid w:val="004A437C"/>
    <w:rsid w:val="004A46B0"/>
    <w:rsid w:val="004A503D"/>
    <w:rsid w:val="004A5093"/>
    <w:rsid w:val="004A5168"/>
    <w:rsid w:val="004A55F5"/>
    <w:rsid w:val="004A564C"/>
    <w:rsid w:val="004A583D"/>
    <w:rsid w:val="004A594F"/>
    <w:rsid w:val="004A5A21"/>
    <w:rsid w:val="004A5C56"/>
    <w:rsid w:val="004A5C88"/>
    <w:rsid w:val="004A63EC"/>
    <w:rsid w:val="004A6AED"/>
    <w:rsid w:val="004A792B"/>
    <w:rsid w:val="004B0218"/>
    <w:rsid w:val="004B0594"/>
    <w:rsid w:val="004B086D"/>
    <w:rsid w:val="004B0A2B"/>
    <w:rsid w:val="004B0AB6"/>
    <w:rsid w:val="004B0ADD"/>
    <w:rsid w:val="004B0BEF"/>
    <w:rsid w:val="004B0C29"/>
    <w:rsid w:val="004B0C65"/>
    <w:rsid w:val="004B0E63"/>
    <w:rsid w:val="004B0F9B"/>
    <w:rsid w:val="004B11AE"/>
    <w:rsid w:val="004B141F"/>
    <w:rsid w:val="004B18C3"/>
    <w:rsid w:val="004B20BA"/>
    <w:rsid w:val="004B257B"/>
    <w:rsid w:val="004B2A47"/>
    <w:rsid w:val="004B2BBA"/>
    <w:rsid w:val="004B2C18"/>
    <w:rsid w:val="004B2FB9"/>
    <w:rsid w:val="004B30C1"/>
    <w:rsid w:val="004B37EE"/>
    <w:rsid w:val="004B3B5A"/>
    <w:rsid w:val="004B3D4A"/>
    <w:rsid w:val="004B3F09"/>
    <w:rsid w:val="004B4446"/>
    <w:rsid w:val="004B4457"/>
    <w:rsid w:val="004B45F8"/>
    <w:rsid w:val="004B4A8D"/>
    <w:rsid w:val="004B5259"/>
    <w:rsid w:val="004B57B4"/>
    <w:rsid w:val="004B5C16"/>
    <w:rsid w:val="004B5CC4"/>
    <w:rsid w:val="004B5CFE"/>
    <w:rsid w:val="004B5EF7"/>
    <w:rsid w:val="004B6182"/>
    <w:rsid w:val="004B665F"/>
    <w:rsid w:val="004B6C3F"/>
    <w:rsid w:val="004B6F1F"/>
    <w:rsid w:val="004B7391"/>
    <w:rsid w:val="004B76A9"/>
    <w:rsid w:val="004B783A"/>
    <w:rsid w:val="004B7BB3"/>
    <w:rsid w:val="004C0090"/>
    <w:rsid w:val="004C0251"/>
    <w:rsid w:val="004C04F6"/>
    <w:rsid w:val="004C0A3D"/>
    <w:rsid w:val="004C0AB9"/>
    <w:rsid w:val="004C0E28"/>
    <w:rsid w:val="004C11ED"/>
    <w:rsid w:val="004C190E"/>
    <w:rsid w:val="004C1DEE"/>
    <w:rsid w:val="004C216B"/>
    <w:rsid w:val="004C24E8"/>
    <w:rsid w:val="004C2A6B"/>
    <w:rsid w:val="004C32F4"/>
    <w:rsid w:val="004C3676"/>
    <w:rsid w:val="004C389C"/>
    <w:rsid w:val="004C3925"/>
    <w:rsid w:val="004C399E"/>
    <w:rsid w:val="004C3B79"/>
    <w:rsid w:val="004C3C21"/>
    <w:rsid w:val="004C427B"/>
    <w:rsid w:val="004C456B"/>
    <w:rsid w:val="004C4716"/>
    <w:rsid w:val="004C4B42"/>
    <w:rsid w:val="004C4D5F"/>
    <w:rsid w:val="004C4F4B"/>
    <w:rsid w:val="004C501C"/>
    <w:rsid w:val="004C5099"/>
    <w:rsid w:val="004C537D"/>
    <w:rsid w:val="004C53FA"/>
    <w:rsid w:val="004C55BA"/>
    <w:rsid w:val="004C5ACD"/>
    <w:rsid w:val="004C5DB0"/>
    <w:rsid w:val="004C612A"/>
    <w:rsid w:val="004C633D"/>
    <w:rsid w:val="004C642A"/>
    <w:rsid w:val="004C68F3"/>
    <w:rsid w:val="004C77EA"/>
    <w:rsid w:val="004C7B52"/>
    <w:rsid w:val="004C7B87"/>
    <w:rsid w:val="004C7DA8"/>
    <w:rsid w:val="004C7DEF"/>
    <w:rsid w:val="004D00C5"/>
    <w:rsid w:val="004D02FA"/>
    <w:rsid w:val="004D07B7"/>
    <w:rsid w:val="004D07D5"/>
    <w:rsid w:val="004D0A5F"/>
    <w:rsid w:val="004D0A74"/>
    <w:rsid w:val="004D0B5E"/>
    <w:rsid w:val="004D12DA"/>
    <w:rsid w:val="004D1AE5"/>
    <w:rsid w:val="004D1D87"/>
    <w:rsid w:val="004D252A"/>
    <w:rsid w:val="004D2978"/>
    <w:rsid w:val="004D2A1D"/>
    <w:rsid w:val="004D2CF7"/>
    <w:rsid w:val="004D2F56"/>
    <w:rsid w:val="004D3233"/>
    <w:rsid w:val="004D335A"/>
    <w:rsid w:val="004D3435"/>
    <w:rsid w:val="004D34C3"/>
    <w:rsid w:val="004D35E8"/>
    <w:rsid w:val="004D3B66"/>
    <w:rsid w:val="004D4033"/>
    <w:rsid w:val="004D4263"/>
    <w:rsid w:val="004D4334"/>
    <w:rsid w:val="004D4896"/>
    <w:rsid w:val="004D4F48"/>
    <w:rsid w:val="004D4FA9"/>
    <w:rsid w:val="004D5100"/>
    <w:rsid w:val="004D52A1"/>
    <w:rsid w:val="004D52DD"/>
    <w:rsid w:val="004D5358"/>
    <w:rsid w:val="004D5A0C"/>
    <w:rsid w:val="004D5D79"/>
    <w:rsid w:val="004D60F5"/>
    <w:rsid w:val="004D614C"/>
    <w:rsid w:val="004D6589"/>
    <w:rsid w:val="004D687D"/>
    <w:rsid w:val="004D7006"/>
    <w:rsid w:val="004D7016"/>
    <w:rsid w:val="004D71BB"/>
    <w:rsid w:val="004D741C"/>
    <w:rsid w:val="004D779A"/>
    <w:rsid w:val="004D7AE1"/>
    <w:rsid w:val="004D7E0E"/>
    <w:rsid w:val="004E0C6A"/>
    <w:rsid w:val="004E0C9E"/>
    <w:rsid w:val="004E0F0D"/>
    <w:rsid w:val="004E10BB"/>
    <w:rsid w:val="004E1383"/>
    <w:rsid w:val="004E188B"/>
    <w:rsid w:val="004E1B8D"/>
    <w:rsid w:val="004E1CC3"/>
    <w:rsid w:val="004E1DAE"/>
    <w:rsid w:val="004E1E59"/>
    <w:rsid w:val="004E21E3"/>
    <w:rsid w:val="004E2288"/>
    <w:rsid w:val="004E2341"/>
    <w:rsid w:val="004E2536"/>
    <w:rsid w:val="004E25A6"/>
    <w:rsid w:val="004E277D"/>
    <w:rsid w:val="004E27D8"/>
    <w:rsid w:val="004E2856"/>
    <w:rsid w:val="004E28DF"/>
    <w:rsid w:val="004E2EC2"/>
    <w:rsid w:val="004E2FC4"/>
    <w:rsid w:val="004E3BAF"/>
    <w:rsid w:val="004E45DC"/>
    <w:rsid w:val="004E4D93"/>
    <w:rsid w:val="004E4F8A"/>
    <w:rsid w:val="004E4FF2"/>
    <w:rsid w:val="004E5BB5"/>
    <w:rsid w:val="004E5F06"/>
    <w:rsid w:val="004E605E"/>
    <w:rsid w:val="004E6621"/>
    <w:rsid w:val="004E66F5"/>
    <w:rsid w:val="004E6B92"/>
    <w:rsid w:val="004E6D5C"/>
    <w:rsid w:val="004E756E"/>
    <w:rsid w:val="004E7814"/>
    <w:rsid w:val="004E7BF2"/>
    <w:rsid w:val="004E7E3B"/>
    <w:rsid w:val="004F00DC"/>
    <w:rsid w:val="004F0360"/>
    <w:rsid w:val="004F05C5"/>
    <w:rsid w:val="004F0C28"/>
    <w:rsid w:val="004F0D17"/>
    <w:rsid w:val="004F0FDD"/>
    <w:rsid w:val="004F12E6"/>
    <w:rsid w:val="004F132F"/>
    <w:rsid w:val="004F16C5"/>
    <w:rsid w:val="004F1A97"/>
    <w:rsid w:val="004F2AD9"/>
    <w:rsid w:val="004F2C54"/>
    <w:rsid w:val="004F2D46"/>
    <w:rsid w:val="004F2E17"/>
    <w:rsid w:val="004F2EA4"/>
    <w:rsid w:val="004F3097"/>
    <w:rsid w:val="004F3357"/>
    <w:rsid w:val="004F356B"/>
    <w:rsid w:val="004F3DC8"/>
    <w:rsid w:val="004F3F20"/>
    <w:rsid w:val="004F3F2E"/>
    <w:rsid w:val="004F44C1"/>
    <w:rsid w:val="004F47BD"/>
    <w:rsid w:val="004F4860"/>
    <w:rsid w:val="004F49AC"/>
    <w:rsid w:val="004F4C51"/>
    <w:rsid w:val="004F4E7F"/>
    <w:rsid w:val="004F4F3B"/>
    <w:rsid w:val="004F53F5"/>
    <w:rsid w:val="004F564B"/>
    <w:rsid w:val="004F5759"/>
    <w:rsid w:val="004F5B82"/>
    <w:rsid w:val="004F5BA3"/>
    <w:rsid w:val="004F5CF5"/>
    <w:rsid w:val="004F5FBF"/>
    <w:rsid w:val="004F6296"/>
    <w:rsid w:val="004F6475"/>
    <w:rsid w:val="004F693F"/>
    <w:rsid w:val="004F6B4C"/>
    <w:rsid w:val="004F6BBE"/>
    <w:rsid w:val="004F71C0"/>
    <w:rsid w:val="004F725F"/>
    <w:rsid w:val="004F73FF"/>
    <w:rsid w:val="004F7402"/>
    <w:rsid w:val="004F7405"/>
    <w:rsid w:val="004F7983"/>
    <w:rsid w:val="004F7C0D"/>
    <w:rsid w:val="004F7C73"/>
    <w:rsid w:val="004F7DC0"/>
    <w:rsid w:val="0050001C"/>
    <w:rsid w:val="005001B9"/>
    <w:rsid w:val="00500310"/>
    <w:rsid w:val="0050102E"/>
    <w:rsid w:val="00501277"/>
    <w:rsid w:val="005014E7"/>
    <w:rsid w:val="00501C31"/>
    <w:rsid w:val="00501E4A"/>
    <w:rsid w:val="00502337"/>
    <w:rsid w:val="00502409"/>
    <w:rsid w:val="0050249A"/>
    <w:rsid w:val="00502536"/>
    <w:rsid w:val="00502882"/>
    <w:rsid w:val="0050289C"/>
    <w:rsid w:val="00502C0F"/>
    <w:rsid w:val="00503254"/>
    <w:rsid w:val="005033F7"/>
    <w:rsid w:val="00503542"/>
    <w:rsid w:val="00503943"/>
    <w:rsid w:val="005039D4"/>
    <w:rsid w:val="00503B6C"/>
    <w:rsid w:val="005040A9"/>
    <w:rsid w:val="00504143"/>
    <w:rsid w:val="005041AE"/>
    <w:rsid w:val="005047DF"/>
    <w:rsid w:val="00504865"/>
    <w:rsid w:val="00504B7D"/>
    <w:rsid w:val="00504BA5"/>
    <w:rsid w:val="005056BF"/>
    <w:rsid w:val="005057C5"/>
    <w:rsid w:val="005058B9"/>
    <w:rsid w:val="00505A06"/>
    <w:rsid w:val="00505CF1"/>
    <w:rsid w:val="00505D48"/>
    <w:rsid w:val="00505EC1"/>
    <w:rsid w:val="00505F0C"/>
    <w:rsid w:val="00506072"/>
    <w:rsid w:val="0050644E"/>
    <w:rsid w:val="005069C2"/>
    <w:rsid w:val="005071DA"/>
    <w:rsid w:val="00507523"/>
    <w:rsid w:val="00507826"/>
    <w:rsid w:val="00507B34"/>
    <w:rsid w:val="005103E4"/>
    <w:rsid w:val="0051050E"/>
    <w:rsid w:val="005106A1"/>
    <w:rsid w:val="0051074E"/>
    <w:rsid w:val="00510B63"/>
    <w:rsid w:val="00510DAA"/>
    <w:rsid w:val="00510EFA"/>
    <w:rsid w:val="00510FBA"/>
    <w:rsid w:val="00511725"/>
    <w:rsid w:val="00511C2C"/>
    <w:rsid w:val="00511CB1"/>
    <w:rsid w:val="00511F13"/>
    <w:rsid w:val="005121D6"/>
    <w:rsid w:val="0051234D"/>
    <w:rsid w:val="0051272C"/>
    <w:rsid w:val="005133F2"/>
    <w:rsid w:val="005134F1"/>
    <w:rsid w:val="0051362C"/>
    <w:rsid w:val="00513928"/>
    <w:rsid w:val="00513B66"/>
    <w:rsid w:val="00513E14"/>
    <w:rsid w:val="00514D9A"/>
    <w:rsid w:val="0051534C"/>
    <w:rsid w:val="0051536A"/>
    <w:rsid w:val="005154C1"/>
    <w:rsid w:val="00515835"/>
    <w:rsid w:val="00515880"/>
    <w:rsid w:val="005162AB"/>
    <w:rsid w:val="005162FB"/>
    <w:rsid w:val="00516437"/>
    <w:rsid w:val="00516D6A"/>
    <w:rsid w:val="005176D5"/>
    <w:rsid w:val="005178CF"/>
    <w:rsid w:val="00517A1B"/>
    <w:rsid w:val="00517CBB"/>
    <w:rsid w:val="005202E7"/>
    <w:rsid w:val="00520670"/>
    <w:rsid w:val="00520786"/>
    <w:rsid w:val="00520B24"/>
    <w:rsid w:val="00520D5F"/>
    <w:rsid w:val="00520FE2"/>
    <w:rsid w:val="00521122"/>
    <w:rsid w:val="00521283"/>
    <w:rsid w:val="0052176D"/>
    <w:rsid w:val="00521B0F"/>
    <w:rsid w:val="00521E14"/>
    <w:rsid w:val="00521E2D"/>
    <w:rsid w:val="00521F37"/>
    <w:rsid w:val="00522011"/>
    <w:rsid w:val="00522254"/>
    <w:rsid w:val="00522286"/>
    <w:rsid w:val="00522302"/>
    <w:rsid w:val="0052260F"/>
    <w:rsid w:val="00522F7B"/>
    <w:rsid w:val="0052351B"/>
    <w:rsid w:val="00523C4A"/>
    <w:rsid w:val="0052435C"/>
    <w:rsid w:val="00524371"/>
    <w:rsid w:val="00524A6B"/>
    <w:rsid w:val="00524CA0"/>
    <w:rsid w:val="00524CD7"/>
    <w:rsid w:val="00525177"/>
    <w:rsid w:val="0052593B"/>
    <w:rsid w:val="00525F22"/>
    <w:rsid w:val="0052641F"/>
    <w:rsid w:val="005267EF"/>
    <w:rsid w:val="005267FE"/>
    <w:rsid w:val="00526B53"/>
    <w:rsid w:val="00526BF5"/>
    <w:rsid w:val="00526D04"/>
    <w:rsid w:val="00526D69"/>
    <w:rsid w:val="00526EA6"/>
    <w:rsid w:val="00527467"/>
    <w:rsid w:val="005279EC"/>
    <w:rsid w:val="00527FE1"/>
    <w:rsid w:val="00530ADA"/>
    <w:rsid w:val="005311EA"/>
    <w:rsid w:val="00531B6B"/>
    <w:rsid w:val="00531EFC"/>
    <w:rsid w:val="00531F70"/>
    <w:rsid w:val="00531FD5"/>
    <w:rsid w:val="005321BC"/>
    <w:rsid w:val="0053235F"/>
    <w:rsid w:val="00532554"/>
    <w:rsid w:val="005328D0"/>
    <w:rsid w:val="00532970"/>
    <w:rsid w:val="00532A38"/>
    <w:rsid w:val="00532CFF"/>
    <w:rsid w:val="00533885"/>
    <w:rsid w:val="00533B55"/>
    <w:rsid w:val="00533DF0"/>
    <w:rsid w:val="00533F40"/>
    <w:rsid w:val="00534255"/>
    <w:rsid w:val="0053471F"/>
    <w:rsid w:val="00534D80"/>
    <w:rsid w:val="00534DF4"/>
    <w:rsid w:val="00534E3E"/>
    <w:rsid w:val="00535600"/>
    <w:rsid w:val="0053592D"/>
    <w:rsid w:val="0053593D"/>
    <w:rsid w:val="00535E46"/>
    <w:rsid w:val="00535F05"/>
    <w:rsid w:val="005361C7"/>
    <w:rsid w:val="0053676C"/>
    <w:rsid w:val="00536A74"/>
    <w:rsid w:val="00536BE9"/>
    <w:rsid w:val="00537002"/>
    <w:rsid w:val="005370D3"/>
    <w:rsid w:val="005370E9"/>
    <w:rsid w:val="0053788E"/>
    <w:rsid w:val="00537949"/>
    <w:rsid w:val="00537976"/>
    <w:rsid w:val="00537992"/>
    <w:rsid w:val="005379C8"/>
    <w:rsid w:val="00537A5A"/>
    <w:rsid w:val="00540239"/>
    <w:rsid w:val="005403FD"/>
    <w:rsid w:val="0054078C"/>
    <w:rsid w:val="005409E7"/>
    <w:rsid w:val="00540B48"/>
    <w:rsid w:val="00540C55"/>
    <w:rsid w:val="00540DB8"/>
    <w:rsid w:val="00541146"/>
    <w:rsid w:val="005413C6"/>
    <w:rsid w:val="00541401"/>
    <w:rsid w:val="005420D1"/>
    <w:rsid w:val="005422DC"/>
    <w:rsid w:val="00542814"/>
    <w:rsid w:val="00542974"/>
    <w:rsid w:val="005429C4"/>
    <w:rsid w:val="00542B12"/>
    <w:rsid w:val="00542BB6"/>
    <w:rsid w:val="00542FF3"/>
    <w:rsid w:val="00543268"/>
    <w:rsid w:val="00543522"/>
    <w:rsid w:val="00543813"/>
    <w:rsid w:val="00543996"/>
    <w:rsid w:val="00543A46"/>
    <w:rsid w:val="00543B7A"/>
    <w:rsid w:val="00544003"/>
    <w:rsid w:val="00544C5F"/>
    <w:rsid w:val="005450FA"/>
    <w:rsid w:val="00545405"/>
    <w:rsid w:val="00545A45"/>
    <w:rsid w:val="00545AD6"/>
    <w:rsid w:val="00545AE0"/>
    <w:rsid w:val="00545CC2"/>
    <w:rsid w:val="00546123"/>
    <w:rsid w:val="0054613E"/>
    <w:rsid w:val="00546238"/>
    <w:rsid w:val="00546284"/>
    <w:rsid w:val="00546583"/>
    <w:rsid w:val="0054660F"/>
    <w:rsid w:val="00546683"/>
    <w:rsid w:val="00546B81"/>
    <w:rsid w:val="00546BA2"/>
    <w:rsid w:val="00546E96"/>
    <w:rsid w:val="005470A6"/>
    <w:rsid w:val="00547117"/>
    <w:rsid w:val="0054730C"/>
    <w:rsid w:val="005473EB"/>
    <w:rsid w:val="00547A32"/>
    <w:rsid w:val="00547AA7"/>
    <w:rsid w:val="00547BC9"/>
    <w:rsid w:val="00547D3F"/>
    <w:rsid w:val="00547E03"/>
    <w:rsid w:val="00547E44"/>
    <w:rsid w:val="00547E4C"/>
    <w:rsid w:val="00550909"/>
    <w:rsid w:val="00550EA1"/>
    <w:rsid w:val="005510C7"/>
    <w:rsid w:val="0055119D"/>
    <w:rsid w:val="00551245"/>
    <w:rsid w:val="0055126E"/>
    <w:rsid w:val="00551559"/>
    <w:rsid w:val="00551665"/>
    <w:rsid w:val="00551696"/>
    <w:rsid w:val="00551B07"/>
    <w:rsid w:val="00551CF3"/>
    <w:rsid w:val="00551E1E"/>
    <w:rsid w:val="005521A4"/>
    <w:rsid w:val="00552271"/>
    <w:rsid w:val="0055235F"/>
    <w:rsid w:val="00552590"/>
    <w:rsid w:val="005526E5"/>
    <w:rsid w:val="0055277D"/>
    <w:rsid w:val="00552A11"/>
    <w:rsid w:val="00552C6F"/>
    <w:rsid w:val="00552E37"/>
    <w:rsid w:val="005533FC"/>
    <w:rsid w:val="00553B3E"/>
    <w:rsid w:val="00553CA1"/>
    <w:rsid w:val="00553D26"/>
    <w:rsid w:val="005542FE"/>
    <w:rsid w:val="00554591"/>
    <w:rsid w:val="00554891"/>
    <w:rsid w:val="00554931"/>
    <w:rsid w:val="00554A11"/>
    <w:rsid w:val="00554D5E"/>
    <w:rsid w:val="00554F0E"/>
    <w:rsid w:val="00554F46"/>
    <w:rsid w:val="0055534D"/>
    <w:rsid w:val="00555427"/>
    <w:rsid w:val="0055653D"/>
    <w:rsid w:val="00556561"/>
    <w:rsid w:val="00556C34"/>
    <w:rsid w:val="00556F58"/>
    <w:rsid w:val="0055724F"/>
    <w:rsid w:val="005577C5"/>
    <w:rsid w:val="005577D9"/>
    <w:rsid w:val="00557960"/>
    <w:rsid w:val="00557D75"/>
    <w:rsid w:val="00557F30"/>
    <w:rsid w:val="00557F92"/>
    <w:rsid w:val="005603CE"/>
    <w:rsid w:val="00560A19"/>
    <w:rsid w:val="00560BD2"/>
    <w:rsid w:val="00560E8B"/>
    <w:rsid w:val="0056100F"/>
    <w:rsid w:val="00561372"/>
    <w:rsid w:val="0056160F"/>
    <w:rsid w:val="00561DA8"/>
    <w:rsid w:val="00561F2A"/>
    <w:rsid w:val="00562227"/>
    <w:rsid w:val="00562820"/>
    <w:rsid w:val="00562CB2"/>
    <w:rsid w:val="00562CCC"/>
    <w:rsid w:val="00562DEF"/>
    <w:rsid w:val="005633C2"/>
    <w:rsid w:val="00563486"/>
    <w:rsid w:val="005637DB"/>
    <w:rsid w:val="00563BC9"/>
    <w:rsid w:val="005640BC"/>
    <w:rsid w:val="00564822"/>
    <w:rsid w:val="00564C83"/>
    <w:rsid w:val="00565053"/>
    <w:rsid w:val="005650A5"/>
    <w:rsid w:val="005651D4"/>
    <w:rsid w:val="0056523E"/>
    <w:rsid w:val="00565780"/>
    <w:rsid w:val="00565842"/>
    <w:rsid w:val="00565D1D"/>
    <w:rsid w:val="00565F48"/>
    <w:rsid w:val="005660D4"/>
    <w:rsid w:val="0056639B"/>
    <w:rsid w:val="005663E0"/>
    <w:rsid w:val="00566594"/>
    <w:rsid w:val="00566B40"/>
    <w:rsid w:val="005677E8"/>
    <w:rsid w:val="00567A69"/>
    <w:rsid w:val="00567D44"/>
    <w:rsid w:val="00567F24"/>
    <w:rsid w:val="005701FB"/>
    <w:rsid w:val="00570210"/>
    <w:rsid w:val="00570346"/>
    <w:rsid w:val="00570B80"/>
    <w:rsid w:val="00571143"/>
    <w:rsid w:val="00571196"/>
    <w:rsid w:val="00571292"/>
    <w:rsid w:val="005714DF"/>
    <w:rsid w:val="00571751"/>
    <w:rsid w:val="00571B2E"/>
    <w:rsid w:val="00571D6D"/>
    <w:rsid w:val="005720A6"/>
    <w:rsid w:val="005720D8"/>
    <w:rsid w:val="0057275B"/>
    <w:rsid w:val="005727AC"/>
    <w:rsid w:val="00572998"/>
    <w:rsid w:val="00572A31"/>
    <w:rsid w:val="00572B64"/>
    <w:rsid w:val="00572F46"/>
    <w:rsid w:val="0057325F"/>
    <w:rsid w:val="005732FF"/>
    <w:rsid w:val="005733EC"/>
    <w:rsid w:val="005733F9"/>
    <w:rsid w:val="005736A9"/>
    <w:rsid w:val="00573843"/>
    <w:rsid w:val="00573D1C"/>
    <w:rsid w:val="00573EEE"/>
    <w:rsid w:val="00573F4F"/>
    <w:rsid w:val="005740B5"/>
    <w:rsid w:val="0057461F"/>
    <w:rsid w:val="005746F8"/>
    <w:rsid w:val="0057471D"/>
    <w:rsid w:val="00574A02"/>
    <w:rsid w:val="00574A45"/>
    <w:rsid w:val="00574B62"/>
    <w:rsid w:val="00575869"/>
    <w:rsid w:val="00575D93"/>
    <w:rsid w:val="00575FBB"/>
    <w:rsid w:val="0057629C"/>
    <w:rsid w:val="00576363"/>
    <w:rsid w:val="005767FB"/>
    <w:rsid w:val="00576953"/>
    <w:rsid w:val="00576A54"/>
    <w:rsid w:val="00576B80"/>
    <w:rsid w:val="00576BB5"/>
    <w:rsid w:val="00576C07"/>
    <w:rsid w:val="00576E5F"/>
    <w:rsid w:val="0057732C"/>
    <w:rsid w:val="00577521"/>
    <w:rsid w:val="00577815"/>
    <w:rsid w:val="005778AA"/>
    <w:rsid w:val="00577D9C"/>
    <w:rsid w:val="00577DC6"/>
    <w:rsid w:val="00577ECD"/>
    <w:rsid w:val="00580327"/>
    <w:rsid w:val="00580483"/>
    <w:rsid w:val="00580679"/>
    <w:rsid w:val="00580F21"/>
    <w:rsid w:val="00580FA3"/>
    <w:rsid w:val="005810FA"/>
    <w:rsid w:val="005811DF"/>
    <w:rsid w:val="00581200"/>
    <w:rsid w:val="00581566"/>
    <w:rsid w:val="005816F4"/>
    <w:rsid w:val="00581765"/>
    <w:rsid w:val="00581BBE"/>
    <w:rsid w:val="00581BDF"/>
    <w:rsid w:val="00581E0D"/>
    <w:rsid w:val="005820B2"/>
    <w:rsid w:val="00582140"/>
    <w:rsid w:val="0058233B"/>
    <w:rsid w:val="00582770"/>
    <w:rsid w:val="0058277A"/>
    <w:rsid w:val="005827ED"/>
    <w:rsid w:val="00582C52"/>
    <w:rsid w:val="00582C98"/>
    <w:rsid w:val="005830CE"/>
    <w:rsid w:val="0058323F"/>
    <w:rsid w:val="00583257"/>
    <w:rsid w:val="00584440"/>
    <w:rsid w:val="005848B4"/>
    <w:rsid w:val="005849B2"/>
    <w:rsid w:val="005849FE"/>
    <w:rsid w:val="00584FF8"/>
    <w:rsid w:val="00585082"/>
    <w:rsid w:val="00585174"/>
    <w:rsid w:val="005852E6"/>
    <w:rsid w:val="00585999"/>
    <w:rsid w:val="00585C28"/>
    <w:rsid w:val="00585CFB"/>
    <w:rsid w:val="00585D45"/>
    <w:rsid w:val="00586765"/>
    <w:rsid w:val="005867FB"/>
    <w:rsid w:val="00586868"/>
    <w:rsid w:val="00587122"/>
    <w:rsid w:val="00587274"/>
    <w:rsid w:val="005873D8"/>
    <w:rsid w:val="00587509"/>
    <w:rsid w:val="00587B48"/>
    <w:rsid w:val="00587C01"/>
    <w:rsid w:val="0059027A"/>
    <w:rsid w:val="005902CA"/>
    <w:rsid w:val="0059038C"/>
    <w:rsid w:val="00590D27"/>
    <w:rsid w:val="00590DC1"/>
    <w:rsid w:val="00590E4A"/>
    <w:rsid w:val="00590E78"/>
    <w:rsid w:val="005914B1"/>
    <w:rsid w:val="005916B4"/>
    <w:rsid w:val="00591B94"/>
    <w:rsid w:val="00591C85"/>
    <w:rsid w:val="00591EE4"/>
    <w:rsid w:val="00591F72"/>
    <w:rsid w:val="00591FCF"/>
    <w:rsid w:val="00592079"/>
    <w:rsid w:val="005921E2"/>
    <w:rsid w:val="005922B0"/>
    <w:rsid w:val="005923B3"/>
    <w:rsid w:val="00592755"/>
    <w:rsid w:val="00592878"/>
    <w:rsid w:val="00592C7B"/>
    <w:rsid w:val="00592DB9"/>
    <w:rsid w:val="00592E7C"/>
    <w:rsid w:val="005936FA"/>
    <w:rsid w:val="005939AA"/>
    <w:rsid w:val="00594364"/>
    <w:rsid w:val="005944A7"/>
    <w:rsid w:val="00594711"/>
    <w:rsid w:val="00594E87"/>
    <w:rsid w:val="00594FF7"/>
    <w:rsid w:val="005950D6"/>
    <w:rsid w:val="005950E5"/>
    <w:rsid w:val="005950F5"/>
    <w:rsid w:val="005952DA"/>
    <w:rsid w:val="00595347"/>
    <w:rsid w:val="005954BE"/>
    <w:rsid w:val="00595564"/>
    <w:rsid w:val="005955BD"/>
    <w:rsid w:val="00595A87"/>
    <w:rsid w:val="00596779"/>
    <w:rsid w:val="00596ED9"/>
    <w:rsid w:val="00596FDD"/>
    <w:rsid w:val="00597309"/>
    <w:rsid w:val="00597AD7"/>
    <w:rsid w:val="00597F3A"/>
    <w:rsid w:val="005A00D2"/>
    <w:rsid w:val="005A023A"/>
    <w:rsid w:val="005A0879"/>
    <w:rsid w:val="005A0ABD"/>
    <w:rsid w:val="005A0C37"/>
    <w:rsid w:val="005A0E50"/>
    <w:rsid w:val="005A1772"/>
    <w:rsid w:val="005A1D0C"/>
    <w:rsid w:val="005A2307"/>
    <w:rsid w:val="005A2623"/>
    <w:rsid w:val="005A28D8"/>
    <w:rsid w:val="005A2C71"/>
    <w:rsid w:val="005A2D5E"/>
    <w:rsid w:val="005A30E9"/>
    <w:rsid w:val="005A3946"/>
    <w:rsid w:val="005A47AC"/>
    <w:rsid w:val="005A4A24"/>
    <w:rsid w:val="005A4A4C"/>
    <w:rsid w:val="005A4CD3"/>
    <w:rsid w:val="005A4E02"/>
    <w:rsid w:val="005A4E33"/>
    <w:rsid w:val="005A4FA6"/>
    <w:rsid w:val="005A50A7"/>
    <w:rsid w:val="005A59BC"/>
    <w:rsid w:val="005A5E41"/>
    <w:rsid w:val="005A6236"/>
    <w:rsid w:val="005A6315"/>
    <w:rsid w:val="005A657E"/>
    <w:rsid w:val="005A6741"/>
    <w:rsid w:val="005A67C3"/>
    <w:rsid w:val="005A69E0"/>
    <w:rsid w:val="005A6C66"/>
    <w:rsid w:val="005A6F7C"/>
    <w:rsid w:val="005A73A5"/>
    <w:rsid w:val="005A74F7"/>
    <w:rsid w:val="005A7626"/>
    <w:rsid w:val="005A783B"/>
    <w:rsid w:val="005A7E0C"/>
    <w:rsid w:val="005B00AF"/>
    <w:rsid w:val="005B03CA"/>
    <w:rsid w:val="005B0757"/>
    <w:rsid w:val="005B080A"/>
    <w:rsid w:val="005B0ADA"/>
    <w:rsid w:val="005B0D5D"/>
    <w:rsid w:val="005B132F"/>
    <w:rsid w:val="005B141A"/>
    <w:rsid w:val="005B15EB"/>
    <w:rsid w:val="005B17A1"/>
    <w:rsid w:val="005B17CF"/>
    <w:rsid w:val="005B18B2"/>
    <w:rsid w:val="005B1A1F"/>
    <w:rsid w:val="005B1B45"/>
    <w:rsid w:val="005B2990"/>
    <w:rsid w:val="005B2A6C"/>
    <w:rsid w:val="005B2C3A"/>
    <w:rsid w:val="005B2E89"/>
    <w:rsid w:val="005B3222"/>
    <w:rsid w:val="005B38E7"/>
    <w:rsid w:val="005B39B3"/>
    <w:rsid w:val="005B3F8B"/>
    <w:rsid w:val="005B40A6"/>
    <w:rsid w:val="005B40E0"/>
    <w:rsid w:val="005B4184"/>
    <w:rsid w:val="005B459F"/>
    <w:rsid w:val="005B4819"/>
    <w:rsid w:val="005B4A13"/>
    <w:rsid w:val="005B4A2B"/>
    <w:rsid w:val="005B4B51"/>
    <w:rsid w:val="005B4BC4"/>
    <w:rsid w:val="005B4F84"/>
    <w:rsid w:val="005B50FB"/>
    <w:rsid w:val="005B5AC2"/>
    <w:rsid w:val="005B5DE1"/>
    <w:rsid w:val="005B62D7"/>
    <w:rsid w:val="005B6618"/>
    <w:rsid w:val="005B686E"/>
    <w:rsid w:val="005B695E"/>
    <w:rsid w:val="005B6B82"/>
    <w:rsid w:val="005B6D91"/>
    <w:rsid w:val="005B71B7"/>
    <w:rsid w:val="005B772B"/>
    <w:rsid w:val="005B773D"/>
    <w:rsid w:val="005B7C15"/>
    <w:rsid w:val="005C0180"/>
    <w:rsid w:val="005C01A2"/>
    <w:rsid w:val="005C01B7"/>
    <w:rsid w:val="005C0473"/>
    <w:rsid w:val="005C0B38"/>
    <w:rsid w:val="005C0FCC"/>
    <w:rsid w:val="005C1284"/>
    <w:rsid w:val="005C141C"/>
    <w:rsid w:val="005C179D"/>
    <w:rsid w:val="005C1B1A"/>
    <w:rsid w:val="005C1F33"/>
    <w:rsid w:val="005C20C1"/>
    <w:rsid w:val="005C2443"/>
    <w:rsid w:val="005C248D"/>
    <w:rsid w:val="005C24A4"/>
    <w:rsid w:val="005C2669"/>
    <w:rsid w:val="005C293A"/>
    <w:rsid w:val="005C2CDA"/>
    <w:rsid w:val="005C2E57"/>
    <w:rsid w:val="005C33B3"/>
    <w:rsid w:val="005C33F5"/>
    <w:rsid w:val="005C3634"/>
    <w:rsid w:val="005C4009"/>
    <w:rsid w:val="005C459D"/>
    <w:rsid w:val="005C526C"/>
    <w:rsid w:val="005C53B4"/>
    <w:rsid w:val="005C56E9"/>
    <w:rsid w:val="005C59E9"/>
    <w:rsid w:val="005C605D"/>
    <w:rsid w:val="005C656F"/>
    <w:rsid w:val="005C685E"/>
    <w:rsid w:val="005C7083"/>
    <w:rsid w:val="005C7D77"/>
    <w:rsid w:val="005D01C6"/>
    <w:rsid w:val="005D08DD"/>
    <w:rsid w:val="005D0A3A"/>
    <w:rsid w:val="005D0E85"/>
    <w:rsid w:val="005D0EE0"/>
    <w:rsid w:val="005D1038"/>
    <w:rsid w:val="005D12DE"/>
    <w:rsid w:val="005D1B37"/>
    <w:rsid w:val="005D1F1D"/>
    <w:rsid w:val="005D208D"/>
    <w:rsid w:val="005D231B"/>
    <w:rsid w:val="005D2350"/>
    <w:rsid w:val="005D2391"/>
    <w:rsid w:val="005D2A79"/>
    <w:rsid w:val="005D3004"/>
    <w:rsid w:val="005D3255"/>
    <w:rsid w:val="005D34E4"/>
    <w:rsid w:val="005D37BE"/>
    <w:rsid w:val="005D3D39"/>
    <w:rsid w:val="005D4092"/>
    <w:rsid w:val="005D42EB"/>
    <w:rsid w:val="005D452E"/>
    <w:rsid w:val="005D47CB"/>
    <w:rsid w:val="005D4C28"/>
    <w:rsid w:val="005D4E3C"/>
    <w:rsid w:val="005D511E"/>
    <w:rsid w:val="005D6A62"/>
    <w:rsid w:val="005D6D61"/>
    <w:rsid w:val="005D6D8D"/>
    <w:rsid w:val="005D7101"/>
    <w:rsid w:val="005D7600"/>
    <w:rsid w:val="005D787E"/>
    <w:rsid w:val="005D7BAD"/>
    <w:rsid w:val="005D7C39"/>
    <w:rsid w:val="005D7D5A"/>
    <w:rsid w:val="005D7DF4"/>
    <w:rsid w:val="005E0000"/>
    <w:rsid w:val="005E00E4"/>
    <w:rsid w:val="005E0557"/>
    <w:rsid w:val="005E059B"/>
    <w:rsid w:val="005E0736"/>
    <w:rsid w:val="005E079F"/>
    <w:rsid w:val="005E07C2"/>
    <w:rsid w:val="005E0AF6"/>
    <w:rsid w:val="005E0F1E"/>
    <w:rsid w:val="005E101C"/>
    <w:rsid w:val="005E13DF"/>
    <w:rsid w:val="005E15FB"/>
    <w:rsid w:val="005E16B1"/>
    <w:rsid w:val="005E1713"/>
    <w:rsid w:val="005E18A6"/>
    <w:rsid w:val="005E241F"/>
    <w:rsid w:val="005E256B"/>
    <w:rsid w:val="005E277B"/>
    <w:rsid w:val="005E27B8"/>
    <w:rsid w:val="005E319C"/>
    <w:rsid w:val="005E33FA"/>
    <w:rsid w:val="005E3639"/>
    <w:rsid w:val="005E387D"/>
    <w:rsid w:val="005E3B75"/>
    <w:rsid w:val="005E3D15"/>
    <w:rsid w:val="005E4C65"/>
    <w:rsid w:val="005E5262"/>
    <w:rsid w:val="005E5337"/>
    <w:rsid w:val="005E539C"/>
    <w:rsid w:val="005E55AC"/>
    <w:rsid w:val="005E5964"/>
    <w:rsid w:val="005E59C5"/>
    <w:rsid w:val="005E6513"/>
    <w:rsid w:val="005E6A29"/>
    <w:rsid w:val="005E6A40"/>
    <w:rsid w:val="005E6A91"/>
    <w:rsid w:val="005E6FAC"/>
    <w:rsid w:val="005E7125"/>
    <w:rsid w:val="005E7167"/>
    <w:rsid w:val="005E71EA"/>
    <w:rsid w:val="005E740A"/>
    <w:rsid w:val="005E7464"/>
    <w:rsid w:val="005E7553"/>
    <w:rsid w:val="005E75AF"/>
    <w:rsid w:val="005E7964"/>
    <w:rsid w:val="005E7A11"/>
    <w:rsid w:val="005E7A85"/>
    <w:rsid w:val="005E7B2E"/>
    <w:rsid w:val="005E7CC7"/>
    <w:rsid w:val="005E7FF6"/>
    <w:rsid w:val="005F024E"/>
    <w:rsid w:val="005F0298"/>
    <w:rsid w:val="005F0357"/>
    <w:rsid w:val="005F0593"/>
    <w:rsid w:val="005F07A8"/>
    <w:rsid w:val="005F07B5"/>
    <w:rsid w:val="005F0A14"/>
    <w:rsid w:val="005F0C8C"/>
    <w:rsid w:val="005F0EC7"/>
    <w:rsid w:val="005F0F26"/>
    <w:rsid w:val="005F104C"/>
    <w:rsid w:val="005F1765"/>
    <w:rsid w:val="005F1A28"/>
    <w:rsid w:val="005F1AA5"/>
    <w:rsid w:val="005F1BC4"/>
    <w:rsid w:val="005F1CFE"/>
    <w:rsid w:val="005F1EB5"/>
    <w:rsid w:val="005F1EEC"/>
    <w:rsid w:val="005F1F87"/>
    <w:rsid w:val="005F224A"/>
    <w:rsid w:val="005F2779"/>
    <w:rsid w:val="005F2946"/>
    <w:rsid w:val="005F2960"/>
    <w:rsid w:val="005F2B42"/>
    <w:rsid w:val="005F31C3"/>
    <w:rsid w:val="005F323B"/>
    <w:rsid w:val="005F34C6"/>
    <w:rsid w:val="005F3834"/>
    <w:rsid w:val="005F391B"/>
    <w:rsid w:val="005F411D"/>
    <w:rsid w:val="005F4318"/>
    <w:rsid w:val="005F4C16"/>
    <w:rsid w:val="005F4F02"/>
    <w:rsid w:val="005F4F2B"/>
    <w:rsid w:val="005F4F8E"/>
    <w:rsid w:val="005F5093"/>
    <w:rsid w:val="005F538A"/>
    <w:rsid w:val="005F54A4"/>
    <w:rsid w:val="005F55BF"/>
    <w:rsid w:val="005F5BF4"/>
    <w:rsid w:val="005F6098"/>
    <w:rsid w:val="005F63CF"/>
    <w:rsid w:val="005F696A"/>
    <w:rsid w:val="005F6A5E"/>
    <w:rsid w:val="005F6D0E"/>
    <w:rsid w:val="005F71D1"/>
    <w:rsid w:val="005F7341"/>
    <w:rsid w:val="005F73C7"/>
    <w:rsid w:val="005F7809"/>
    <w:rsid w:val="005F7927"/>
    <w:rsid w:val="0060035F"/>
    <w:rsid w:val="006003BE"/>
    <w:rsid w:val="00600C5E"/>
    <w:rsid w:val="00600DA8"/>
    <w:rsid w:val="006014E1"/>
    <w:rsid w:val="00601590"/>
    <w:rsid w:val="006015A3"/>
    <w:rsid w:val="00601797"/>
    <w:rsid w:val="0060184A"/>
    <w:rsid w:val="00601ABF"/>
    <w:rsid w:val="00602A92"/>
    <w:rsid w:val="00602C7A"/>
    <w:rsid w:val="00603033"/>
    <w:rsid w:val="006030DA"/>
    <w:rsid w:val="006031B1"/>
    <w:rsid w:val="00603624"/>
    <w:rsid w:val="00603708"/>
    <w:rsid w:val="00603728"/>
    <w:rsid w:val="006038FA"/>
    <w:rsid w:val="00603BB5"/>
    <w:rsid w:val="00603CF2"/>
    <w:rsid w:val="00603FAC"/>
    <w:rsid w:val="006041DA"/>
    <w:rsid w:val="0060421F"/>
    <w:rsid w:val="006043D8"/>
    <w:rsid w:val="0060472B"/>
    <w:rsid w:val="006049D7"/>
    <w:rsid w:val="00604D72"/>
    <w:rsid w:val="00604F6C"/>
    <w:rsid w:val="0060514D"/>
    <w:rsid w:val="006051FD"/>
    <w:rsid w:val="0060530F"/>
    <w:rsid w:val="00605EC4"/>
    <w:rsid w:val="00606124"/>
    <w:rsid w:val="006064B9"/>
    <w:rsid w:val="00606AA1"/>
    <w:rsid w:val="00606DE6"/>
    <w:rsid w:val="00607190"/>
    <w:rsid w:val="00607205"/>
    <w:rsid w:val="006074E4"/>
    <w:rsid w:val="00607931"/>
    <w:rsid w:val="00610ABD"/>
    <w:rsid w:val="00610B8A"/>
    <w:rsid w:val="00610CC5"/>
    <w:rsid w:val="00610E99"/>
    <w:rsid w:val="00610F62"/>
    <w:rsid w:val="006112D1"/>
    <w:rsid w:val="006112FA"/>
    <w:rsid w:val="00611CC0"/>
    <w:rsid w:val="00611D23"/>
    <w:rsid w:val="0061213A"/>
    <w:rsid w:val="00612A7A"/>
    <w:rsid w:val="0061313E"/>
    <w:rsid w:val="006133A3"/>
    <w:rsid w:val="006135E9"/>
    <w:rsid w:val="006139A9"/>
    <w:rsid w:val="006139F3"/>
    <w:rsid w:val="00613D33"/>
    <w:rsid w:val="00613D81"/>
    <w:rsid w:val="006147AB"/>
    <w:rsid w:val="006148F7"/>
    <w:rsid w:val="00615040"/>
    <w:rsid w:val="00615161"/>
    <w:rsid w:val="00615642"/>
    <w:rsid w:val="00615811"/>
    <w:rsid w:val="00615950"/>
    <w:rsid w:val="006161A9"/>
    <w:rsid w:val="0061666E"/>
    <w:rsid w:val="006166BA"/>
    <w:rsid w:val="00616906"/>
    <w:rsid w:val="00616D36"/>
    <w:rsid w:val="00616EA4"/>
    <w:rsid w:val="0061752C"/>
    <w:rsid w:val="0061764A"/>
    <w:rsid w:val="00617717"/>
    <w:rsid w:val="006177F8"/>
    <w:rsid w:val="00617802"/>
    <w:rsid w:val="00617926"/>
    <w:rsid w:val="00617945"/>
    <w:rsid w:val="00617FCA"/>
    <w:rsid w:val="00620205"/>
    <w:rsid w:val="0062063B"/>
    <w:rsid w:val="00620D73"/>
    <w:rsid w:val="00620F52"/>
    <w:rsid w:val="00620FAF"/>
    <w:rsid w:val="006213E1"/>
    <w:rsid w:val="00621992"/>
    <w:rsid w:val="00621B48"/>
    <w:rsid w:val="00621EC9"/>
    <w:rsid w:val="006221EF"/>
    <w:rsid w:val="00622D42"/>
    <w:rsid w:val="00622DEE"/>
    <w:rsid w:val="00622F63"/>
    <w:rsid w:val="00623402"/>
    <w:rsid w:val="006234EA"/>
    <w:rsid w:val="00623C8D"/>
    <w:rsid w:val="00623E75"/>
    <w:rsid w:val="00623F88"/>
    <w:rsid w:val="00623FFA"/>
    <w:rsid w:val="00624548"/>
    <w:rsid w:val="00624B34"/>
    <w:rsid w:val="00624E07"/>
    <w:rsid w:val="00624EF5"/>
    <w:rsid w:val="00625020"/>
    <w:rsid w:val="00625323"/>
    <w:rsid w:val="0062551C"/>
    <w:rsid w:val="006255C2"/>
    <w:rsid w:val="006256B9"/>
    <w:rsid w:val="00625953"/>
    <w:rsid w:val="00625AA2"/>
    <w:rsid w:val="00625AB1"/>
    <w:rsid w:val="00625B93"/>
    <w:rsid w:val="00625CBB"/>
    <w:rsid w:val="00625F25"/>
    <w:rsid w:val="006260EE"/>
    <w:rsid w:val="0062628B"/>
    <w:rsid w:val="006262CA"/>
    <w:rsid w:val="006262D0"/>
    <w:rsid w:val="006263D0"/>
    <w:rsid w:val="006268FF"/>
    <w:rsid w:val="00626AD6"/>
    <w:rsid w:val="00626E6F"/>
    <w:rsid w:val="00627B0E"/>
    <w:rsid w:val="00627C74"/>
    <w:rsid w:val="006308E9"/>
    <w:rsid w:val="00630973"/>
    <w:rsid w:val="00630B6D"/>
    <w:rsid w:val="00630FB2"/>
    <w:rsid w:val="00631247"/>
    <w:rsid w:val="00631406"/>
    <w:rsid w:val="00631409"/>
    <w:rsid w:val="006318CF"/>
    <w:rsid w:val="00631BFA"/>
    <w:rsid w:val="00631C93"/>
    <w:rsid w:val="00631CE2"/>
    <w:rsid w:val="00632176"/>
    <w:rsid w:val="00632257"/>
    <w:rsid w:val="00632701"/>
    <w:rsid w:val="0063283F"/>
    <w:rsid w:val="0063294B"/>
    <w:rsid w:val="00632DF8"/>
    <w:rsid w:val="00632F3B"/>
    <w:rsid w:val="006330C2"/>
    <w:rsid w:val="006330DE"/>
    <w:rsid w:val="006334B6"/>
    <w:rsid w:val="00633563"/>
    <w:rsid w:val="006336D2"/>
    <w:rsid w:val="0063382F"/>
    <w:rsid w:val="00633939"/>
    <w:rsid w:val="00633EF8"/>
    <w:rsid w:val="00634340"/>
    <w:rsid w:val="006343A2"/>
    <w:rsid w:val="0063488E"/>
    <w:rsid w:val="006349AB"/>
    <w:rsid w:val="00635377"/>
    <w:rsid w:val="00635405"/>
    <w:rsid w:val="0063583C"/>
    <w:rsid w:val="00635870"/>
    <w:rsid w:val="00635F6D"/>
    <w:rsid w:val="006360BF"/>
    <w:rsid w:val="00636271"/>
    <w:rsid w:val="006364B2"/>
    <w:rsid w:val="006368F9"/>
    <w:rsid w:val="00636C34"/>
    <w:rsid w:val="00636D4B"/>
    <w:rsid w:val="00636EB1"/>
    <w:rsid w:val="00637036"/>
    <w:rsid w:val="006370E4"/>
    <w:rsid w:val="00637180"/>
    <w:rsid w:val="00637303"/>
    <w:rsid w:val="0063739C"/>
    <w:rsid w:val="00637A25"/>
    <w:rsid w:val="00637D58"/>
    <w:rsid w:val="00637E03"/>
    <w:rsid w:val="00640382"/>
    <w:rsid w:val="00640449"/>
    <w:rsid w:val="00640659"/>
    <w:rsid w:val="00640774"/>
    <w:rsid w:val="00640864"/>
    <w:rsid w:val="006408D3"/>
    <w:rsid w:val="00640BC7"/>
    <w:rsid w:val="006411D5"/>
    <w:rsid w:val="00641629"/>
    <w:rsid w:val="006417E3"/>
    <w:rsid w:val="006423C1"/>
    <w:rsid w:val="00642E09"/>
    <w:rsid w:val="00643024"/>
    <w:rsid w:val="006432E0"/>
    <w:rsid w:val="0064355F"/>
    <w:rsid w:val="006439FB"/>
    <w:rsid w:val="00643C5A"/>
    <w:rsid w:val="00644383"/>
    <w:rsid w:val="00644565"/>
    <w:rsid w:val="006446EC"/>
    <w:rsid w:val="00644797"/>
    <w:rsid w:val="00644836"/>
    <w:rsid w:val="0064495A"/>
    <w:rsid w:val="006449EB"/>
    <w:rsid w:val="00644E21"/>
    <w:rsid w:val="00644F84"/>
    <w:rsid w:val="00645164"/>
    <w:rsid w:val="00645196"/>
    <w:rsid w:val="00645219"/>
    <w:rsid w:val="00645BA7"/>
    <w:rsid w:val="00645D7E"/>
    <w:rsid w:val="00645E35"/>
    <w:rsid w:val="00645F38"/>
    <w:rsid w:val="00646722"/>
    <w:rsid w:val="006467A9"/>
    <w:rsid w:val="00646817"/>
    <w:rsid w:val="006468F5"/>
    <w:rsid w:val="00646B35"/>
    <w:rsid w:val="006475FC"/>
    <w:rsid w:val="00647823"/>
    <w:rsid w:val="00650271"/>
    <w:rsid w:val="006502FA"/>
    <w:rsid w:val="00650375"/>
    <w:rsid w:val="006504A2"/>
    <w:rsid w:val="00650AA9"/>
    <w:rsid w:val="00650B38"/>
    <w:rsid w:val="00650E04"/>
    <w:rsid w:val="006515C2"/>
    <w:rsid w:val="00651777"/>
    <w:rsid w:val="00651799"/>
    <w:rsid w:val="006519DD"/>
    <w:rsid w:val="00651E61"/>
    <w:rsid w:val="00651EBA"/>
    <w:rsid w:val="00652A36"/>
    <w:rsid w:val="006530F7"/>
    <w:rsid w:val="0065318F"/>
    <w:rsid w:val="006534AB"/>
    <w:rsid w:val="006537E0"/>
    <w:rsid w:val="006539D0"/>
    <w:rsid w:val="00653A4D"/>
    <w:rsid w:val="00653B75"/>
    <w:rsid w:val="00653D8D"/>
    <w:rsid w:val="00653EA7"/>
    <w:rsid w:val="00653F25"/>
    <w:rsid w:val="00653F28"/>
    <w:rsid w:val="00653F6E"/>
    <w:rsid w:val="00654087"/>
    <w:rsid w:val="006543C2"/>
    <w:rsid w:val="00654441"/>
    <w:rsid w:val="006544E2"/>
    <w:rsid w:val="00655256"/>
    <w:rsid w:val="006557BE"/>
    <w:rsid w:val="00655A79"/>
    <w:rsid w:val="00655BA6"/>
    <w:rsid w:val="00655D9C"/>
    <w:rsid w:val="00655E7E"/>
    <w:rsid w:val="006561C5"/>
    <w:rsid w:val="006561CD"/>
    <w:rsid w:val="0065628B"/>
    <w:rsid w:val="0065636A"/>
    <w:rsid w:val="0065653C"/>
    <w:rsid w:val="00656C36"/>
    <w:rsid w:val="00656D94"/>
    <w:rsid w:val="00657243"/>
    <w:rsid w:val="0065729C"/>
    <w:rsid w:val="00657532"/>
    <w:rsid w:val="00657731"/>
    <w:rsid w:val="0066044E"/>
    <w:rsid w:val="00660675"/>
    <w:rsid w:val="006606E3"/>
    <w:rsid w:val="00660878"/>
    <w:rsid w:val="006608E9"/>
    <w:rsid w:val="00660F9F"/>
    <w:rsid w:val="006616C8"/>
    <w:rsid w:val="00661803"/>
    <w:rsid w:val="00661B26"/>
    <w:rsid w:val="00661D47"/>
    <w:rsid w:val="006622A4"/>
    <w:rsid w:val="006625E6"/>
    <w:rsid w:val="00662825"/>
    <w:rsid w:val="0066298C"/>
    <w:rsid w:val="00662BC9"/>
    <w:rsid w:val="00662E77"/>
    <w:rsid w:val="00663373"/>
    <w:rsid w:val="00663492"/>
    <w:rsid w:val="00663726"/>
    <w:rsid w:val="0066383C"/>
    <w:rsid w:val="00663ABD"/>
    <w:rsid w:val="00663E6B"/>
    <w:rsid w:val="00663FA1"/>
    <w:rsid w:val="00664091"/>
    <w:rsid w:val="006641AB"/>
    <w:rsid w:val="00664685"/>
    <w:rsid w:val="00664841"/>
    <w:rsid w:val="00664F85"/>
    <w:rsid w:val="006654A4"/>
    <w:rsid w:val="006654F5"/>
    <w:rsid w:val="00665538"/>
    <w:rsid w:val="00665766"/>
    <w:rsid w:val="00665A2B"/>
    <w:rsid w:val="00665AA1"/>
    <w:rsid w:val="0066617E"/>
    <w:rsid w:val="006665AE"/>
    <w:rsid w:val="006666C7"/>
    <w:rsid w:val="00666F58"/>
    <w:rsid w:val="00667145"/>
    <w:rsid w:val="0066768E"/>
    <w:rsid w:val="006676C3"/>
    <w:rsid w:val="006679AC"/>
    <w:rsid w:val="006679CB"/>
    <w:rsid w:val="00667B22"/>
    <w:rsid w:val="00667DA1"/>
    <w:rsid w:val="00667EF1"/>
    <w:rsid w:val="006703A3"/>
    <w:rsid w:val="006704FD"/>
    <w:rsid w:val="00670651"/>
    <w:rsid w:val="00670680"/>
    <w:rsid w:val="006709F3"/>
    <w:rsid w:val="006710C1"/>
    <w:rsid w:val="00671317"/>
    <w:rsid w:val="006717F2"/>
    <w:rsid w:val="00671E16"/>
    <w:rsid w:val="00671F81"/>
    <w:rsid w:val="006721A0"/>
    <w:rsid w:val="00672851"/>
    <w:rsid w:val="006729FD"/>
    <w:rsid w:val="00672BA7"/>
    <w:rsid w:val="0067304E"/>
    <w:rsid w:val="0067310E"/>
    <w:rsid w:val="00673219"/>
    <w:rsid w:val="00673834"/>
    <w:rsid w:val="00673BBA"/>
    <w:rsid w:val="006741A5"/>
    <w:rsid w:val="0067440F"/>
    <w:rsid w:val="00674597"/>
    <w:rsid w:val="006745E5"/>
    <w:rsid w:val="006749BD"/>
    <w:rsid w:val="006754D9"/>
    <w:rsid w:val="00675B5F"/>
    <w:rsid w:val="006762D7"/>
    <w:rsid w:val="00676308"/>
    <w:rsid w:val="00676326"/>
    <w:rsid w:val="0067693B"/>
    <w:rsid w:val="00676A71"/>
    <w:rsid w:val="00677565"/>
    <w:rsid w:val="00677727"/>
    <w:rsid w:val="00677A0E"/>
    <w:rsid w:val="00677D3D"/>
    <w:rsid w:val="00677DDD"/>
    <w:rsid w:val="00677E19"/>
    <w:rsid w:val="006802F0"/>
    <w:rsid w:val="006803D6"/>
    <w:rsid w:val="00680424"/>
    <w:rsid w:val="00680544"/>
    <w:rsid w:val="0068056A"/>
    <w:rsid w:val="00680616"/>
    <w:rsid w:val="00680C3D"/>
    <w:rsid w:val="00681120"/>
    <w:rsid w:val="00681181"/>
    <w:rsid w:val="006812D2"/>
    <w:rsid w:val="006816A1"/>
    <w:rsid w:val="006818E3"/>
    <w:rsid w:val="00681C7D"/>
    <w:rsid w:val="00681DD2"/>
    <w:rsid w:val="00681F1B"/>
    <w:rsid w:val="00682099"/>
    <w:rsid w:val="006820D3"/>
    <w:rsid w:val="0068221B"/>
    <w:rsid w:val="00682434"/>
    <w:rsid w:val="006824F7"/>
    <w:rsid w:val="0068258A"/>
    <w:rsid w:val="00682888"/>
    <w:rsid w:val="00682ADD"/>
    <w:rsid w:val="00682B48"/>
    <w:rsid w:val="00682D0F"/>
    <w:rsid w:val="00682FA4"/>
    <w:rsid w:val="0068307F"/>
    <w:rsid w:val="00683484"/>
    <w:rsid w:val="006835C9"/>
    <w:rsid w:val="006837BF"/>
    <w:rsid w:val="00683C1C"/>
    <w:rsid w:val="00683C29"/>
    <w:rsid w:val="00683DFF"/>
    <w:rsid w:val="00683E01"/>
    <w:rsid w:val="00683E45"/>
    <w:rsid w:val="006843C6"/>
    <w:rsid w:val="0068482B"/>
    <w:rsid w:val="006849ED"/>
    <w:rsid w:val="00684BEC"/>
    <w:rsid w:val="00684D3E"/>
    <w:rsid w:val="006850D0"/>
    <w:rsid w:val="006854FC"/>
    <w:rsid w:val="0068574E"/>
    <w:rsid w:val="00685A22"/>
    <w:rsid w:val="00686131"/>
    <w:rsid w:val="006861E4"/>
    <w:rsid w:val="006863F3"/>
    <w:rsid w:val="006865DA"/>
    <w:rsid w:val="00686648"/>
    <w:rsid w:val="00686BF4"/>
    <w:rsid w:val="00686DA8"/>
    <w:rsid w:val="0068712E"/>
    <w:rsid w:val="006871E5"/>
    <w:rsid w:val="0068745C"/>
    <w:rsid w:val="006875A8"/>
    <w:rsid w:val="00687C90"/>
    <w:rsid w:val="00687E61"/>
    <w:rsid w:val="006901A0"/>
    <w:rsid w:val="00690275"/>
    <w:rsid w:val="00690466"/>
    <w:rsid w:val="00690513"/>
    <w:rsid w:val="006909CC"/>
    <w:rsid w:val="00690E05"/>
    <w:rsid w:val="00690F34"/>
    <w:rsid w:val="0069132A"/>
    <w:rsid w:val="00691362"/>
    <w:rsid w:val="00691382"/>
    <w:rsid w:val="0069179D"/>
    <w:rsid w:val="00691AD6"/>
    <w:rsid w:val="00691D95"/>
    <w:rsid w:val="00691DA9"/>
    <w:rsid w:val="00691FC8"/>
    <w:rsid w:val="0069251A"/>
    <w:rsid w:val="006928AE"/>
    <w:rsid w:val="00692B6C"/>
    <w:rsid w:val="0069318C"/>
    <w:rsid w:val="0069376A"/>
    <w:rsid w:val="00693998"/>
    <w:rsid w:val="00693D17"/>
    <w:rsid w:val="0069408E"/>
    <w:rsid w:val="006945B6"/>
    <w:rsid w:val="0069465D"/>
    <w:rsid w:val="006946FA"/>
    <w:rsid w:val="00694D8A"/>
    <w:rsid w:val="00694F3D"/>
    <w:rsid w:val="0069544A"/>
    <w:rsid w:val="006956D4"/>
    <w:rsid w:val="0069594C"/>
    <w:rsid w:val="00695A6D"/>
    <w:rsid w:val="00695CDF"/>
    <w:rsid w:val="00695F02"/>
    <w:rsid w:val="006962F4"/>
    <w:rsid w:val="0069686B"/>
    <w:rsid w:val="0069696D"/>
    <w:rsid w:val="00696C34"/>
    <w:rsid w:val="00696CE4"/>
    <w:rsid w:val="00696DB2"/>
    <w:rsid w:val="00696F81"/>
    <w:rsid w:val="006974A9"/>
    <w:rsid w:val="006974DB"/>
    <w:rsid w:val="0069773B"/>
    <w:rsid w:val="0069785A"/>
    <w:rsid w:val="006978F2"/>
    <w:rsid w:val="00697951"/>
    <w:rsid w:val="006A03AA"/>
    <w:rsid w:val="006A0443"/>
    <w:rsid w:val="006A0AC3"/>
    <w:rsid w:val="006A0B8F"/>
    <w:rsid w:val="006A0C99"/>
    <w:rsid w:val="006A0DAA"/>
    <w:rsid w:val="006A10C1"/>
    <w:rsid w:val="006A11DF"/>
    <w:rsid w:val="006A18B6"/>
    <w:rsid w:val="006A19B4"/>
    <w:rsid w:val="006A1DD6"/>
    <w:rsid w:val="006A1E7B"/>
    <w:rsid w:val="006A1EDC"/>
    <w:rsid w:val="006A20B7"/>
    <w:rsid w:val="006A2823"/>
    <w:rsid w:val="006A35D3"/>
    <w:rsid w:val="006A37DB"/>
    <w:rsid w:val="006A3DF3"/>
    <w:rsid w:val="006A3E79"/>
    <w:rsid w:val="006A4167"/>
    <w:rsid w:val="006A417B"/>
    <w:rsid w:val="006A41D4"/>
    <w:rsid w:val="006A4215"/>
    <w:rsid w:val="006A4342"/>
    <w:rsid w:val="006A44F0"/>
    <w:rsid w:val="006A451D"/>
    <w:rsid w:val="006A4655"/>
    <w:rsid w:val="006A48D7"/>
    <w:rsid w:val="006A4CAA"/>
    <w:rsid w:val="006A4CB9"/>
    <w:rsid w:val="006A4CD2"/>
    <w:rsid w:val="006A4EBC"/>
    <w:rsid w:val="006A51B5"/>
    <w:rsid w:val="006A53BC"/>
    <w:rsid w:val="006A54BB"/>
    <w:rsid w:val="006A581A"/>
    <w:rsid w:val="006A5B0F"/>
    <w:rsid w:val="006A5E14"/>
    <w:rsid w:val="006A5ED6"/>
    <w:rsid w:val="006A5FF3"/>
    <w:rsid w:val="006A601F"/>
    <w:rsid w:val="006A61F2"/>
    <w:rsid w:val="006A6469"/>
    <w:rsid w:val="006A6515"/>
    <w:rsid w:val="006A653B"/>
    <w:rsid w:val="006A65A4"/>
    <w:rsid w:val="006A6B3B"/>
    <w:rsid w:val="006A6DAF"/>
    <w:rsid w:val="006A71AE"/>
    <w:rsid w:val="006A7F4E"/>
    <w:rsid w:val="006B063E"/>
    <w:rsid w:val="006B07BE"/>
    <w:rsid w:val="006B0A94"/>
    <w:rsid w:val="006B0AB5"/>
    <w:rsid w:val="006B0C71"/>
    <w:rsid w:val="006B0EBA"/>
    <w:rsid w:val="006B10FB"/>
    <w:rsid w:val="006B11AC"/>
    <w:rsid w:val="006B129F"/>
    <w:rsid w:val="006B1402"/>
    <w:rsid w:val="006B1863"/>
    <w:rsid w:val="006B1CBC"/>
    <w:rsid w:val="006B20EE"/>
    <w:rsid w:val="006B22D7"/>
    <w:rsid w:val="006B24FF"/>
    <w:rsid w:val="006B327F"/>
    <w:rsid w:val="006B363C"/>
    <w:rsid w:val="006B369F"/>
    <w:rsid w:val="006B38E8"/>
    <w:rsid w:val="006B3BD2"/>
    <w:rsid w:val="006B3CD7"/>
    <w:rsid w:val="006B40A5"/>
    <w:rsid w:val="006B414A"/>
    <w:rsid w:val="006B426D"/>
    <w:rsid w:val="006B475F"/>
    <w:rsid w:val="006B4826"/>
    <w:rsid w:val="006B4BF0"/>
    <w:rsid w:val="006B4D47"/>
    <w:rsid w:val="006B51FE"/>
    <w:rsid w:val="006B53CA"/>
    <w:rsid w:val="006B56CF"/>
    <w:rsid w:val="006B59AC"/>
    <w:rsid w:val="006B5B8D"/>
    <w:rsid w:val="006B5C69"/>
    <w:rsid w:val="006B5D86"/>
    <w:rsid w:val="006B5F43"/>
    <w:rsid w:val="006B6015"/>
    <w:rsid w:val="006B66B1"/>
    <w:rsid w:val="006B6AFE"/>
    <w:rsid w:val="006B6B8D"/>
    <w:rsid w:val="006B6B94"/>
    <w:rsid w:val="006B71B8"/>
    <w:rsid w:val="006B751A"/>
    <w:rsid w:val="006B7532"/>
    <w:rsid w:val="006B76F3"/>
    <w:rsid w:val="006B7901"/>
    <w:rsid w:val="006B7A1D"/>
    <w:rsid w:val="006C03E6"/>
    <w:rsid w:val="006C05E5"/>
    <w:rsid w:val="006C0998"/>
    <w:rsid w:val="006C0FEE"/>
    <w:rsid w:val="006C0FF7"/>
    <w:rsid w:val="006C1070"/>
    <w:rsid w:val="006C12FC"/>
    <w:rsid w:val="006C1550"/>
    <w:rsid w:val="006C1614"/>
    <w:rsid w:val="006C171E"/>
    <w:rsid w:val="006C19A6"/>
    <w:rsid w:val="006C1CA3"/>
    <w:rsid w:val="006C1D8C"/>
    <w:rsid w:val="006C2361"/>
    <w:rsid w:val="006C2BFC"/>
    <w:rsid w:val="006C2F56"/>
    <w:rsid w:val="006C34DD"/>
    <w:rsid w:val="006C3672"/>
    <w:rsid w:val="006C3C29"/>
    <w:rsid w:val="006C4634"/>
    <w:rsid w:val="006C4969"/>
    <w:rsid w:val="006C4C1C"/>
    <w:rsid w:val="006C4C59"/>
    <w:rsid w:val="006C4CF8"/>
    <w:rsid w:val="006C4EEA"/>
    <w:rsid w:val="006C51D4"/>
    <w:rsid w:val="006C51D5"/>
    <w:rsid w:val="006C5238"/>
    <w:rsid w:val="006C5260"/>
    <w:rsid w:val="006C59B2"/>
    <w:rsid w:val="006C681D"/>
    <w:rsid w:val="006C68CB"/>
    <w:rsid w:val="006C6A13"/>
    <w:rsid w:val="006C6B09"/>
    <w:rsid w:val="006C6BE2"/>
    <w:rsid w:val="006C6D73"/>
    <w:rsid w:val="006C6E19"/>
    <w:rsid w:val="006C700A"/>
    <w:rsid w:val="006C7122"/>
    <w:rsid w:val="006C72F4"/>
    <w:rsid w:val="006C72F8"/>
    <w:rsid w:val="006C75F4"/>
    <w:rsid w:val="006C77FE"/>
    <w:rsid w:val="006C7A9C"/>
    <w:rsid w:val="006D000B"/>
    <w:rsid w:val="006D03F9"/>
    <w:rsid w:val="006D1221"/>
    <w:rsid w:val="006D13C3"/>
    <w:rsid w:val="006D1448"/>
    <w:rsid w:val="006D16B0"/>
    <w:rsid w:val="006D1931"/>
    <w:rsid w:val="006D1B70"/>
    <w:rsid w:val="006D1E49"/>
    <w:rsid w:val="006D1F9F"/>
    <w:rsid w:val="006D20C8"/>
    <w:rsid w:val="006D222B"/>
    <w:rsid w:val="006D23A0"/>
    <w:rsid w:val="006D2553"/>
    <w:rsid w:val="006D2877"/>
    <w:rsid w:val="006D2D93"/>
    <w:rsid w:val="006D2FD9"/>
    <w:rsid w:val="006D32A4"/>
    <w:rsid w:val="006D3967"/>
    <w:rsid w:val="006D4061"/>
    <w:rsid w:val="006D4172"/>
    <w:rsid w:val="006D432E"/>
    <w:rsid w:val="006D47B0"/>
    <w:rsid w:val="006D4D04"/>
    <w:rsid w:val="006D4FAE"/>
    <w:rsid w:val="006D52E1"/>
    <w:rsid w:val="006D54BC"/>
    <w:rsid w:val="006D5657"/>
    <w:rsid w:val="006D5B0E"/>
    <w:rsid w:val="006D5C23"/>
    <w:rsid w:val="006D5CFF"/>
    <w:rsid w:val="006D5EDC"/>
    <w:rsid w:val="006D616D"/>
    <w:rsid w:val="006D628D"/>
    <w:rsid w:val="006D6789"/>
    <w:rsid w:val="006D6ABE"/>
    <w:rsid w:val="006D6B1F"/>
    <w:rsid w:val="006D6F6E"/>
    <w:rsid w:val="006D7329"/>
    <w:rsid w:val="006D78F1"/>
    <w:rsid w:val="006D7ABF"/>
    <w:rsid w:val="006D7B96"/>
    <w:rsid w:val="006E0228"/>
    <w:rsid w:val="006E0235"/>
    <w:rsid w:val="006E14AA"/>
    <w:rsid w:val="006E154D"/>
    <w:rsid w:val="006E15BF"/>
    <w:rsid w:val="006E1990"/>
    <w:rsid w:val="006E1C5D"/>
    <w:rsid w:val="006E1CF4"/>
    <w:rsid w:val="006E1D10"/>
    <w:rsid w:val="006E1EB3"/>
    <w:rsid w:val="006E1FCD"/>
    <w:rsid w:val="006E2119"/>
    <w:rsid w:val="006E2BFD"/>
    <w:rsid w:val="006E3286"/>
    <w:rsid w:val="006E32C5"/>
    <w:rsid w:val="006E34C4"/>
    <w:rsid w:val="006E3613"/>
    <w:rsid w:val="006E375A"/>
    <w:rsid w:val="006E3765"/>
    <w:rsid w:val="006E3AFB"/>
    <w:rsid w:val="006E3B53"/>
    <w:rsid w:val="006E4519"/>
    <w:rsid w:val="006E4657"/>
    <w:rsid w:val="006E4827"/>
    <w:rsid w:val="006E4894"/>
    <w:rsid w:val="006E4F81"/>
    <w:rsid w:val="006E52D4"/>
    <w:rsid w:val="006E5589"/>
    <w:rsid w:val="006E5612"/>
    <w:rsid w:val="006E59E8"/>
    <w:rsid w:val="006E5B02"/>
    <w:rsid w:val="006E5D39"/>
    <w:rsid w:val="006E6044"/>
    <w:rsid w:val="006E637B"/>
    <w:rsid w:val="006E659C"/>
    <w:rsid w:val="006E69D6"/>
    <w:rsid w:val="006E6B4E"/>
    <w:rsid w:val="006E6C7F"/>
    <w:rsid w:val="006E7153"/>
    <w:rsid w:val="006E71A3"/>
    <w:rsid w:val="006E739C"/>
    <w:rsid w:val="006E74D0"/>
    <w:rsid w:val="006E78BA"/>
    <w:rsid w:val="006E7A17"/>
    <w:rsid w:val="006E7A98"/>
    <w:rsid w:val="006E7EC7"/>
    <w:rsid w:val="006F01EB"/>
    <w:rsid w:val="006F086C"/>
    <w:rsid w:val="006F0AFA"/>
    <w:rsid w:val="006F0BE2"/>
    <w:rsid w:val="006F0C19"/>
    <w:rsid w:val="006F0EBD"/>
    <w:rsid w:val="006F0F83"/>
    <w:rsid w:val="006F1386"/>
    <w:rsid w:val="006F142F"/>
    <w:rsid w:val="006F1431"/>
    <w:rsid w:val="006F1ADB"/>
    <w:rsid w:val="006F1B52"/>
    <w:rsid w:val="006F24CC"/>
    <w:rsid w:val="006F26B4"/>
    <w:rsid w:val="006F2780"/>
    <w:rsid w:val="006F27A6"/>
    <w:rsid w:val="006F27C8"/>
    <w:rsid w:val="006F2D06"/>
    <w:rsid w:val="006F32E5"/>
    <w:rsid w:val="006F3441"/>
    <w:rsid w:val="006F3923"/>
    <w:rsid w:val="006F39A4"/>
    <w:rsid w:val="006F3ADC"/>
    <w:rsid w:val="006F40CE"/>
    <w:rsid w:val="006F42DE"/>
    <w:rsid w:val="006F4A80"/>
    <w:rsid w:val="006F4E37"/>
    <w:rsid w:val="006F4E5F"/>
    <w:rsid w:val="006F4F4B"/>
    <w:rsid w:val="006F57BE"/>
    <w:rsid w:val="006F5889"/>
    <w:rsid w:val="006F5B28"/>
    <w:rsid w:val="006F5B8D"/>
    <w:rsid w:val="006F6224"/>
    <w:rsid w:val="006F63CD"/>
    <w:rsid w:val="006F64C2"/>
    <w:rsid w:val="006F6C65"/>
    <w:rsid w:val="006F6CC3"/>
    <w:rsid w:val="006F7456"/>
    <w:rsid w:val="006F747D"/>
    <w:rsid w:val="006F75F8"/>
    <w:rsid w:val="006F7978"/>
    <w:rsid w:val="006F7A42"/>
    <w:rsid w:val="006F7ACE"/>
    <w:rsid w:val="006F7CE0"/>
    <w:rsid w:val="007000BC"/>
    <w:rsid w:val="00700257"/>
    <w:rsid w:val="00700418"/>
    <w:rsid w:val="00700946"/>
    <w:rsid w:val="00700C7A"/>
    <w:rsid w:val="00700D87"/>
    <w:rsid w:val="00700E19"/>
    <w:rsid w:val="0070117C"/>
    <w:rsid w:val="007016A4"/>
    <w:rsid w:val="0070196D"/>
    <w:rsid w:val="00702009"/>
    <w:rsid w:val="007021EE"/>
    <w:rsid w:val="00702214"/>
    <w:rsid w:val="007022C9"/>
    <w:rsid w:val="007025CA"/>
    <w:rsid w:val="00702727"/>
    <w:rsid w:val="00702F34"/>
    <w:rsid w:val="007030B5"/>
    <w:rsid w:val="007038B8"/>
    <w:rsid w:val="00703C23"/>
    <w:rsid w:val="00703DDA"/>
    <w:rsid w:val="007041D2"/>
    <w:rsid w:val="007042DA"/>
    <w:rsid w:val="00704535"/>
    <w:rsid w:val="00704629"/>
    <w:rsid w:val="007047D7"/>
    <w:rsid w:val="007049BC"/>
    <w:rsid w:val="00704C70"/>
    <w:rsid w:val="007058C8"/>
    <w:rsid w:val="00705927"/>
    <w:rsid w:val="00705952"/>
    <w:rsid w:val="00705B33"/>
    <w:rsid w:val="0070615E"/>
    <w:rsid w:val="00706280"/>
    <w:rsid w:val="00706615"/>
    <w:rsid w:val="00706C2F"/>
    <w:rsid w:val="00706C4B"/>
    <w:rsid w:val="0070703A"/>
    <w:rsid w:val="007070D0"/>
    <w:rsid w:val="007071FE"/>
    <w:rsid w:val="0070767C"/>
    <w:rsid w:val="007078FF"/>
    <w:rsid w:val="00707CB5"/>
    <w:rsid w:val="00707E7E"/>
    <w:rsid w:val="00707FB5"/>
    <w:rsid w:val="00710291"/>
    <w:rsid w:val="0071054B"/>
    <w:rsid w:val="00710A58"/>
    <w:rsid w:val="00710DC6"/>
    <w:rsid w:val="007114D9"/>
    <w:rsid w:val="007116AC"/>
    <w:rsid w:val="00711876"/>
    <w:rsid w:val="00711E0D"/>
    <w:rsid w:val="00711EC3"/>
    <w:rsid w:val="00712097"/>
    <w:rsid w:val="007123DC"/>
    <w:rsid w:val="007123F5"/>
    <w:rsid w:val="007124A2"/>
    <w:rsid w:val="0071324B"/>
    <w:rsid w:val="0071335E"/>
    <w:rsid w:val="007133ED"/>
    <w:rsid w:val="0071345B"/>
    <w:rsid w:val="00713469"/>
    <w:rsid w:val="00713BB3"/>
    <w:rsid w:val="00713ED4"/>
    <w:rsid w:val="00714413"/>
    <w:rsid w:val="00714C01"/>
    <w:rsid w:val="0071542D"/>
    <w:rsid w:val="00715564"/>
    <w:rsid w:val="00715A6F"/>
    <w:rsid w:val="0071624B"/>
    <w:rsid w:val="00716504"/>
    <w:rsid w:val="00716534"/>
    <w:rsid w:val="0071669F"/>
    <w:rsid w:val="00716819"/>
    <w:rsid w:val="007169D1"/>
    <w:rsid w:val="00716BD9"/>
    <w:rsid w:val="00717913"/>
    <w:rsid w:val="00717BD3"/>
    <w:rsid w:val="00717CBD"/>
    <w:rsid w:val="00717FD9"/>
    <w:rsid w:val="00720088"/>
    <w:rsid w:val="007200DC"/>
    <w:rsid w:val="00720B01"/>
    <w:rsid w:val="00720B25"/>
    <w:rsid w:val="00720B62"/>
    <w:rsid w:val="00721255"/>
    <w:rsid w:val="00721758"/>
    <w:rsid w:val="00721C13"/>
    <w:rsid w:val="00721DF8"/>
    <w:rsid w:val="00722003"/>
    <w:rsid w:val="00722505"/>
    <w:rsid w:val="00722945"/>
    <w:rsid w:val="00722A15"/>
    <w:rsid w:val="00722BD9"/>
    <w:rsid w:val="00722E2C"/>
    <w:rsid w:val="00722EBD"/>
    <w:rsid w:val="00722ED0"/>
    <w:rsid w:val="007230D6"/>
    <w:rsid w:val="007231F6"/>
    <w:rsid w:val="007234E4"/>
    <w:rsid w:val="0072391C"/>
    <w:rsid w:val="00723A3F"/>
    <w:rsid w:val="00723A95"/>
    <w:rsid w:val="00723E4B"/>
    <w:rsid w:val="00724017"/>
    <w:rsid w:val="00724366"/>
    <w:rsid w:val="00724373"/>
    <w:rsid w:val="007243EF"/>
    <w:rsid w:val="00724409"/>
    <w:rsid w:val="00724438"/>
    <w:rsid w:val="007244B0"/>
    <w:rsid w:val="00724553"/>
    <w:rsid w:val="00724F8F"/>
    <w:rsid w:val="0072514C"/>
    <w:rsid w:val="007254F0"/>
    <w:rsid w:val="00725609"/>
    <w:rsid w:val="0072563F"/>
    <w:rsid w:val="00725673"/>
    <w:rsid w:val="00725882"/>
    <w:rsid w:val="00726112"/>
    <w:rsid w:val="0072708F"/>
    <w:rsid w:val="007270BE"/>
    <w:rsid w:val="00727118"/>
    <w:rsid w:val="007274B7"/>
    <w:rsid w:val="0072779C"/>
    <w:rsid w:val="00727E8C"/>
    <w:rsid w:val="007305F6"/>
    <w:rsid w:val="00730F4A"/>
    <w:rsid w:val="0073102B"/>
    <w:rsid w:val="007310B8"/>
    <w:rsid w:val="007310EA"/>
    <w:rsid w:val="007320EB"/>
    <w:rsid w:val="0073213F"/>
    <w:rsid w:val="00732157"/>
    <w:rsid w:val="007324C2"/>
    <w:rsid w:val="007326F3"/>
    <w:rsid w:val="00732CFA"/>
    <w:rsid w:val="00732E2C"/>
    <w:rsid w:val="00732FE9"/>
    <w:rsid w:val="00733398"/>
    <w:rsid w:val="007338A8"/>
    <w:rsid w:val="00733A77"/>
    <w:rsid w:val="00733FAA"/>
    <w:rsid w:val="00734468"/>
    <w:rsid w:val="00734555"/>
    <w:rsid w:val="007348F3"/>
    <w:rsid w:val="00734A33"/>
    <w:rsid w:val="0073538D"/>
    <w:rsid w:val="007359A5"/>
    <w:rsid w:val="00735ECF"/>
    <w:rsid w:val="00735FAC"/>
    <w:rsid w:val="0073610F"/>
    <w:rsid w:val="007362C2"/>
    <w:rsid w:val="00736474"/>
    <w:rsid w:val="007365EA"/>
    <w:rsid w:val="007368A2"/>
    <w:rsid w:val="007368A5"/>
    <w:rsid w:val="00736B1E"/>
    <w:rsid w:val="00736CBB"/>
    <w:rsid w:val="00736DE9"/>
    <w:rsid w:val="00736E23"/>
    <w:rsid w:val="00736F10"/>
    <w:rsid w:val="007370AB"/>
    <w:rsid w:val="00737746"/>
    <w:rsid w:val="0073776D"/>
    <w:rsid w:val="00737A90"/>
    <w:rsid w:val="00737C91"/>
    <w:rsid w:val="00740097"/>
    <w:rsid w:val="007400AD"/>
    <w:rsid w:val="00740184"/>
    <w:rsid w:val="007404F3"/>
    <w:rsid w:val="007407B4"/>
    <w:rsid w:val="007408A6"/>
    <w:rsid w:val="00740B38"/>
    <w:rsid w:val="00740F63"/>
    <w:rsid w:val="007414AE"/>
    <w:rsid w:val="00741788"/>
    <w:rsid w:val="00741F37"/>
    <w:rsid w:val="00741FD7"/>
    <w:rsid w:val="0074220F"/>
    <w:rsid w:val="00742439"/>
    <w:rsid w:val="007425D8"/>
    <w:rsid w:val="00742E7A"/>
    <w:rsid w:val="007434A7"/>
    <w:rsid w:val="00743A10"/>
    <w:rsid w:val="007441D9"/>
    <w:rsid w:val="0074480A"/>
    <w:rsid w:val="00744A47"/>
    <w:rsid w:val="00744A56"/>
    <w:rsid w:val="00744CBC"/>
    <w:rsid w:val="00744D98"/>
    <w:rsid w:val="0074528B"/>
    <w:rsid w:val="00745AB2"/>
    <w:rsid w:val="00745D51"/>
    <w:rsid w:val="00745FF0"/>
    <w:rsid w:val="007461E7"/>
    <w:rsid w:val="00746231"/>
    <w:rsid w:val="007465A9"/>
    <w:rsid w:val="0074686A"/>
    <w:rsid w:val="00746C0E"/>
    <w:rsid w:val="0074739E"/>
    <w:rsid w:val="00747403"/>
    <w:rsid w:val="00747FAD"/>
    <w:rsid w:val="00750311"/>
    <w:rsid w:val="00750C87"/>
    <w:rsid w:val="00750C8D"/>
    <w:rsid w:val="00750D38"/>
    <w:rsid w:val="00750FD0"/>
    <w:rsid w:val="00750FF1"/>
    <w:rsid w:val="0075119E"/>
    <w:rsid w:val="00751458"/>
    <w:rsid w:val="0075162D"/>
    <w:rsid w:val="00751904"/>
    <w:rsid w:val="0075190B"/>
    <w:rsid w:val="00751D9B"/>
    <w:rsid w:val="00751ECB"/>
    <w:rsid w:val="00752055"/>
    <w:rsid w:val="007521C6"/>
    <w:rsid w:val="0075230B"/>
    <w:rsid w:val="0075283A"/>
    <w:rsid w:val="0075286D"/>
    <w:rsid w:val="007528F2"/>
    <w:rsid w:val="00752F3B"/>
    <w:rsid w:val="007530E7"/>
    <w:rsid w:val="00753263"/>
    <w:rsid w:val="007533F2"/>
    <w:rsid w:val="007537DB"/>
    <w:rsid w:val="00753840"/>
    <w:rsid w:val="0075399E"/>
    <w:rsid w:val="00753A21"/>
    <w:rsid w:val="00753AAE"/>
    <w:rsid w:val="00753E0F"/>
    <w:rsid w:val="007543A0"/>
    <w:rsid w:val="00754A0D"/>
    <w:rsid w:val="007552C1"/>
    <w:rsid w:val="00755B0B"/>
    <w:rsid w:val="00755E6A"/>
    <w:rsid w:val="007562E2"/>
    <w:rsid w:val="0075653B"/>
    <w:rsid w:val="00756F92"/>
    <w:rsid w:val="007571F2"/>
    <w:rsid w:val="00757400"/>
    <w:rsid w:val="00757687"/>
    <w:rsid w:val="007577C2"/>
    <w:rsid w:val="00757A37"/>
    <w:rsid w:val="00757D0C"/>
    <w:rsid w:val="00760428"/>
    <w:rsid w:val="007606D4"/>
    <w:rsid w:val="00760D4F"/>
    <w:rsid w:val="007614B3"/>
    <w:rsid w:val="0076184E"/>
    <w:rsid w:val="00761A9B"/>
    <w:rsid w:val="00761EC8"/>
    <w:rsid w:val="007623D1"/>
    <w:rsid w:val="007626ED"/>
    <w:rsid w:val="007628D5"/>
    <w:rsid w:val="00762A18"/>
    <w:rsid w:val="00762AAA"/>
    <w:rsid w:val="00762B69"/>
    <w:rsid w:val="00762DDE"/>
    <w:rsid w:val="00762F2B"/>
    <w:rsid w:val="00763231"/>
    <w:rsid w:val="0076328E"/>
    <w:rsid w:val="00763412"/>
    <w:rsid w:val="0076365D"/>
    <w:rsid w:val="00763DF1"/>
    <w:rsid w:val="007640FC"/>
    <w:rsid w:val="007643C3"/>
    <w:rsid w:val="007646CF"/>
    <w:rsid w:val="00764873"/>
    <w:rsid w:val="00764E26"/>
    <w:rsid w:val="0076561E"/>
    <w:rsid w:val="00765A3C"/>
    <w:rsid w:val="00765A47"/>
    <w:rsid w:val="00765A5C"/>
    <w:rsid w:val="00765ED2"/>
    <w:rsid w:val="007661B0"/>
    <w:rsid w:val="0076629C"/>
    <w:rsid w:val="007663B5"/>
    <w:rsid w:val="0076679A"/>
    <w:rsid w:val="00766A74"/>
    <w:rsid w:val="00766AB3"/>
    <w:rsid w:val="00767396"/>
    <w:rsid w:val="007674CA"/>
    <w:rsid w:val="00767751"/>
    <w:rsid w:val="0076784E"/>
    <w:rsid w:val="00767867"/>
    <w:rsid w:val="00767B3B"/>
    <w:rsid w:val="00767E57"/>
    <w:rsid w:val="00770ABD"/>
    <w:rsid w:val="00770BC8"/>
    <w:rsid w:val="00770E56"/>
    <w:rsid w:val="00770F98"/>
    <w:rsid w:val="0077136B"/>
    <w:rsid w:val="00771532"/>
    <w:rsid w:val="007715A5"/>
    <w:rsid w:val="00771B62"/>
    <w:rsid w:val="00771D16"/>
    <w:rsid w:val="00771E2A"/>
    <w:rsid w:val="007720DE"/>
    <w:rsid w:val="007725C9"/>
    <w:rsid w:val="007726B7"/>
    <w:rsid w:val="0077284A"/>
    <w:rsid w:val="00772D28"/>
    <w:rsid w:val="00772E6A"/>
    <w:rsid w:val="0077302F"/>
    <w:rsid w:val="00773353"/>
    <w:rsid w:val="00773CAE"/>
    <w:rsid w:val="00773F3A"/>
    <w:rsid w:val="00773FB1"/>
    <w:rsid w:val="00774254"/>
    <w:rsid w:val="0077445B"/>
    <w:rsid w:val="00774698"/>
    <w:rsid w:val="0077471B"/>
    <w:rsid w:val="007748BC"/>
    <w:rsid w:val="007749AF"/>
    <w:rsid w:val="00774ACD"/>
    <w:rsid w:val="00774B95"/>
    <w:rsid w:val="00774F90"/>
    <w:rsid w:val="007758E2"/>
    <w:rsid w:val="00775B26"/>
    <w:rsid w:val="00775BA5"/>
    <w:rsid w:val="00775EA6"/>
    <w:rsid w:val="0077631D"/>
    <w:rsid w:val="007763B3"/>
    <w:rsid w:val="007765EB"/>
    <w:rsid w:val="00776651"/>
    <w:rsid w:val="00776CC5"/>
    <w:rsid w:val="00776F95"/>
    <w:rsid w:val="00777064"/>
    <w:rsid w:val="00777834"/>
    <w:rsid w:val="00777BBE"/>
    <w:rsid w:val="00777D77"/>
    <w:rsid w:val="00777EBC"/>
    <w:rsid w:val="00780241"/>
    <w:rsid w:val="00780A45"/>
    <w:rsid w:val="00780AE2"/>
    <w:rsid w:val="00780B13"/>
    <w:rsid w:val="00780B9C"/>
    <w:rsid w:val="00780F0B"/>
    <w:rsid w:val="00781313"/>
    <w:rsid w:val="007814AC"/>
    <w:rsid w:val="007816AF"/>
    <w:rsid w:val="00781813"/>
    <w:rsid w:val="0078188A"/>
    <w:rsid w:val="007818B5"/>
    <w:rsid w:val="00781ADC"/>
    <w:rsid w:val="00781DD9"/>
    <w:rsid w:val="00781FBA"/>
    <w:rsid w:val="00781FC1"/>
    <w:rsid w:val="0078201E"/>
    <w:rsid w:val="00782105"/>
    <w:rsid w:val="007824CF"/>
    <w:rsid w:val="0078284D"/>
    <w:rsid w:val="00782859"/>
    <w:rsid w:val="00782A69"/>
    <w:rsid w:val="007830DA"/>
    <w:rsid w:val="00783240"/>
    <w:rsid w:val="00783406"/>
    <w:rsid w:val="00783649"/>
    <w:rsid w:val="00783842"/>
    <w:rsid w:val="0078398B"/>
    <w:rsid w:val="0078398E"/>
    <w:rsid w:val="00783AC4"/>
    <w:rsid w:val="00783C02"/>
    <w:rsid w:val="00783D3B"/>
    <w:rsid w:val="0078444A"/>
    <w:rsid w:val="00784494"/>
    <w:rsid w:val="0078451B"/>
    <w:rsid w:val="00784868"/>
    <w:rsid w:val="007848BE"/>
    <w:rsid w:val="00784A67"/>
    <w:rsid w:val="00784D76"/>
    <w:rsid w:val="00784F7C"/>
    <w:rsid w:val="00785247"/>
    <w:rsid w:val="007852F7"/>
    <w:rsid w:val="0078539E"/>
    <w:rsid w:val="00785B9F"/>
    <w:rsid w:val="00785C58"/>
    <w:rsid w:val="00785D9C"/>
    <w:rsid w:val="0078604A"/>
    <w:rsid w:val="007861AF"/>
    <w:rsid w:val="00786294"/>
    <w:rsid w:val="007864FF"/>
    <w:rsid w:val="007865D2"/>
    <w:rsid w:val="00786C1D"/>
    <w:rsid w:val="00786D28"/>
    <w:rsid w:val="0078708C"/>
    <w:rsid w:val="00787317"/>
    <w:rsid w:val="007876E3"/>
    <w:rsid w:val="00787883"/>
    <w:rsid w:val="007878FA"/>
    <w:rsid w:val="0078797F"/>
    <w:rsid w:val="00787B01"/>
    <w:rsid w:val="00787E89"/>
    <w:rsid w:val="00790100"/>
    <w:rsid w:val="00790135"/>
    <w:rsid w:val="0079018C"/>
    <w:rsid w:val="007901E8"/>
    <w:rsid w:val="00790226"/>
    <w:rsid w:val="007905E6"/>
    <w:rsid w:val="007908A8"/>
    <w:rsid w:val="00790EDF"/>
    <w:rsid w:val="00791179"/>
    <w:rsid w:val="00791349"/>
    <w:rsid w:val="007915A0"/>
    <w:rsid w:val="00791684"/>
    <w:rsid w:val="007919A3"/>
    <w:rsid w:val="00792770"/>
    <w:rsid w:val="007927BA"/>
    <w:rsid w:val="007927CB"/>
    <w:rsid w:val="007928AD"/>
    <w:rsid w:val="00792ABF"/>
    <w:rsid w:val="00792AE9"/>
    <w:rsid w:val="00792EEE"/>
    <w:rsid w:val="0079343A"/>
    <w:rsid w:val="00793608"/>
    <w:rsid w:val="00793715"/>
    <w:rsid w:val="00793777"/>
    <w:rsid w:val="007937DC"/>
    <w:rsid w:val="00793806"/>
    <w:rsid w:val="00794277"/>
    <w:rsid w:val="00794318"/>
    <w:rsid w:val="0079435F"/>
    <w:rsid w:val="00794724"/>
    <w:rsid w:val="007949A7"/>
    <w:rsid w:val="00794DF9"/>
    <w:rsid w:val="00795376"/>
    <w:rsid w:val="00795768"/>
    <w:rsid w:val="007958D6"/>
    <w:rsid w:val="00795DAF"/>
    <w:rsid w:val="00795DD3"/>
    <w:rsid w:val="00795DF2"/>
    <w:rsid w:val="007960E0"/>
    <w:rsid w:val="00796328"/>
    <w:rsid w:val="007964A5"/>
    <w:rsid w:val="0079663B"/>
    <w:rsid w:val="00796AC2"/>
    <w:rsid w:val="00796DE0"/>
    <w:rsid w:val="00796DF4"/>
    <w:rsid w:val="00797213"/>
    <w:rsid w:val="00797327"/>
    <w:rsid w:val="0079743A"/>
    <w:rsid w:val="007976C9"/>
    <w:rsid w:val="00797BD5"/>
    <w:rsid w:val="00797E16"/>
    <w:rsid w:val="00797F63"/>
    <w:rsid w:val="00797FA1"/>
    <w:rsid w:val="007A0151"/>
    <w:rsid w:val="007A0174"/>
    <w:rsid w:val="007A0407"/>
    <w:rsid w:val="007A0B61"/>
    <w:rsid w:val="007A0B72"/>
    <w:rsid w:val="007A0BB2"/>
    <w:rsid w:val="007A0BC5"/>
    <w:rsid w:val="007A0D20"/>
    <w:rsid w:val="007A1525"/>
    <w:rsid w:val="007A1A9B"/>
    <w:rsid w:val="007A206F"/>
    <w:rsid w:val="007A227B"/>
    <w:rsid w:val="007A2D46"/>
    <w:rsid w:val="007A3402"/>
    <w:rsid w:val="007A3589"/>
    <w:rsid w:val="007A3824"/>
    <w:rsid w:val="007A43C2"/>
    <w:rsid w:val="007A49DB"/>
    <w:rsid w:val="007A4D30"/>
    <w:rsid w:val="007A4D91"/>
    <w:rsid w:val="007A5131"/>
    <w:rsid w:val="007A55C4"/>
    <w:rsid w:val="007A560E"/>
    <w:rsid w:val="007A56B2"/>
    <w:rsid w:val="007A5AF9"/>
    <w:rsid w:val="007A600B"/>
    <w:rsid w:val="007A6166"/>
    <w:rsid w:val="007A61A3"/>
    <w:rsid w:val="007A63FC"/>
    <w:rsid w:val="007A6750"/>
    <w:rsid w:val="007A6844"/>
    <w:rsid w:val="007A68B0"/>
    <w:rsid w:val="007A6B02"/>
    <w:rsid w:val="007A6DC2"/>
    <w:rsid w:val="007A7104"/>
    <w:rsid w:val="007A7675"/>
    <w:rsid w:val="007B0129"/>
    <w:rsid w:val="007B0348"/>
    <w:rsid w:val="007B061A"/>
    <w:rsid w:val="007B08DD"/>
    <w:rsid w:val="007B0C78"/>
    <w:rsid w:val="007B0DEC"/>
    <w:rsid w:val="007B0E75"/>
    <w:rsid w:val="007B10D9"/>
    <w:rsid w:val="007B10F1"/>
    <w:rsid w:val="007B1757"/>
    <w:rsid w:val="007B1B26"/>
    <w:rsid w:val="007B1F66"/>
    <w:rsid w:val="007B246A"/>
    <w:rsid w:val="007B24D3"/>
    <w:rsid w:val="007B3066"/>
    <w:rsid w:val="007B3175"/>
    <w:rsid w:val="007B353E"/>
    <w:rsid w:val="007B397A"/>
    <w:rsid w:val="007B3A2B"/>
    <w:rsid w:val="007B3B0A"/>
    <w:rsid w:val="007B3DEB"/>
    <w:rsid w:val="007B4019"/>
    <w:rsid w:val="007B483F"/>
    <w:rsid w:val="007B4A4E"/>
    <w:rsid w:val="007B4CD6"/>
    <w:rsid w:val="007B5028"/>
    <w:rsid w:val="007B56A2"/>
    <w:rsid w:val="007B63EB"/>
    <w:rsid w:val="007B642B"/>
    <w:rsid w:val="007B6696"/>
    <w:rsid w:val="007B66A0"/>
    <w:rsid w:val="007B6713"/>
    <w:rsid w:val="007B6769"/>
    <w:rsid w:val="007B69A6"/>
    <w:rsid w:val="007B6B05"/>
    <w:rsid w:val="007B6C4C"/>
    <w:rsid w:val="007B6DEF"/>
    <w:rsid w:val="007B6E4E"/>
    <w:rsid w:val="007B6F4F"/>
    <w:rsid w:val="007B6FF6"/>
    <w:rsid w:val="007B71E9"/>
    <w:rsid w:val="007B783B"/>
    <w:rsid w:val="007B78D1"/>
    <w:rsid w:val="007B7BD9"/>
    <w:rsid w:val="007B7BE9"/>
    <w:rsid w:val="007B7F58"/>
    <w:rsid w:val="007B7F59"/>
    <w:rsid w:val="007C033A"/>
    <w:rsid w:val="007C0596"/>
    <w:rsid w:val="007C088A"/>
    <w:rsid w:val="007C0A1F"/>
    <w:rsid w:val="007C0B0C"/>
    <w:rsid w:val="007C0D2B"/>
    <w:rsid w:val="007C0DA1"/>
    <w:rsid w:val="007C12C2"/>
    <w:rsid w:val="007C16E4"/>
    <w:rsid w:val="007C1702"/>
    <w:rsid w:val="007C1CF7"/>
    <w:rsid w:val="007C1F6B"/>
    <w:rsid w:val="007C2269"/>
    <w:rsid w:val="007C260D"/>
    <w:rsid w:val="007C2A47"/>
    <w:rsid w:val="007C2A5C"/>
    <w:rsid w:val="007C3005"/>
    <w:rsid w:val="007C3319"/>
    <w:rsid w:val="007C33DE"/>
    <w:rsid w:val="007C3692"/>
    <w:rsid w:val="007C3AFD"/>
    <w:rsid w:val="007C3BE1"/>
    <w:rsid w:val="007C3EC3"/>
    <w:rsid w:val="007C414B"/>
    <w:rsid w:val="007C41D1"/>
    <w:rsid w:val="007C421B"/>
    <w:rsid w:val="007C48C7"/>
    <w:rsid w:val="007C530B"/>
    <w:rsid w:val="007C5462"/>
    <w:rsid w:val="007C5473"/>
    <w:rsid w:val="007C54A7"/>
    <w:rsid w:val="007C554D"/>
    <w:rsid w:val="007C5566"/>
    <w:rsid w:val="007C5594"/>
    <w:rsid w:val="007C5634"/>
    <w:rsid w:val="007C576F"/>
    <w:rsid w:val="007C5E46"/>
    <w:rsid w:val="007C5F91"/>
    <w:rsid w:val="007C627D"/>
    <w:rsid w:val="007C6424"/>
    <w:rsid w:val="007C6446"/>
    <w:rsid w:val="007C6840"/>
    <w:rsid w:val="007C69D6"/>
    <w:rsid w:val="007C6AE1"/>
    <w:rsid w:val="007C6CA2"/>
    <w:rsid w:val="007C6CCE"/>
    <w:rsid w:val="007C6CDF"/>
    <w:rsid w:val="007C6DB1"/>
    <w:rsid w:val="007C6EA1"/>
    <w:rsid w:val="007C6FAC"/>
    <w:rsid w:val="007C705B"/>
    <w:rsid w:val="007C7148"/>
    <w:rsid w:val="007C71CB"/>
    <w:rsid w:val="007C7B6C"/>
    <w:rsid w:val="007C7DB1"/>
    <w:rsid w:val="007C7E1A"/>
    <w:rsid w:val="007C7F4D"/>
    <w:rsid w:val="007C7F93"/>
    <w:rsid w:val="007D0025"/>
    <w:rsid w:val="007D02EE"/>
    <w:rsid w:val="007D032B"/>
    <w:rsid w:val="007D0E7D"/>
    <w:rsid w:val="007D123E"/>
    <w:rsid w:val="007D13B6"/>
    <w:rsid w:val="007D1820"/>
    <w:rsid w:val="007D1D09"/>
    <w:rsid w:val="007D1DF1"/>
    <w:rsid w:val="007D22E9"/>
    <w:rsid w:val="007D2391"/>
    <w:rsid w:val="007D2AD4"/>
    <w:rsid w:val="007D2CA3"/>
    <w:rsid w:val="007D2CEB"/>
    <w:rsid w:val="007D3591"/>
    <w:rsid w:val="007D3892"/>
    <w:rsid w:val="007D3A11"/>
    <w:rsid w:val="007D3A65"/>
    <w:rsid w:val="007D42FB"/>
    <w:rsid w:val="007D4AE8"/>
    <w:rsid w:val="007D4F20"/>
    <w:rsid w:val="007D4F53"/>
    <w:rsid w:val="007D5189"/>
    <w:rsid w:val="007D52C1"/>
    <w:rsid w:val="007D5869"/>
    <w:rsid w:val="007D590B"/>
    <w:rsid w:val="007D5C94"/>
    <w:rsid w:val="007D5ECF"/>
    <w:rsid w:val="007D6241"/>
    <w:rsid w:val="007D637C"/>
    <w:rsid w:val="007D6464"/>
    <w:rsid w:val="007D655F"/>
    <w:rsid w:val="007D6683"/>
    <w:rsid w:val="007D6DF9"/>
    <w:rsid w:val="007D705F"/>
    <w:rsid w:val="007D79D5"/>
    <w:rsid w:val="007E07BE"/>
    <w:rsid w:val="007E0F09"/>
    <w:rsid w:val="007E11F6"/>
    <w:rsid w:val="007E16DE"/>
    <w:rsid w:val="007E1A7B"/>
    <w:rsid w:val="007E1AFB"/>
    <w:rsid w:val="007E212F"/>
    <w:rsid w:val="007E2248"/>
    <w:rsid w:val="007E2555"/>
    <w:rsid w:val="007E28AB"/>
    <w:rsid w:val="007E2AD3"/>
    <w:rsid w:val="007E2C13"/>
    <w:rsid w:val="007E2FE6"/>
    <w:rsid w:val="007E3010"/>
    <w:rsid w:val="007E3273"/>
    <w:rsid w:val="007E339F"/>
    <w:rsid w:val="007E3413"/>
    <w:rsid w:val="007E3A1D"/>
    <w:rsid w:val="007E3BAA"/>
    <w:rsid w:val="007E40F2"/>
    <w:rsid w:val="007E484D"/>
    <w:rsid w:val="007E495C"/>
    <w:rsid w:val="007E49C5"/>
    <w:rsid w:val="007E4DAF"/>
    <w:rsid w:val="007E5090"/>
    <w:rsid w:val="007E5195"/>
    <w:rsid w:val="007E525B"/>
    <w:rsid w:val="007E559E"/>
    <w:rsid w:val="007E59DB"/>
    <w:rsid w:val="007E6167"/>
    <w:rsid w:val="007E67AC"/>
    <w:rsid w:val="007E67FB"/>
    <w:rsid w:val="007E7279"/>
    <w:rsid w:val="007E7337"/>
    <w:rsid w:val="007E74B3"/>
    <w:rsid w:val="007E74C5"/>
    <w:rsid w:val="007E759B"/>
    <w:rsid w:val="007E7CDB"/>
    <w:rsid w:val="007F03EF"/>
    <w:rsid w:val="007F04D6"/>
    <w:rsid w:val="007F059C"/>
    <w:rsid w:val="007F0788"/>
    <w:rsid w:val="007F087A"/>
    <w:rsid w:val="007F0C65"/>
    <w:rsid w:val="007F0D02"/>
    <w:rsid w:val="007F0D31"/>
    <w:rsid w:val="007F0E34"/>
    <w:rsid w:val="007F0E71"/>
    <w:rsid w:val="007F0F60"/>
    <w:rsid w:val="007F114F"/>
    <w:rsid w:val="007F1312"/>
    <w:rsid w:val="007F134E"/>
    <w:rsid w:val="007F1A58"/>
    <w:rsid w:val="007F1FE7"/>
    <w:rsid w:val="007F244B"/>
    <w:rsid w:val="007F32C6"/>
    <w:rsid w:val="007F3611"/>
    <w:rsid w:val="007F37A9"/>
    <w:rsid w:val="007F4C2E"/>
    <w:rsid w:val="007F4EC5"/>
    <w:rsid w:val="007F4F21"/>
    <w:rsid w:val="007F5771"/>
    <w:rsid w:val="007F59DC"/>
    <w:rsid w:val="007F5AA0"/>
    <w:rsid w:val="007F5BC0"/>
    <w:rsid w:val="007F5E2F"/>
    <w:rsid w:val="007F61A9"/>
    <w:rsid w:val="007F6368"/>
    <w:rsid w:val="007F6892"/>
    <w:rsid w:val="007F6EB8"/>
    <w:rsid w:val="007F798D"/>
    <w:rsid w:val="007F7B7F"/>
    <w:rsid w:val="007F7EE0"/>
    <w:rsid w:val="007F7F01"/>
    <w:rsid w:val="007F7FC8"/>
    <w:rsid w:val="0080028D"/>
    <w:rsid w:val="0080044C"/>
    <w:rsid w:val="00800B41"/>
    <w:rsid w:val="00800D9A"/>
    <w:rsid w:val="00800ED4"/>
    <w:rsid w:val="00801172"/>
    <w:rsid w:val="008014D5"/>
    <w:rsid w:val="00801606"/>
    <w:rsid w:val="008018F7"/>
    <w:rsid w:val="0080199C"/>
    <w:rsid w:val="00801C4F"/>
    <w:rsid w:val="00801F44"/>
    <w:rsid w:val="00802021"/>
    <w:rsid w:val="0080223A"/>
    <w:rsid w:val="0080247A"/>
    <w:rsid w:val="00802481"/>
    <w:rsid w:val="00802865"/>
    <w:rsid w:val="00802F10"/>
    <w:rsid w:val="00802F1F"/>
    <w:rsid w:val="008031EC"/>
    <w:rsid w:val="008032F5"/>
    <w:rsid w:val="00803711"/>
    <w:rsid w:val="008038D5"/>
    <w:rsid w:val="00803E56"/>
    <w:rsid w:val="008043DE"/>
    <w:rsid w:val="00804535"/>
    <w:rsid w:val="0080498D"/>
    <w:rsid w:val="00804C3C"/>
    <w:rsid w:val="00804E1E"/>
    <w:rsid w:val="0080533A"/>
    <w:rsid w:val="0080535D"/>
    <w:rsid w:val="0080546B"/>
    <w:rsid w:val="00805A7E"/>
    <w:rsid w:val="00805B7C"/>
    <w:rsid w:val="00805B82"/>
    <w:rsid w:val="00805EF9"/>
    <w:rsid w:val="0080606A"/>
    <w:rsid w:val="008064AC"/>
    <w:rsid w:val="008065F0"/>
    <w:rsid w:val="00806766"/>
    <w:rsid w:val="008068B9"/>
    <w:rsid w:val="00806E28"/>
    <w:rsid w:val="0080772C"/>
    <w:rsid w:val="00807A2A"/>
    <w:rsid w:val="00807C2F"/>
    <w:rsid w:val="00807E9A"/>
    <w:rsid w:val="00810160"/>
    <w:rsid w:val="0081016D"/>
    <w:rsid w:val="008105AC"/>
    <w:rsid w:val="00810734"/>
    <w:rsid w:val="00810B67"/>
    <w:rsid w:val="00811A36"/>
    <w:rsid w:val="00811E86"/>
    <w:rsid w:val="00812240"/>
    <w:rsid w:val="008122ED"/>
    <w:rsid w:val="00812449"/>
    <w:rsid w:val="008129C6"/>
    <w:rsid w:val="00812CE8"/>
    <w:rsid w:val="00812E0A"/>
    <w:rsid w:val="008133A8"/>
    <w:rsid w:val="0081352B"/>
    <w:rsid w:val="00813B27"/>
    <w:rsid w:val="00813D84"/>
    <w:rsid w:val="00813F5B"/>
    <w:rsid w:val="008140C1"/>
    <w:rsid w:val="008140D5"/>
    <w:rsid w:val="00814178"/>
    <w:rsid w:val="0081426F"/>
    <w:rsid w:val="00814514"/>
    <w:rsid w:val="00814AEE"/>
    <w:rsid w:val="00814D19"/>
    <w:rsid w:val="00814F3C"/>
    <w:rsid w:val="008150A8"/>
    <w:rsid w:val="008150ED"/>
    <w:rsid w:val="00815719"/>
    <w:rsid w:val="00816150"/>
    <w:rsid w:val="00816363"/>
    <w:rsid w:val="0081651F"/>
    <w:rsid w:val="00816692"/>
    <w:rsid w:val="00816C43"/>
    <w:rsid w:val="00816D37"/>
    <w:rsid w:val="00816D84"/>
    <w:rsid w:val="008170A2"/>
    <w:rsid w:val="008176B1"/>
    <w:rsid w:val="008176E0"/>
    <w:rsid w:val="00817783"/>
    <w:rsid w:val="00817F96"/>
    <w:rsid w:val="00817FE4"/>
    <w:rsid w:val="00820208"/>
    <w:rsid w:val="00820266"/>
    <w:rsid w:val="00820447"/>
    <w:rsid w:val="00820B70"/>
    <w:rsid w:val="00820D9A"/>
    <w:rsid w:val="0082123D"/>
    <w:rsid w:val="008214BA"/>
    <w:rsid w:val="00821644"/>
    <w:rsid w:val="00821737"/>
    <w:rsid w:val="008217E9"/>
    <w:rsid w:val="00821CE9"/>
    <w:rsid w:val="00821D20"/>
    <w:rsid w:val="00821E5D"/>
    <w:rsid w:val="0082201B"/>
    <w:rsid w:val="0082208D"/>
    <w:rsid w:val="00822104"/>
    <w:rsid w:val="008224FF"/>
    <w:rsid w:val="008229CC"/>
    <w:rsid w:val="00822E2C"/>
    <w:rsid w:val="00823114"/>
    <w:rsid w:val="00823358"/>
    <w:rsid w:val="008237E2"/>
    <w:rsid w:val="008239DC"/>
    <w:rsid w:val="00823D9B"/>
    <w:rsid w:val="00823FC4"/>
    <w:rsid w:val="00824054"/>
    <w:rsid w:val="00824560"/>
    <w:rsid w:val="00824661"/>
    <w:rsid w:val="00824A58"/>
    <w:rsid w:val="00824B6B"/>
    <w:rsid w:val="0082503C"/>
    <w:rsid w:val="0082549F"/>
    <w:rsid w:val="008255E4"/>
    <w:rsid w:val="008255EE"/>
    <w:rsid w:val="0082585B"/>
    <w:rsid w:val="00825A3C"/>
    <w:rsid w:val="00825DBB"/>
    <w:rsid w:val="00826B28"/>
    <w:rsid w:val="00827123"/>
    <w:rsid w:val="0082713A"/>
    <w:rsid w:val="00827A53"/>
    <w:rsid w:val="00827BAD"/>
    <w:rsid w:val="00827E30"/>
    <w:rsid w:val="008303AD"/>
    <w:rsid w:val="0083062B"/>
    <w:rsid w:val="00830639"/>
    <w:rsid w:val="008307BB"/>
    <w:rsid w:val="00830965"/>
    <w:rsid w:val="008309C9"/>
    <w:rsid w:val="00830AA2"/>
    <w:rsid w:val="00830BC7"/>
    <w:rsid w:val="00830C0E"/>
    <w:rsid w:val="00831246"/>
    <w:rsid w:val="00831300"/>
    <w:rsid w:val="00831B2D"/>
    <w:rsid w:val="00831BB2"/>
    <w:rsid w:val="00831D66"/>
    <w:rsid w:val="00832305"/>
    <w:rsid w:val="00832A8B"/>
    <w:rsid w:val="00832AB1"/>
    <w:rsid w:val="00832E10"/>
    <w:rsid w:val="0083334A"/>
    <w:rsid w:val="00833393"/>
    <w:rsid w:val="008335E3"/>
    <w:rsid w:val="00833AD2"/>
    <w:rsid w:val="00833D05"/>
    <w:rsid w:val="00833F2F"/>
    <w:rsid w:val="00834DCB"/>
    <w:rsid w:val="00834DF8"/>
    <w:rsid w:val="00835330"/>
    <w:rsid w:val="008354A6"/>
    <w:rsid w:val="00835637"/>
    <w:rsid w:val="00835B71"/>
    <w:rsid w:val="00835D6D"/>
    <w:rsid w:val="00836328"/>
    <w:rsid w:val="0083633C"/>
    <w:rsid w:val="00836673"/>
    <w:rsid w:val="00836878"/>
    <w:rsid w:val="00836E0A"/>
    <w:rsid w:val="00836E63"/>
    <w:rsid w:val="00836EED"/>
    <w:rsid w:val="0083721E"/>
    <w:rsid w:val="00837755"/>
    <w:rsid w:val="008377AF"/>
    <w:rsid w:val="0083786D"/>
    <w:rsid w:val="00840389"/>
    <w:rsid w:val="0084047D"/>
    <w:rsid w:val="0084087D"/>
    <w:rsid w:val="00840C01"/>
    <w:rsid w:val="00840C42"/>
    <w:rsid w:val="00840DBB"/>
    <w:rsid w:val="00841052"/>
    <w:rsid w:val="008410DF"/>
    <w:rsid w:val="0084167C"/>
    <w:rsid w:val="008418DC"/>
    <w:rsid w:val="00841B8E"/>
    <w:rsid w:val="00841F22"/>
    <w:rsid w:val="00841FDC"/>
    <w:rsid w:val="008420A0"/>
    <w:rsid w:val="00842516"/>
    <w:rsid w:val="008426C5"/>
    <w:rsid w:val="008429D9"/>
    <w:rsid w:val="00842BE1"/>
    <w:rsid w:val="00842D28"/>
    <w:rsid w:val="008433C9"/>
    <w:rsid w:val="00843405"/>
    <w:rsid w:val="00843AC6"/>
    <w:rsid w:val="00843EB9"/>
    <w:rsid w:val="00844014"/>
    <w:rsid w:val="008440BF"/>
    <w:rsid w:val="0084426C"/>
    <w:rsid w:val="0084429B"/>
    <w:rsid w:val="008445EA"/>
    <w:rsid w:val="008447FC"/>
    <w:rsid w:val="00844B72"/>
    <w:rsid w:val="00844CF7"/>
    <w:rsid w:val="00844F10"/>
    <w:rsid w:val="00845186"/>
    <w:rsid w:val="008451ED"/>
    <w:rsid w:val="0084568D"/>
    <w:rsid w:val="00845858"/>
    <w:rsid w:val="008459B5"/>
    <w:rsid w:val="008459CB"/>
    <w:rsid w:val="008459CD"/>
    <w:rsid w:val="00845AAB"/>
    <w:rsid w:val="00845BBC"/>
    <w:rsid w:val="00845CAC"/>
    <w:rsid w:val="0084603B"/>
    <w:rsid w:val="00846182"/>
    <w:rsid w:val="0084620F"/>
    <w:rsid w:val="008474F4"/>
    <w:rsid w:val="008477BB"/>
    <w:rsid w:val="008478F9"/>
    <w:rsid w:val="00847B4E"/>
    <w:rsid w:val="00847C3C"/>
    <w:rsid w:val="00847F2B"/>
    <w:rsid w:val="00847F77"/>
    <w:rsid w:val="00850048"/>
    <w:rsid w:val="00850347"/>
    <w:rsid w:val="00850502"/>
    <w:rsid w:val="00850505"/>
    <w:rsid w:val="008513D8"/>
    <w:rsid w:val="00851A80"/>
    <w:rsid w:val="00852468"/>
    <w:rsid w:val="008524D2"/>
    <w:rsid w:val="008524EE"/>
    <w:rsid w:val="008527E1"/>
    <w:rsid w:val="00852A3F"/>
    <w:rsid w:val="00852C25"/>
    <w:rsid w:val="00852FD7"/>
    <w:rsid w:val="0085362B"/>
    <w:rsid w:val="008537C6"/>
    <w:rsid w:val="008539D2"/>
    <w:rsid w:val="00853F7B"/>
    <w:rsid w:val="0085424D"/>
    <w:rsid w:val="00854FC1"/>
    <w:rsid w:val="00855011"/>
    <w:rsid w:val="008551BE"/>
    <w:rsid w:val="008555AC"/>
    <w:rsid w:val="008556D1"/>
    <w:rsid w:val="00855836"/>
    <w:rsid w:val="008559DF"/>
    <w:rsid w:val="00855CC8"/>
    <w:rsid w:val="00855D43"/>
    <w:rsid w:val="00856001"/>
    <w:rsid w:val="008561D7"/>
    <w:rsid w:val="00856946"/>
    <w:rsid w:val="00856A0D"/>
    <w:rsid w:val="00856E14"/>
    <w:rsid w:val="008576C7"/>
    <w:rsid w:val="008577F3"/>
    <w:rsid w:val="00857A6C"/>
    <w:rsid w:val="00857A84"/>
    <w:rsid w:val="00857CBF"/>
    <w:rsid w:val="0086010E"/>
    <w:rsid w:val="0086019F"/>
    <w:rsid w:val="008607B4"/>
    <w:rsid w:val="00860927"/>
    <w:rsid w:val="00860B22"/>
    <w:rsid w:val="00860E10"/>
    <w:rsid w:val="00860F3C"/>
    <w:rsid w:val="00861074"/>
    <w:rsid w:val="008611B2"/>
    <w:rsid w:val="008612F7"/>
    <w:rsid w:val="00861392"/>
    <w:rsid w:val="00861415"/>
    <w:rsid w:val="008616DC"/>
    <w:rsid w:val="00861B4D"/>
    <w:rsid w:val="00862139"/>
    <w:rsid w:val="008632D1"/>
    <w:rsid w:val="008636FC"/>
    <w:rsid w:val="00863738"/>
    <w:rsid w:val="0086382F"/>
    <w:rsid w:val="008639AB"/>
    <w:rsid w:val="00863D9A"/>
    <w:rsid w:val="00863DB6"/>
    <w:rsid w:val="008640F0"/>
    <w:rsid w:val="008644A0"/>
    <w:rsid w:val="008645D3"/>
    <w:rsid w:val="00864622"/>
    <w:rsid w:val="00864963"/>
    <w:rsid w:val="00864994"/>
    <w:rsid w:val="00864CEB"/>
    <w:rsid w:val="00864D4D"/>
    <w:rsid w:val="00865227"/>
    <w:rsid w:val="008653C5"/>
    <w:rsid w:val="008654F9"/>
    <w:rsid w:val="00865AFD"/>
    <w:rsid w:val="00865B86"/>
    <w:rsid w:val="00865E2E"/>
    <w:rsid w:val="0086653C"/>
    <w:rsid w:val="008665F2"/>
    <w:rsid w:val="00866988"/>
    <w:rsid w:val="008669C2"/>
    <w:rsid w:val="00866DD0"/>
    <w:rsid w:val="00866EA8"/>
    <w:rsid w:val="00866EC3"/>
    <w:rsid w:val="0086716F"/>
    <w:rsid w:val="00867199"/>
    <w:rsid w:val="008672DD"/>
    <w:rsid w:val="0086739D"/>
    <w:rsid w:val="00867744"/>
    <w:rsid w:val="008678E1"/>
    <w:rsid w:val="00867DED"/>
    <w:rsid w:val="00870368"/>
    <w:rsid w:val="008709AB"/>
    <w:rsid w:val="008709F7"/>
    <w:rsid w:val="00870C49"/>
    <w:rsid w:val="00870F56"/>
    <w:rsid w:val="00870FA9"/>
    <w:rsid w:val="00871164"/>
    <w:rsid w:val="0087124F"/>
    <w:rsid w:val="00871A0E"/>
    <w:rsid w:val="00871B48"/>
    <w:rsid w:val="00871ECC"/>
    <w:rsid w:val="00871ED6"/>
    <w:rsid w:val="008728D7"/>
    <w:rsid w:val="00872E91"/>
    <w:rsid w:val="008734C4"/>
    <w:rsid w:val="008735F0"/>
    <w:rsid w:val="0087372A"/>
    <w:rsid w:val="00873ADB"/>
    <w:rsid w:val="00873BC6"/>
    <w:rsid w:val="00874062"/>
    <w:rsid w:val="0087428A"/>
    <w:rsid w:val="00874F8F"/>
    <w:rsid w:val="00874FB1"/>
    <w:rsid w:val="008760EE"/>
    <w:rsid w:val="008762E2"/>
    <w:rsid w:val="008766BB"/>
    <w:rsid w:val="00876848"/>
    <w:rsid w:val="00876C75"/>
    <w:rsid w:val="00876EC0"/>
    <w:rsid w:val="00876F1B"/>
    <w:rsid w:val="008770DB"/>
    <w:rsid w:val="008771C2"/>
    <w:rsid w:val="008771F4"/>
    <w:rsid w:val="00877457"/>
    <w:rsid w:val="00877B0E"/>
    <w:rsid w:val="00877B45"/>
    <w:rsid w:val="00877E86"/>
    <w:rsid w:val="008802BE"/>
    <w:rsid w:val="0088081E"/>
    <w:rsid w:val="00880845"/>
    <w:rsid w:val="00880874"/>
    <w:rsid w:val="00880902"/>
    <w:rsid w:val="00880A9F"/>
    <w:rsid w:val="00880AC6"/>
    <w:rsid w:val="00880CEC"/>
    <w:rsid w:val="008810A9"/>
    <w:rsid w:val="008812BC"/>
    <w:rsid w:val="008817C5"/>
    <w:rsid w:val="00881A60"/>
    <w:rsid w:val="00881E3C"/>
    <w:rsid w:val="00882423"/>
    <w:rsid w:val="00882621"/>
    <w:rsid w:val="00882A4C"/>
    <w:rsid w:val="00882D79"/>
    <w:rsid w:val="008839D5"/>
    <w:rsid w:val="00883A96"/>
    <w:rsid w:val="00883E90"/>
    <w:rsid w:val="00884193"/>
    <w:rsid w:val="00884771"/>
    <w:rsid w:val="0088489B"/>
    <w:rsid w:val="0088506B"/>
    <w:rsid w:val="008850AD"/>
    <w:rsid w:val="0088577D"/>
    <w:rsid w:val="00885E52"/>
    <w:rsid w:val="00885F92"/>
    <w:rsid w:val="0088633E"/>
    <w:rsid w:val="0088643B"/>
    <w:rsid w:val="00886665"/>
    <w:rsid w:val="008866E3"/>
    <w:rsid w:val="0088686F"/>
    <w:rsid w:val="00886EF5"/>
    <w:rsid w:val="0088740E"/>
    <w:rsid w:val="0088741C"/>
    <w:rsid w:val="00887848"/>
    <w:rsid w:val="00887BDD"/>
    <w:rsid w:val="00887C13"/>
    <w:rsid w:val="0089039A"/>
    <w:rsid w:val="0089050E"/>
    <w:rsid w:val="00891062"/>
    <w:rsid w:val="00891175"/>
    <w:rsid w:val="008911C3"/>
    <w:rsid w:val="00891B36"/>
    <w:rsid w:val="00891D0A"/>
    <w:rsid w:val="00892342"/>
    <w:rsid w:val="00892664"/>
    <w:rsid w:val="0089268E"/>
    <w:rsid w:val="00892A4E"/>
    <w:rsid w:val="008933A8"/>
    <w:rsid w:val="00893507"/>
    <w:rsid w:val="00893B2A"/>
    <w:rsid w:val="00894340"/>
    <w:rsid w:val="008944A7"/>
    <w:rsid w:val="00894922"/>
    <w:rsid w:val="008949B8"/>
    <w:rsid w:val="00894A27"/>
    <w:rsid w:val="00895184"/>
    <w:rsid w:val="0089538C"/>
    <w:rsid w:val="00895D74"/>
    <w:rsid w:val="008960CA"/>
    <w:rsid w:val="008964D8"/>
    <w:rsid w:val="008968AB"/>
    <w:rsid w:val="008969CB"/>
    <w:rsid w:val="00896A4C"/>
    <w:rsid w:val="00896EBA"/>
    <w:rsid w:val="0089710F"/>
    <w:rsid w:val="00897268"/>
    <w:rsid w:val="0089753B"/>
    <w:rsid w:val="008976B3"/>
    <w:rsid w:val="00897834"/>
    <w:rsid w:val="0089797F"/>
    <w:rsid w:val="00897C95"/>
    <w:rsid w:val="00897CCF"/>
    <w:rsid w:val="008A0746"/>
    <w:rsid w:val="008A1127"/>
    <w:rsid w:val="008A15B5"/>
    <w:rsid w:val="008A1D7F"/>
    <w:rsid w:val="008A1FAF"/>
    <w:rsid w:val="008A1FC2"/>
    <w:rsid w:val="008A23C9"/>
    <w:rsid w:val="008A2F34"/>
    <w:rsid w:val="008A31F9"/>
    <w:rsid w:val="008A3277"/>
    <w:rsid w:val="008A3360"/>
    <w:rsid w:val="008A33F3"/>
    <w:rsid w:val="008A39F8"/>
    <w:rsid w:val="008A3ADF"/>
    <w:rsid w:val="008A4144"/>
    <w:rsid w:val="008A435C"/>
    <w:rsid w:val="008A4434"/>
    <w:rsid w:val="008A4B3C"/>
    <w:rsid w:val="008A4DE0"/>
    <w:rsid w:val="008A5393"/>
    <w:rsid w:val="008A5415"/>
    <w:rsid w:val="008A57AB"/>
    <w:rsid w:val="008A5DBD"/>
    <w:rsid w:val="008A5F95"/>
    <w:rsid w:val="008A60C4"/>
    <w:rsid w:val="008A61C4"/>
    <w:rsid w:val="008A65DC"/>
    <w:rsid w:val="008A6647"/>
    <w:rsid w:val="008A69C3"/>
    <w:rsid w:val="008A6F5B"/>
    <w:rsid w:val="008A6F8F"/>
    <w:rsid w:val="008A7628"/>
    <w:rsid w:val="008A7707"/>
    <w:rsid w:val="008A77C5"/>
    <w:rsid w:val="008A77D0"/>
    <w:rsid w:val="008A7986"/>
    <w:rsid w:val="008B031F"/>
    <w:rsid w:val="008B05A6"/>
    <w:rsid w:val="008B091A"/>
    <w:rsid w:val="008B0AF1"/>
    <w:rsid w:val="008B0B3A"/>
    <w:rsid w:val="008B0F3F"/>
    <w:rsid w:val="008B1189"/>
    <w:rsid w:val="008B13A9"/>
    <w:rsid w:val="008B1592"/>
    <w:rsid w:val="008B16E5"/>
    <w:rsid w:val="008B1800"/>
    <w:rsid w:val="008B1A74"/>
    <w:rsid w:val="008B1F7D"/>
    <w:rsid w:val="008B1FDB"/>
    <w:rsid w:val="008B2120"/>
    <w:rsid w:val="008B26CA"/>
    <w:rsid w:val="008B298B"/>
    <w:rsid w:val="008B32A9"/>
    <w:rsid w:val="008B32F6"/>
    <w:rsid w:val="008B34E4"/>
    <w:rsid w:val="008B35EF"/>
    <w:rsid w:val="008B3608"/>
    <w:rsid w:val="008B36F7"/>
    <w:rsid w:val="008B38ED"/>
    <w:rsid w:val="008B44F9"/>
    <w:rsid w:val="008B4592"/>
    <w:rsid w:val="008B4916"/>
    <w:rsid w:val="008B4ECF"/>
    <w:rsid w:val="008B50EA"/>
    <w:rsid w:val="008B525E"/>
    <w:rsid w:val="008B54BC"/>
    <w:rsid w:val="008B58BF"/>
    <w:rsid w:val="008B5B41"/>
    <w:rsid w:val="008B5B67"/>
    <w:rsid w:val="008B5D99"/>
    <w:rsid w:val="008B6325"/>
    <w:rsid w:val="008B642B"/>
    <w:rsid w:val="008B6757"/>
    <w:rsid w:val="008B6774"/>
    <w:rsid w:val="008B6B95"/>
    <w:rsid w:val="008B6BDF"/>
    <w:rsid w:val="008B6E41"/>
    <w:rsid w:val="008B72B3"/>
    <w:rsid w:val="008B741D"/>
    <w:rsid w:val="008B7887"/>
    <w:rsid w:val="008B78B1"/>
    <w:rsid w:val="008B7B31"/>
    <w:rsid w:val="008B7F87"/>
    <w:rsid w:val="008C0083"/>
    <w:rsid w:val="008C04CC"/>
    <w:rsid w:val="008C059C"/>
    <w:rsid w:val="008C10B3"/>
    <w:rsid w:val="008C190E"/>
    <w:rsid w:val="008C1BA8"/>
    <w:rsid w:val="008C1D8C"/>
    <w:rsid w:val="008C25D2"/>
    <w:rsid w:val="008C2C9B"/>
    <w:rsid w:val="008C2EDB"/>
    <w:rsid w:val="008C309A"/>
    <w:rsid w:val="008C3AA5"/>
    <w:rsid w:val="008C3BDF"/>
    <w:rsid w:val="008C3D96"/>
    <w:rsid w:val="008C4267"/>
    <w:rsid w:val="008C42CB"/>
    <w:rsid w:val="008C437C"/>
    <w:rsid w:val="008C44E7"/>
    <w:rsid w:val="008C4937"/>
    <w:rsid w:val="008C4AD8"/>
    <w:rsid w:val="008C52BB"/>
    <w:rsid w:val="008C52C3"/>
    <w:rsid w:val="008C56A2"/>
    <w:rsid w:val="008C5707"/>
    <w:rsid w:val="008C5E6D"/>
    <w:rsid w:val="008C613C"/>
    <w:rsid w:val="008C61AA"/>
    <w:rsid w:val="008C6553"/>
    <w:rsid w:val="008C6B0C"/>
    <w:rsid w:val="008C6C9A"/>
    <w:rsid w:val="008C6F77"/>
    <w:rsid w:val="008C701E"/>
    <w:rsid w:val="008C723A"/>
    <w:rsid w:val="008C7240"/>
    <w:rsid w:val="008C72D5"/>
    <w:rsid w:val="008C7B46"/>
    <w:rsid w:val="008C7BD0"/>
    <w:rsid w:val="008C7BF5"/>
    <w:rsid w:val="008C7EE1"/>
    <w:rsid w:val="008D01F6"/>
    <w:rsid w:val="008D024A"/>
    <w:rsid w:val="008D08EC"/>
    <w:rsid w:val="008D0C86"/>
    <w:rsid w:val="008D1194"/>
    <w:rsid w:val="008D1698"/>
    <w:rsid w:val="008D183C"/>
    <w:rsid w:val="008D1B64"/>
    <w:rsid w:val="008D1E56"/>
    <w:rsid w:val="008D1F11"/>
    <w:rsid w:val="008D1FC7"/>
    <w:rsid w:val="008D2009"/>
    <w:rsid w:val="008D2451"/>
    <w:rsid w:val="008D28B8"/>
    <w:rsid w:val="008D30DE"/>
    <w:rsid w:val="008D31EB"/>
    <w:rsid w:val="008D330E"/>
    <w:rsid w:val="008D355A"/>
    <w:rsid w:val="008D37D0"/>
    <w:rsid w:val="008D3A39"/>
    <w:rsid w:val="008D3F0C"/>
    <w:rsid w:val="008D3F66"/>
    <w:rsid w:val="008D4162"/>
    <w:rsid w:val="008D4227"/>
    <w:rsid w:val="008D4387"/>
    <w:rsid w:val="008D44BF"/>
    <w:rsid w:val="008D483A"/>
    <w:rsid w:val="008D48D3"/>
    <w:rsid w:val="008D4AD7"/>
    <w:rsid w:val="008D4C00"/>
    <w:rsid w:val="008D4C96"/>
    <w:rsid w:val="008D4E1D"/>
    <w:rsid w:val="008D4E54"/>
    <w:rsid w:val="008D519A"/>
    <w:rsid w:val="008D523F"/>
    <w:rsid w:val="008D561D"/>
    <w:rsid w:val="008D5C94"/>
    <w:rsid w:val="008D5D59"/>
    <w:rsid w:val="008D5E7A"/>
    <w:rsid w:val="008D5EEF"/>
    <w:rsid w:val="008D6092"/>
    <w:rsid w:val="008D62D5"/>
    <w:rsid w:val="008D699E"/>
    <w:rsid w:val="008D70F9"/>
    <w:rsid w:val="008D790A"/>
    <w:rsid w:val="008D7B9A"/>
    <w:rsid w:val="008D7BA3"/>
    <w:rsid w:val="008D7E23"/>
    <w:rsid w:val="008E00F8"/>
    <w:rsid w:val="008E0221"/>
    <w:rsid w:val="008E07C6"/>
    <w:rsid w:val="008E07CC"/>
    <w:rsid w:val="008E087E"/>
    <w:rsid w:val="008E0998"/>
    <w:rsid w:val="008E173A"/>
    <w:rsid w:val="008E19CB"/>
    <w:rsid w:val="008E1BCF"/>
    <w:rsid w:val="008E20C9"/>
    <w:rsid w:val="008E24C3"/>
    <w:rsid w:val="008E25EA"/>
    <w:rsid w:val="008E2613"/>
    <w:rsid w:val="008E286D"/>
    <w:rsid w:val="008E28BC"/>
    <w:rsid w:val="008E2AA7"/>
    <w:rsid w:val="008E2B99"/>
    <w:rsid w:val="008E2BE3"/>
    <w:rsid w:val="008E2D83"/>
    <w:rsid w:val="008E300F"/>
    <w:rsid w:val="008E3011"/>
    <w:rsid w:val="008E342B"/>
    <w:rsid w:val="008E35A1"/>
    <w:rsid w:val="008E36E9"/>
    <w:rsid w:val="008E38B1"/>
    <w:rsid w:val="008E38ED"/>
    <w:rsid w:val="008E3970"/>
    <w:rsid w:val="008E3D25"/>
    <w:rsid w:val="008E3FBC"/>
    <w:rsid w:val="008E452B"/>
    <w:rsid w:val="008E459F"/>
    <w:rsid w:val="008E4666"/>
    <w:rsid w:val="008E4673"/>
    <w:rsid w:val="008E484E"/>
    <w:rsid w:val="008E4C89"/>
    <w:rsid w:val="008E5068"/>
    <w:rsid w:val="008E50DF"/>
    <w:rsid w:val="008E5154"/>
    <w:rsid w:val="008E5173"/>
    <w:rsid w:val="008E51AF"/>
    <w:rsid w:val="008E53FE"/>
    <w:rsid w:val="008E5401"/>
    <w:rsid w:val="008E548A"/>
    <w:rsid w:val="008E54A2"/>
    <w:rsid w:val="008E588A"/>
    <w:rsid w:val="008E5B20"/>
    <w:rsid w:val="008E641D"/>
    <w:rsid w:val="008E64C3"/>
    <w:rsid w:val="008E65EA"/>
    <w:rsid w:val="008E67D1"/>
    <w:rsid w:val="008E67E7"/>
    <w:rsid w:val="008E693D"/>
    <w:rsid w:val="008E74A2"/>
    <w:rsid w:val="008E7B2C"/>
    <w:rsid w:val="008E7C56"/>
    <w:rsid w:val="008E7D92"/>
    <w:rsid w:val="008E7FD9"/>
    <w:rsid w:val="008F0130"/>
    <w:rsid w:val="008F04CA"/>
    <w:rsid w:val="008F0D9C"/>
    <w:rsid w:val="008F0FA9"/>
    <w:rsid w:val="008F13B0"/>
    <w:rsid w:val="008F16E8"/>
    <w:rsid w:val="008F1C26"/>
    <w:rsid w:val="008F2098"/>
    <w:rsid w:val="008F23C8"/>
    <w:rsid w:val="008F23D6"/>
    <w:rsid w:val="008F26D9"/>
    <w:rsid w:val="008F3258"/>
    <w:rsid w:val="008F3A05"/>
    <w:rsid w:val="008F3BA3"/>
    <w:rsid w:val="008F3D11"/>
    <w:rsid w:val="008F3E74"/>
    <w:rsid w:val="008F41BF"/>
    <w:rsid w:val="008F4286"/>
    <w:rsid w:val="008F43FD"/>
    <w:rsid w:val="008F4775"/>
    <w:rsid w:val="008F49EB"/>
    <w:rsid w:val="008F4B82"/>
    <w:rsid w:val="008F4D28"/>
    <w:rsid w:val="008F504A"/>
    <w:rsid w:val="008F53FA"/>
    <w:rsid w:val="008F55EB"/>
    <w:rsid w:val="008F5996"/>
    <w:rsid w:val="008F5999"/>
    <w:rsid w:val="008F5A84"/>
    <w:rsid w:val="008F5DD5"/>
    <w:rsid w:val="008F5F3D"/>
    <w:rsid w:val="008F639B"/>
    <w:rsid w:val="008F68FC"/>
    <w:rsid w:val="008F6A0B"/>
    <w:rsid w:val="008F6AB8"/>
    <w:rsid w:val="008F7097"/>
    <w:rsid w:val="008F71DA"/>
    <w:rsid w:val="008F7207"/>
    <w:rsid w:val="008F7260"/>
    <w:rsid w:val="008F7313"/>
    <w:rsid w:val="008F7379"/>
    <w:rsid w:val="008F7632"/>
    <w:rsid w:val="008F764A"/>
    <w:rsid w:val="008F7814"/>
    <w:rsid w:val="009006A6"/>
    <w:rsid w:val="009009E3"/>
    <w:rsid w:val="00900A04"/>
    <w:rsid w:val="00900A33"/>
    <w:rsid w:val="00900B78"/>
    <w:rsid w:val="009011E1"/>
    <w:rsid w:val="0090149E"/>
    <w:rsid w:val="009016D7"/>
    <w:rsid w:val="00901759"/>
    <w:rsid w:val="009017E1"/>
    <w:rsid w:val="00901C09"/>
    <w:rsid w:val="009020C6"/>
    <w:rsid w:val="009021B0"/>
    <w:rsid w:val="00902388"/>
    <w:rsid w:val="009025BA"/>
    <w:rsid w:val="009026FB"/>
    <w:rsid w:val="00902773"/>
    <w:rsid w:val="00902970"/>
    <w:rsid w:val="009034A7"/>
    <w:rsid w:val="00903547"/>
    <w:rsid w:val="009036E8"/>
    <w:rsid w:val="00903753"/>
    <w:rsid w:val="00903AC3"/>
    <w:rsid w:val="00903E03"/>
    <w:rsid w:val="00903E38"/>
    <w:rsid w:val="00903EDE"/>
    <w:rsid w:val="009040E0"/>
    <w:rsid w:val="0090412E"/>
    <w:rsid w:val="0090446A"/>
    <w:rsid w:val="00904536"/>
    <w:rsid w:val="0090478A"/>
    <w:rsid w:val="009049DB"/>
    <w:rsid w:val="00904EEF"/>
    <w:rsid w:val="00904FD4"/>
    <w:rsid w:val="0090535E"/>
    <w:rsid w:val="009057D7"/>
    <w:rsid w:val="00905F68"/>
    <w:rsid w:val="0090648F"/>
    <w:rsid w:val="00906877"/>
    <w:rsid w:val="00906995"/>
    <w:rsid w:val="00906A00"/>
    <w:rsid w:val="00906AF6"/>
    <w:rsid w:val="009070E0"/>
    <w:rsid w:val="009076CF"/>
    <w:rsid w:val="00907A44"/>
    <w:rsid w:val="00907C3D"/>
    <w:rsid w:val="00907E08"/>
    <w:rsid w:val="00907EEF"/>
    <w:rsid w:val="009102A7"/>
    <w:rsid w:val="00910376"/>
    <w:rsid w:val="00910444"/>
    <w:rsid w:val="009104CA"/>
    <w:rsid w:val="009105B7"/>
    <w:rsid w:val="00910B84"/>
    <w:rsid w:val="0091111E"/>
    <w:rsid w:val="0091126F"/>
    <w:rsid w:val="0091155A"/>
    <w:rsid w:val="00911D86"/>
    <w:rsid w:val="00912252"/>
    <w:rsid w:val="009122C3"/>
    <w:rsid w:val="00912723"/>
    <w:rsid w:val="00912D2C"/>
    <w:rsid w:val="009132FC"/>
    <w:rsid w:val="00913B6E"/>
    <w:rsid w:val="00914163"/>
    <w:rsid w:val="009141E9"/>
    <w:rsid w:val="00914410"/>
    <w:rsid w:val="009144B5"/>
    <w:rsid w:val="0091455C"/>
    <w:rsid w:val="009146CE"/>
    <w:rsid w:val="009146F6"/>
    <w:rsid w:val="00914E14"/>
    <w:rsid w:val="00914FC8"/>
    <w:rsid w:val="00915600"/>
    <w:rsid w:val="00915863"/>
    <w:rsid w:val="00915A62"/>
    <w:rsid w:val="00915ACA"/>
    <w:rsid w:val="00915BA6"/>
    <w:rsid w:val="0091645D"/>
    <w:rsid w:val="00916C55"/>
    <w:rsid w:val="00916ED7"/>
    <w:rsid w:val="009175F8"/>
    <w:rsid w:val="009176E3"/>
    <w:rsid w:val="0091775A"/>
    <w:rsid w:val="009178AD"/>
    <w:rsid w:val="009179B3"/>
    <w:rsid w:val="009179EE"/>
    <w:rsid w:val="00917B2E"/>
    <w:rsid w:val="00920173"/>
    <w:rsid w:val="0092021D"/>
    <w:rsid w:val="00920531"/>
    <w:rsid w:val="009206A9"/>
    <w:rsid w:val="00920CC2"/>
    <w:rsid w:val="00920D56"/>
    <w:rsid w:val="00920F52"/>
    <w:rsid w:val="0092264C"/>
    <w:rsid w:val="00922856"/>
    <w:rsid w:val="00922BA7"/>
    <w:rsid w:val="00922E70"/>
    <w:rsid w:val="00922F9B"/>
    <w:rsid w:val="00922FA5"/>
    <w:rsid w:val="00923440"/>
    <w:rsid w:val="009235ED"/>
    <w:rsid w:val="00923720"/>
    <w:rsid w:val="009238DD"/>
    <w:rsid w:val="00923A7C"/>
    <w:rsid w:val="0092406D"/>
    <w:rsid w:val="00924B03"/>
    <w:rsid w:val="00924F57"/>
    <w:rsid w:val="00924FB5"/>
    <w:rsid w:val="0092511D"/>
    <w:rsid w:val="00925283"/>
    <w:rsid w:val="00925723"/>
    <w:rsid w:val="0092577A"/>
    <w:rsid w:val="00925A3C"/>
    <w:rsid w:val="00926333"/>
    <w:rsid w:val="00926403"/>
    <w:rsid w:val="009268F5"/>
    <w:rsid w:val="00926D64"/>
    <w:rsid w:val="00926E69"/>
    <w:rsid w:val="00927198"/>
    <w:rsid w:val="009274BC"/>
    <w:rsid w:val="009277EE"/>
    <w:rsid w:val="00927DDD"/>
    <w:rsid w:val="00927DFA"/>
    <w:rsid w:val="00927DFD"/>
    <w:rsid w:val="00927EA1"/>
    <w:rsid w:val="00927F2B"/>
    <w:rsid w:val="00930330"/>
    <w:rsid w:val="009303D9"/>
    <w:rsid w:val="00930434"/>
    <w:rsid w:val="00930445"/>
    <w:rsid w:val="009305F3"/>
    <w:rsid w:val="009305FE"/>
    <w:rsid w:val="0093064E"/>
    <w:rsid w:val="00930669"/>
    <w:rsid w:val="0093079E"/>
    <w:rsid w:val="00930EF2"/>
    <w:rsid w:val="00930EF7"/>
    <w:rsid w:val="0093125C"/>
    <w:rsid w:val="009317B8"/>
    <w:rsid w:val="009319DC"/>
    <w:rsid w:val="00931DAE"/>
    <w:rsid w:val="00931DDB"/>
    <w:rsid w:val="00931E41"/>
    <w:rsid w:val="00932243"/>
    <w:rsid w:val="00932708"/>
    <w:rsid w:val="00932A1A"/>
    <w:rsid w:val="00932AF5"/>
    <w:rsid w:val="0093303B"/>
    <w:rsid w:val="0093310F"/>
    <w:rsid w:val="0093319C"/>
    <w:rsid w:val="00933599"/>
    <w:rsid w:val="00933AF8"/>
    <w:rsid w:val="00933B03"/>
    <w:rsid w:val="00933C61"/>
    <w:rsid w:val="0093473E"/>
    <w:rsid w:val="009349AC"/>
    <w:rsid w:val="00934BA0"/>
    <w:rsid w:val="00934F47"/>
    <w:rsid w:val="009353F1"/>
    <w:rsid w:val="00935445"/>
    <w:rsid w:val="0093560D"/>
    <w:rsid w:val="0093574F"/>
    <w:rsid w:val="00935A83"/>
    <w:rsid w:val="00935C1B"/>
    <w:rsid w:val="009360D6"/>
    <w:rsid w:val="00936282"/>
    <w:rsid w:val="00936510"/>
    <w:rsid w:val="00936E90"/>
    <w:rsid w:val="009377D8"/>
    <w:rsid w:val="00937836"/>
    <w:rsid w:val="00937A0A"/>
    <w:rsid w:val="00937AC2"/>
    <w:rsid w:val="00937AD9"/>
    <w:rsid w:val="00937B2F"/>
    <w:rsid w:val="00937C42"/>
    <w:rsid w:val="00937C9B"/>
    <w:rsid w:val="00937F4D"/>
    <w:rsid w:val="009406C5"/>
    <w:rsid w:val="00940885"/>
    <w:rsid w:val="00941336"/>
    <w:rsid w:val="0094159C"/>
    <w:rsid w:val="00941956"/>
    <w:rsid w:val="00941C78"/>
    <w:rsid w:val="00941CCE"/>
    <w:rsid w:val="009421AD"/>
    <w:rsid w:val="00942429"/>
    <w:rsid w:val="009426FC"/>
    <w:rsid w:val="00942702"/>
    <w:rsid w:val="009428CB"/>
    <w:rsid w:val="00942ADD"/>
    <w:rsid w:val="00942F66"/>
    <w:rsid w:val="009431C2"/>
    <w:rsid w:val="00943836"/>
    <w:rsid w:val="00943975"/>
    <w:rsid w:val="00943B55"/>
    <w:rsid w:val="00943D54"/>
    <w:rsid w:val="009441DB"/>
    <w:rsid w:val="00944538"/>
    <w:rsid w:val="0094456B"/>
    <w:rsid w:val="009448F1"/>
    <w:rsid w:val="00945034"/>
    <w:rsid w:val="009453DD"/>
    <w:rsid w:val="00945476"/>
    <w:rsid w:val="00945489"/>
    <w:rsid w:val="0094566C"/>
    <w:rsid w:val="00945757"/>
    <w:rsid w:val="009457AD"/>
    <w:rsid w:val="0094583D"/>
    <w:rsid w:val="009459AE"/>
    <w:rsid w:val="00945D56"/>
    <w:rsid w:val="00945E92"/>
    <w:rsid w:val="00945F41"/>
    <w:rsid w:val="009461DA"/>
    <w:rsid w:val="00946274"/>
    <w:rsid w:val="009463BC"/>
    <w:rsid w:val="00946402"/>
    <w:rsid w:val="009464E9"/>
    <w:rsid w:val="0094662D"/>
    <w:rsid w:val="0094665F"/>
    <w:rsid w:val="009466D2"/>
    <w:rsid w:val="009466EE"/>
    <w:rsid w:val="0094698E"/>
    <w:rsid w:val="009469CE"/>
    <w:rsid w:val="00946F07"/>
    <w:rsid w:val="009472E7"/>
    <w:rsid w:val="0094734A"/>
    <w:rsid w:val="00947EED"/>
    <w:rsid w:val="0095002D"/>
    <w:rsid w:val="00950031"/>
    <w:rsid w:val="009503DE"/>
    <w:rsid w:val="00950691"/>
    <w:rsid w:val="009507D6"/>
    <w:rsid w:val="00950879"/>
    <w:rsid w:val="00950BD2"/>
    <w:rsid w:val="00950D0E"/>
    <w:rsid w:val="009511A3"/>
    <w:rsid w:val="009512BF"/>
    <w:rsid w:val="00951966"/>
    <w:rsid w:val="00951A01"/>
    <w:rsid w:val="00951AE4"/>
    <w:rsid w:val="00951F65"/>
    <w:rsid w:val="009525EB"/>
    <w:rsid w:val="00952CE0"/>
    <w:rsid w:val="00953412"/>
    <w:rsid w:val="009539D5"/>
    <w:rsid w:val="009539F1"/>
    <w:rsid w:val="00953D77"/>
    <w:rsid w:val="0095440B"/>
    <w:rsid w:val="009544E5"/>
    <w:rsid w:val="009546E2"/>
    <w:rsid w:val="00954BDF"/>
    <w:rsid w:val="00954C84"/>
    <w:rsid w:val="00954F73"/>
    <w:rsid w:val="0095551A"/>
    <w:rsid w:val="0095584F"/>
    <w:rsid w:val="00955962"/>
    <w:rsid w:val="00955C3B"/>
    <w:rsid w:val="00955C40"/>
    <w:rsid w:val="00955E1C"/>
    <w:rsid w:val="00955E82"/>
    <w:rsid w:val="009561C9"/>
    <w:rsid w:val="009564D5"/>
    <w:rsid w:val="00956B63"/>
    <w:rsid w:val="00956CD6"/>
    <w:rsid w:val="00956E50"/>
    <w:rsid w:val="00956FD0"/>
    <w:rsid w:val="0095716D"/>
    <w:rsid w:val="009575E1"/>
    <w:rsid w:val="00957636"/>
    <w:rsid w:val="00957750"/>
    <w:rsid w:val="0095779E"/>
    <w:rsid w:val="009577ED"/>
    <w:rsid w:val="00957ECD"/>
    <w:rsid w:val="00957FDD"/>
    <w:rsid w:val="009607E0"/>
    <w:rsid w:val="009609BB"/>
    <w:rsid w:val="00960A69"/>
    <w:rsid w:val="00960B95"/>
    <w:rsid w:val="00960BC7"/>
    <w:rsid w:val="00961023"/>
    <w:rsid w:val="009611A3"/>
    <w:rsid w:val="0096131A"/>
    <w:rsid w:val="00961370"/>
    <w:rsid w:val="0096190A"/>
    <w:rsid w:val="009619C4"/>
    <w:rsid w:val="00961DB1"/>
    <w:rsid w:val="00962015"/>
    <w:rsid w:val="00962129"/>
    <w:rsid w:val="009621A4"/>
    <w:rsid w:val="0096229C"/>
    <w:rsid w:val="00962626"/>
    <w:rsid w:val="009626F3"/>
    <w:rsid w:val="00962C45"/>
    <w:rsid w:val="00962C7C"/>
    <w:rsid w:val="00963142"/>
    <w:rsid w:val="009632C9"/>
    <w:rsid w:val="009633F5"/>
    <w:rsid w:val="0096344B"/>
    <w:rsid w:val="0096360B"/>
    <w:rsid w:val="00963CB5"/>
    <w:rsid w:val="00964161"/>
    <w:rsid w:val="00964625"/>
    <w:rsid w:val="0096478A"/>
    <w:rsid w:val="00964EF9"/>
    <w:rsid w:val="00965EAD"/>
    <w:rsid w:val="009661BB"/>
    <w:rsid w:val="009664E6"/>
    <w:rsid w:val="009665BD"/>
    <w:rsid w:val="009667EE"/>
    <w:rsid w:val="009671AB"/>
    <w:rsid w:val="0096762D"/>
    <w:rsid w:val="0096797F"/>
    <w:rsid w:val="00967E4A"/>
    <w:rsid w:val="00970149"/>
    <w:rsid w:val="0097040B"/>
    <w:rsid w:val="009705B2"/>
    <w:rsid w:val="00970780"/>
    <w:rsid w:val="00970D73"/>
    <w:rsid w:val="00970DF2"/>
    <w:rsid w:val="0097138B"/>
    <w:rsid w:val="00971849"/>
    <w:rsid w:val="00971C07"/>
    <w:rsid w:val="00971D2D"/>
    <w:rsid w:val="009720B6"/>
    <w:rsid w:val="00972251"/>
    <w:rsid w:val="00972333"/>
    <w:rsid w:val="009725C2"/>
    <w:rsid w:val="009725F6"/>
    <w:rsid w:val="009728E4"/>
    <w:rsid w:val="00973090"/>
    <w:rsid w:val="009730C4"/>
    <w:rsid w:val="0097316B"/>
    <w:rsid w:val="00973526"/>
    <w:rsid w:val="0097354A"/>
    <w:rsid w:val="009735DD"/>
    <w:rsid w:val="00973700"/>
    <w:rsid w:val="00973807"/>
    <w:rsid w:val="00973809"/>
    <w:rsid w:val="009738A7"/>
    <w:rsid w:val="00973A21"/>
    <w:rsid w:val="00973A49"/>
    <w:rsid w:val="00974011"/>
    <w:rsid w:val="00974329"/>
    <w:rsid w:val="00974AA6"/>
    <w:rsid w:val="00974EF9"/>
    <w:rsid w:val="00974FAA"/>
    <w:rsid w:val="00975288"/>
    <w:rsid w:val="009755AB"/>
    <w:rsid w:val="009758F4"/>
    <w:rsid w:val="00975C81"/>
    <w:rsid w:val="00976643"/>
    <w:rsid w:val="00976AEE"/>
    <w:rsid w:val="00976CE9"/>
    <w:rsid w:val="00976EC5"/>
    <w:rsid w:val="00977184"/>
    <w:rsid w:val="0097718F"/>
    <w:rsid w:val="009773C0"/>
    <w:rsid w:val="00977609"/>
    <w:rsid w:val="00977A9F"/>
    <w:rsid w:val="009801CA"/>
    <w:rsid w:val="00980232"/>
    <w:rsid w:val="009802C9"/>
    <w:rsid w:val="00980330"/>
    <w:rsid w:val="009806BE"/>
    <w:rsid w:val="009806C7"/>
    <w:rsid w:val="00981033"/>
    <w:rsid w:val="009813B0"/>
    <w:rsid w:val="00981DEE"/>
    <w:rsid w:val="0098209C"/>
    <w:rsid w:val="009820FA"/>
    <w:rsid w:val="0098288A"/>
    <w:rsid w:val="009828B1"/>
    <w:rsid w:val="00982A10"/>
    <w:rsid w:val="00982BDA"/>
    <w:rsid w:val="00982DAA"/>
    <w:rsid w:val="00982ECB"/>
    <w:rsid w:val="00982F44"/>
    <w:rsid w:val="0098307F"/>
    <w:rsid w:val="0098380F"/>
    <w:rsid w:val="00983A0A"/>
    <w:rsid w:val="00983A21"/>
    <w:rsid w:val="00983BAA"/>
    <w:rsid w:val="00983DB9"/>
    <w:rsid w:val="009842E9"/>
    <w:rsid w:val="0098474E"/>
    <w:rsid w:val="00984D6F"/>
    <w:rsid w:val="00984F0F"/>
    <w:rsid w:val="009851F0"/>
    <w:rsid w:val="00985ABF"/>
    <w:rsid w:val="00985D0D"/>
    <w:rsid w:val="00986216"/>
    <w:rsid w:val="00986830"/>
    <w:rsid w:val="00986977"/>
    <w:rsid w:val="009869F3"/>
    <w:rsid w:val="00986BA2"/>
    <w:rsid w:val="00986D90"/>
    <w:rsid w:val="00987601"/>
    <w:rsid w:val="0098760A"/>
    <w:rsid w:val="009877E7"/>
    <w:rsid w:val="0098783D"/>
    <w:rsid w:val="00987C5D"/>
    <w:rsid w:val="009900D2"/>
    <w:rsid w:val="009903DD"/>
    <w:rsid w:val="009904E5"/>
    <w:rsid w:val="00990692"/>
    <w:rsid w:val="00990737"/>
    <w:rsid w:val="009908F6"/>
    <w:rsid w:val="009909AD"/>
    <w:rsid w:val="00990C18"/>
    <w:rsid w:val="00990E4D"/>
    <w:rsid w:val="00990FE2"/>
    <w:rsid w:val="00991062"/>
    <w:rsid w:val="009914D2"/>
    <w:rsid w:val="00991685"/>
    <w:rsid w:val="00991D2A"/>
    <w:rsid w:val="00991D91"/>
    <w:rsid w:val="0099251D"/>
    <w:rsid w:val="0099252C"/>
    <w:rsid w:val="009927FA"/>
    <w:rsid w:val="0099287F"/>
    <w:rsid w:val="00992B25"/>
    <w:rsid w:val="00992BBD"/>
    <w:rsid w:val="00992CB2"/>
    <w:rsid w:val="00992E8F"/>
    <w:rsid w:val="00992EC1"/>
    <w:rsid w:val="0099366B"/>
    <w:rsid w:val="00993AA7"/>
    <w:rsid w:val="00993C34"/>
    <w:rsid w:val="00993DB9"/>
    <w:rsid w:val="00993F41"/>
    <w:rsid w:val="00994043"/>
    <w:rsid w:val="00994526"/>
    <w:rsid w:val="00994578"/>
    <w:rsid w:val="00994855"/>
    <w:rsid w:val="00994BFE"/>
    <w:rsid w:val="00995101"/>
    <w:rsid w:val="00995211"/>
    <w:rsid w:val="009958D7"/>
    <w:rsid w:val="009958DA"/>
    <w:rsid w:val="0099599F"/>
    <w:rsid w:val="00995C1F"/>
    <w:rsid w:val="00995DC1"/>
    <w:rsid w:val="00995DFA"/>
    <w:rsid w:val="00995ECC"/>
    <w:rsid w:val="00996070"/>
    <w:rsid w:val="00996193"/>
    <w:rsid w:val="009961CF"/>
    <w:rsid w:val="0099637B"/>
    <w:rsid w:val="00996611"/>
    <w:rsid w:val="00996671"/>
    <w:rsid w:val="009967F2"/>
    <w:rsid w:val="00996C86"/>
    <w:rsid w:val="00996CF1"/>
    <w:rsid w:val="00996D0E"/>
    <w:rsid w:val="0099715D"/>
    <w:rsid w:val="00997296"/>
    <w:rsid w:val="009974C8"/>
    <w:rsid w:val="00997790"/>
    <w:rsid w:val="00997B91"/>
    <w:rsid w:val="00997C4C"/>
    <w:rsid w:val="009A0630"/>
    <w:rsid w:val="009A0A5C"/>
    <w:rsid w:val="009A0CCC"/>
    <w:rsid w:val="009A1138"/>
    <w:rsid w:val="009A1AC1"/>
    <w:rsid w:val="009A1C22"/>
    <w:rsid w:val="009A1E4B"/>
    <w:rsid w:val="009A1E7D"/>
    <w:rsid w:val="009A1E8C"/>
    <w:rsid w:val="009A2169"/>
    <w:rsid w:val="009A2A81"/>
    <w:rsid w:val="009A3091"/>
    <w:rsid w:val="009A3179"/>
    <w:rsid w:val="009A31FD"/>
    <w:rsid w:val="009A3304"/>
    <w:rsid w:val="009A3578"/>
    <w:rsid w:val="009A36C5"/>
    <w:rsid w:val="009A371A"/>
    <w:rsid w:val="009A3C9A"/>
    <w:rsid w:val="009A4059"/>
    <w:rsid w:val="009A40AA"/>
    <w:rsid w:val="009A45FB"/>
    <w:rsid w:val="009A4647"/>
    <w:rsid w:val="009A48B2"/>
    <w:rsid w:val="009A4ACC"/>
    <w:rsid w:val="009A4F96"/>
    <w:rsid w:val="009A504E"/>
    <w:rsid w:val="009A5AD6"/>
    <w:rsid w:val="009A5AF5"/>
    <w:rsid w:val="009A6458"/>
    <w:rsid w:val="009A66D0"/>
    <w:rsid w:val="009A6B33"/>
    <w:rsid w:val="009A6BE6"/>
    <w:rsid w:val="009A6D14"/>
    <w:rsid w:val="009A6DA5"/>
    <w:rsid w:val="009A6E73"/>
    <w:rsid w:val="009A700B"/>
    <w:rsid w:val="009A7485"/>
    <w:rsid w:val="009A78D6"/>
    <w:rsid w:val="009A7EB6"/>
    <w:rsid w:val="009A7ECC"/>
    <w:rsid w:val="009B01FC"/>
    <w:rsid w:val="009B042A"/>
    <w:rsid w:val="009B074D"/>
    <w:rsid w:val="009B07F3"/>
    <w:rsid w:val="009B09F1"/>
    <w:rsid w:val="009B0E95"/>
    <w:rsid w:val="009B0FBA"/>
    <w:rsid w:val="009B1BFE"/>
    <w:rsid w:val="009B20C0"/>
    <w:rsid w:val="009B2397"/>
    <w:rsid w:val="009B2498"/>
    <w:rsid w:val="009B2963"/>
    <w:rsid w:val="009B2BE6"/>
    <w:rsid w:val="009B2CE2"/>
    <w:rsid w:val="009B2FFA"/>
    <w:rsid w:val="009B3555"/>
    <w:rsid w:val="009B3603"/>
    <w:rsid w:val="009B369C"/>
    <w:rsid w:val="009B37F6"/>
    <w:rsid w:val="009B3FEE"/>
    <w:rsid w:val="009B427F"/>
    <w:rsid w:val="009B42E8"/>
    <w:rsid w:val="009B42F2"/>
    <w:rsid w:val="009B441E"/>
    <w:rsid w:val="009B44AE"/>
    <w:rsid w:val="009B46E3"/>
    <w:rsid w:val="009B4896"/>
    <w:rsid w:val="009B4B3D"/>
    <w:rsid w:val="009B4B75"/>
    <w:rsid w:val="009B54A6"/>
    <w:rsid w:val="009B55DF"/>
    <w:rsid w:val="009B591E"/>
    <w:rsid w:val="009B5A73"/>
    <w:rsid w:val="009B5B6E"/>
    <w:rsid w:val="009B5D98"/>
    <w:rsid w:val="009B60B9"/>
    <w:rsid w:val="009B616A"/>
    <w:rsid w:val="009B61BF"/>
    <w:rsid w:val="009B63D1"/>
    <w:rsid w:val="009B6C8B"/>
    <w:rsid w:val="009B6DBD"/>
    <w:rsid w:val="009B6E89"/>
    <w:rsid w:val="009B72E4"/>
    <w:rsid w:val="009B7367"/>
    <w:rsid w:val="009C0082"/>
    <w:rsid w:val="009C0535"/>
    <w:rsid w:val="009C06A4"/>
    <w:rsid w:val="009C0B37"/>
    <w:rsid w:val="009C0B58"/>
    <w:rsid w:val="009C0D80"/>
    <w:rsid w:val="009C0E53"/>
    <w:rsid w:val="009C118F"/>
    <w:rsid w:val="009C1247"/>
    <w:rsid w:val="009C1406"/>
    <w:rsid w:val="009C2338"/>
    <w:rsid w:val="009C28B2"/>
    <w:rsid w:val="009C2E1A"/>
    <w:rsid w:val="009C2EA5"/>
    <w:rsid w:val="009C2F0D"/>
    <w:rsid w:val="009C304F"/>
    <w:rsid w:val="009C3500"/>
    <w:rsid w:val="009C3E0D"/>
    <w:rsid w:val="009C4D72"/>
    <w:rsid w:val="009C517E"/>
    <w:rsid w:val="009C519C"/>
    <w:rsid w:val="009C5A7F"/>
    <w:rsid w:val="009C5B48"/>
    <w:rsid w:val="009C5C46"/>
    <w:rsid w:val="009C6170"/>
    <w:rsid w:val="009C62B7"/>
    <w:rsid w:val="009C64F6"/>
    <w:rsid w:val="009C6855"/>
    <w:rsid w:val="009C6A09"/>
    <w:rsid w:val="009C6B2F"/>
    <w:rsid w:val="009C6E57"/>
    <w:rsid w:val="009C70E2"/>
    <w:rsid w:val="009C7365"/>
    <w:rsid w:val="009C7887"/>
    <w:rsid w:val="009C7989"/>
    <w:rsid w:val="009D0093"/>
    <w:rsid w:val="009D0929"/>
    <w:rsid w:val="009D0A5D"/>
    <w:rsid w:val="009D0C2F"/>
    <w:rsid w:val="009D0E8E"/>
    <w:rsid w:val="009D0FB2"/>
    <w:rsid w:val="009D0FBB"/>
    <w:rsid w:val="009D0FE1"/>
    <w:rsid w:val="009D1219"/>
    <w:rsid w:val="009D1A31"/>
    <w:rsid w:val="009D1C5D"/>
    <w:rsid w:val="009D238D"/>
    <w:rsid w:val="009D25C4"/>
    <w:rsid w:val="009D27F8"/>
    <w:rsid w:val="009D2C98"/>
    <w:rsid w:val="009D36E0"/>
    <w:rsid w:val="009D39A0"/>
    <w:rsid w:val="009D3CED"/>
    <w:rsid w:val="009D3DBA"/>
    <w:rsid w:val="009D3F76"/>
    <w:rsid w:val="009D417E"/>
    <w:rsid w:val="009D41FE"/>
    <w:rsid w:val="009D45D5"/>
    <w:rsid w:val="009D45D7"/>
    <w:rsid w:val="009D49B0"/>
    <w:rsid w:val="009D49B1"/>
    <w:rsid w:val="009D4C88"/>
    <w:rsid w:val="009D4D1E"/>
    <w:rsid w:val="009D5172"/>
    <w:rsid w:val="009D522C"/>
    <w:rsid w:val="009D5469"/>
    <w:rsid w:val="009D57BA"/>
    <w:rsid w:val="009D5858"/>
    <w:rsid w:val="009D5DC1"/>
    <w:rsid w:val="009D62C7"/>
    <w:rsid w:val="009D688B"/>
    <w:rsid w:val="009D696B"/>
    <w:rsid w:val="009D6EDF"/>
    <w:rsid w:val="009D6F9B"/>
    <w:rsid w:val="009D717B"/>
    <w:rsid w:val="009D7BDB"/>
    <w:rsid w:val="009D7D2A"/>
    <w:rsid w:val="009E003C"/>
    <w:rsid w:val="009E0708"/>
    <w:rsid w:val="009E07E8"/>
    <w:rsid w:val="009E092A"/>
    <w:rsid w:val="009E0D80"/>
    <w:rsid w:val="009E0EA2"/>
    <w:rsid w:val="009E1440"/>
    <w:rsid w:val="009E14C6"/>
    <w:rsid w:val="009E18EB"/>
    <w:rsid w:val="009E1C2E"/>
    <w:rsid w:val="009E1D57"/>
    <w:rsid w:val="009E1D8A"/>
    <w:rsid w:val="009E1E0D"/>
    <w:rsid w:val="009E1FD1"/>
    <w:rsid w:val="009E214D"/>
    <w:rsid w:val="009E221F"/>
    <w:rsid w:val="009E24AF"/>
    <w:rsid w:val="009E268A"/>
    <w:rsid w:val="009E2867"/>
    <w:rsid w:val="009E28EC"/>
    <w:rsid w:val="009E2B22"/>
    <w:rsid w:val="009E2CF8"/>
    <w:rsid w:val="009E315A"/>
    <w:rsid w:val="009E3818"/>
    <w:rsid w:val="009E3A55"/>
    <w:rsid w:val="009E3CA6"/>
    <w:rsid w:val="009E3DDC"/>
    <w:rsid w:val="009E3F80"/>
    <w:rsid w:val="009E3FC7"/>
    <w:rsid w:val="009E3FD8"/>
    <w:rsid w:val="009E457E"/>
    <w:rsid w:val="009E45AA"/>
    <w:rsid w:val="009E477D"/>
    <w:rsid w:val="009E4841"/>
    <w:rsid w:val="009E4C72"/>
    <w:rsid w:val="009E4D8D"/>
    <w:rsid w:val="009E5205"/>
    <w:rsid w:val="009E543A"/>
    <w:rsid w:val="009E547E"/>
    <w:rsid w:val="009E5890"/>
    <w:rsid w:val="009E5B6A"/>
    <w:rsid w:val="009E5EC3"/>
    <w:rsid w:val="009E5F9A"/>
    <w:rsid w:val="009E612C"/>
    <w:rsid w:val="009E6745"/>
    <w:rsid w:val="009E6B0F"/>
    <w:rsid w:val="009E72F4"/>
    <w:rsid w:val="009E7630"/>
    <w:rsid w:val="009E7640"/>
    <w:rsid w:val="009E78E7"/>
    <w:rsid w:val="009E7983"/>
    <w:rsid w:val="009E7B6A"/>
    <w:rsid w:val="009F009E"/>
    <w:rsid w:val="009F0779"/>
    <w:rsid w:val="009F08CC"/>
    <w:rsid w:val="009F0D3D"/>
    <w:rsid w:val="009F0F18"/>
    <w:rsid w:val="009F0FBE"/>
    <w:rsid w:val="009F1163"/>
    <w:rsid w:val="009F12CA"/>
    <w:rsid w:val="009F14AC"/>
    <w:rsid w:val="009F179B"/>
    <w:rsid w:val="009F17D2"/>
    <w:rsid w:val="009F187B"/>
    <w:rsid w:val="009F1BD2"/>
    <w:rsid w:val="009F1C94"/>
    <w:rsid w:val="009F1E56"/>
    <w:rsid w:val="009F2131"/>
    <w:rsid w:val="009F25D2"/>
    <w:rsid w:val="009F2B7E"/>
    <w:rsid w:val="009F2BFF"/>
    <w:rsid w:val="009F2E31"/>
    <w:rsid w:val="009F314D"/>
    <w:rsid w:val="009F35FC"/>
    <w:rsid w:val="009F3BA6"/>
    <w:rsid w:val="009F3E72"/>
    <w:rsid w:val="009F3F1F"/>
    <w:rsid w:val="009F4348"/>
    <w:rsid w:val="009F4845"/>
    <w:rsid w:val="009F4A45"/>
    <w:rsid w:val="009F4C56"/>
    <w:rsid w:val="009F4FB3"/>
    <w:rsid w:val="009F5082"/>
    <w:rsid w:val="009F5124"/>
    <w:rsid w:val="009F52D2"/>
    <w:rsid w:val="009F547B"/>
    <w:rsid w:val="009F5559"/>
    <w:rsid w:val="009F5690"/>
    <w:rsid w:val="009F5D7D"/>
    <w:rsid w:val="009F6140"/>
    <w:rsid w:val="009F645C"/>
    <w:rsid w:val="009F646D"/>
    <w:rsid w:val="009F65A9"/>
    <w:rsid w:val="009F6F91"/>
    <w:rsid w:val="009F706C"/>
    <w:rsid w:val="009F71D1"/>
    <w:rsid w:val="009F71DD"/>
    <w:rsid w:val="009F7DBF"/>
    <w:rsid w:val="009F7F72"/>
    <w:rsid w:val="00A0047D"/>
    <w:rsid w:val="00A00BB6"/>
    <w:rsid w:val="00A00DD6"/>
    <w:rsid w:val="00A00E5A"/>
    <w:rsid w:val="00A014CC"/>
    <w:rsid w:val="00A017BA"/>
    <w:rsid w:val="00A01984"/>
    <w:rsid w:val="00A01C87"/>
    <w:rsid w:val="00A01E9A"/>
    <w:rsid w:val="00A01EFD"/>
    <w:rsid w:val="00A02142"/>
    <w:rsid w:val="00A026C5"/>
    <w:rsid w:val="00A026DF"/>
    <w:rsid w:val="00A029D9"/>
    <w:rsid w:val="00A02D46"/>
    <w:rsid w:val="00A02D8D"/>
    <w:rsid w:val="00A03544"/>
    <w:rsid w:val="00A03A5F"/>
    <w:rsid w:val="00A03F08"/>
    <w:rsid w:val="00A0407F"/>
    <w:rsid w:val="00A04100"/>
    <w:rsid w:val="00A046AB"/>
    <w:rsid w:val="00A04948"/>
    <w:rsid w:val="00A04C54"/>
    <w:rsid w:val="00A04DCB"/>
    <w:rsid w:val="00A04E23"/>
    <w:rsid w:val="00A04FE7"/>
    <w:rsid w:val="00A05618"/>
    <w:rsid w:val="00A05A31"/>
    <w:rsid w:val="00A05C55"/>
    <w:rsid w:val="00A05C8E"/>
    <w:rsid w:val="00A05FF0"/>
    <w:rsid w:val="00A06043"/>
    <w:rsid w:val="00A06247"/>
    <w:rsid w:val="00A06354"/>
    <w:rsid w:val="00A066AD"/>
    <w:rsid w:val="00A066DE"/>
    <w:rsid w:val="00A06CA8"/>
    <w:rsid w:val="00A06ED5"/>
    <w:rsid w:val="00A075C8"/>
    <w:rsid w:val="00A075F9"/>
    <w:rsid w:val="00A10444"/>
    <w:rsid w:val="00A10701"/>
    <w:rsid w:val="00A10AF4"/>
    <w:rsid w:val="00A10B65"/>
    <w:rsid w:val="00A11187"/>
    <w:rsid w:val="00A112D6"/>
    <w:rsid w:val="00A113C1"/>
    <w:rsid w:val="00A11631"/>
    <w:rsid w:val="00A11793"/>
    <w:rsid w:val="00A11825"/>
    <w:rsid w:val="00A11D5F"/>
    <w:rsid w:val="00A11D9B"/>
    <w:rsid w:val="00A11E4E"/>
    <w:rsid w:val="00A12237"/>
    <w:rsid w:val="00A132D0"/>
    <w:rsid w:val="00A137FB"/>
    <w:rsid w:val="00A13815"/>
    <w:rsid w:val="00A13822"/>
    <w:rsid w:val="00A13853"/>
    <w:rsid w:val="00A13D1C"/>
    <w:rsid w:val="00A14066"/>
    <w:rsid w:val="00A141E5"/>
    <w:rsid w:val="00A1457C"/>
    <w:rsid w:val="00A145A2"/>
    <w:rsid w:val="00A14691"/>
    <w:rsid w:val="00A146FA"/>
    <w:rsid w:val="00A14734"/>
    <w:rsid w:val="00A14892"/>
    <w:rsid w:val="00A14898"/>
    <w:rsid w:val="00A15581"/>
    <w:rsid w:val="00A15594"/>
    <w:rsid w:val="00A15618"/>
    <w:rsid w:val="00A1582E"/>
    <w:rsid w:val="00A1593F"/>
    <w:rsid w:val="00A15B57"/>
    <w:rsid w:val="00A15B92"/>
    <w:rsid w:val="00A15FD1"/>
    <w:rsid w:val="00A163AA"/>
    <w:rsid w:val="00A164A2"/>
    <w:rsid w:val="00A16A61"/>
    <w:rsid w:val="00A16C70"/>
    <w:rsid w:val="00A17694"/>
    <w:rsid w:val="00A176C5"/>
    <w:rsid w:val="00A17DBC"/>
    <w:rsid w:val="00A17E95"/>
    <w:rsid w:val="00A17FD7"/>
    <w:rsid w:val="00A2029B"/>
    <w:rsid w:val="00A20499"/>
    <w:rsid w:val="00A207AC"/>
    <w:rsid w:val="00A2093A"/>
    <w:rsid w:val="00A20A7A"/>
    <w:rsid w:val="00A20B43"/>
    <w:rsid w:val="00A20F44"/>
    <w:rsid w:val="00A21A47"/>
    <w:rsid w:val="00A21F92"/>
    <w:rsid w:val="00A22273"/>
    <w:rsid w:val="00A2233A"/>
    <w:rsid w:val="00A22C9A"/>
    <w:rsid w:val="00A22E6F"/>
    <w:rsid w:val="00A22FA7"/>
    <w:rsid w:val="00A22FBD"/>
    <w:rsid w:val="00A2318A"/>
    <w:rsid w:val="00A235D9"/>
    <w:rsid w:val="00A23851"/>
    <w:rsid w:val="00A238CC"/>
    <w:rsid w:val="00A23997"/>
    <w:rsid w:val="00A24210"/>
    <w:rsid w:val="00A24518"/>
    <w:rsid w:val="00A2481E"/>
    <w:rsid w:val="00A2487C"/>
    <w:rsid w:val="00A249CC"/>
    <w:rsid w:val="00A24E84"/>
    <w:rsid w:val="00A25100"/>
    <w:rsid w:val="00A25126"/>
    <w:rsid w:val="00A2536F"/>
    <w:rsid w:val="00A25488"/>
    <w:rsid w:val="00A2553A"/>
    <w:rsid w:val="00A25823"/>
    <w:rsid w:val="00A258D3"/>
    <w:rsid w:val="00A25954"/>
    <w:rsid w:val="00A25AAF"/>
    <w:rsid w:val="00A25CC1"/>
    <w:rsid w:val="00A25F98"/>
    <w:rsid w:val="00A261B1"/>
    <w:rsid w:val="00A263F4"/>
    <w:rsid w:val="00A26AF6"/>
    <w:rsid w:val="00A27027"/>
    <w:rsid w:val="00A270B8"/>
    <w:rsid w:val="00A27766"/>
    <w:rsid w:val="00A27A18"/>
    <w:rsid w:val="00A27AF5"/>
    <w:rsid w:val="00A30415"/>
    <w:rsid w:val="00A307B8"/>
    <w:rsid w:val="00A30AF9"/>
    <w:rsid w:val="00A30DB3"/>
    <w:rsid w:val="00A30F92"/>
    <w:rsid w:val="00A31507"/>
    <w:rsid w:val="00A31CF5"/>
    <w:rsid w:val="00A31DE4"/>
    <w:rsid w:val="00A3207B"/>
    <w:rsid w:val="00A325D8"/>
    <w:rsid w:val="00A32658"/>
    <w:rsid w:val="00A326D8"/>
    <w:rsid w:val="00A32E4F"/>
    <w:rsid w:val="00A32EDD"/>
    <w:rsid w:val="00A32FBA"/>
    <w:rsid w:val="00A33216"/>
    <w:rsid w:val="00A33388"/>
    <w:rsid w:val="00A333A2"/>
    <w:rsid w:val="00A3361E"/>
    <w:rsid w:val="00A33863"/>
    <w:rsid w:val="00A33A3E"/>
    <w:rsid w:val="00A3405D"/>
    <w:rsid w:val="00A344A6"/>
    <w:rsid w:val="00A34A6B"/>
    <w:rsid w:val="00A34B8D"/>
    <w:rsid w:val="00A34C54"/>
    <w:rsid w:val="00A34DE3"/>
    <w:rsid w:val="00A350F3"/>
    <w:rsid w:val="00A352A4"/>
    <w:rsid w:val="00A3583E"/>
    <w:rsid w:val="00A358B9"/>
    <w:rsid w:val="00A359D8"/>
    <w:rsid w:val="00A35D50"/>
    <w:rsid w:val="00A35FEA"/>
    <w:rsid w:val="00A361AF"/>
    <w:rsid w:val="00A3678D"/>
    <w:rsid w:val="00A36917"/>
    <w:rsid w:val="00A3706F"/>
    <w:rsid w:val="00A37387"/>
    <w:rsid w:val="00A377A1"/>
    <w:rsid w:val="00A379E0"/>
    <w:rsid w:val="00A37BD6"/>
    <w:rsid w:val="00A37D14"/>
    <w:rsid w:val="00A37E2E"/>
    <w:rsid w:val="00A403C4"/>
    <w:rsid w:val="00A403E9"/>
    <w:rsid w:val="00A405DA"/>
    <w:rsid w:val="00A406DC"/>
    <w:rsid w:val="00A40F0F"/>
    <w:rsid w:val="00A40F21"/>
    <w:rsid w:val="00A40F28"/>
    <w:rsid w:val="00A41019"/>
    <w:rsid w:val="00A41119"/>
    <w:rsid w:val="00A41659"/>
    <w:rsid w:val="00A417B2"/>
    <w:rsid w:val="00A41C8A"/>
    <w:rsid w:val="00A41E14"/>
    <w:rsid w:val="00A41E15"/>
    <w:rsid w:val="00A41E2D"/>
    <w:rsid w:val="00A41F2E"/>
    <w:rsid w:val="00A41FF6"/>
    <w:rsid w:val="00A42039"/>
    <w:rsid w:val="00A424AF"/>
    <w:rsid w:val="00A42518"/>
    <w:rsid w:val="00A42994"/>
    <w:rsid w:val="00A429CE"/>
    <w:rsid w:val="00A42BE8"/>
    <w:rsid w:val="00A42CE6"/>
    <w:rsid w:val="00A42F2A"/>
    <w:rsid w:val="00A42F38"/>
    <w:rsid w:val="00A4347E"/>
    <w:rsid w:val="00A43693"/>
    <w:rsid w:val="00A4381E"/>
    <w:rsid w:val="00A43CB2"/>
    <w:rsid w:val="00A43E32"/>
    <w:rsid w:val="00A43E71"/>
    <w:rsid w:val="00A44273"/>
    <w:rsid w:val="00A44366"/>
    <w:rsid w:val="00A44498"/>
    <w:rsid w:val="00A4485C"/>
    <w:rsid w:val="00A451CB"/>
    <w:rsid w:val="00A4630E"/>
    <w:rsid w:val="00A468E0"/>
    <w:rsid w:val="00A469FC"/>
    <w:rsid w:val="00A47457"/>
    <w:rsid w:val="00A47A5C"/>
    <w:rsid w:val="00A47DA6"/>
    <w:rsid w:val="00A47DE3"/>
    <w:rsid w:val="00A47EEA"/>
    <w:rsid w:val="00A500E5"/>
    <w:rsid w:val="00A5012B"/>
    <w:rsid w:val="00A50376"/>
    <w:rsid w:val="00A50978"/>
    <w:rsid w:val="00A50A62"/>
    <w:rsid w:val="00A51870"/>
    <w:rsid w:val="00A51F7E"/>
    <w:rsid w:val="00A52184"/>
    <w:rsid w:val="00A521F6"/>
    <w:rsid w:val="00A5227A"/>
    <w:rsid w:val="00A52F76"/>
    <w:rsid w:val="00A53573"/>
    <w:rsid w:val="00A5379E"/>
    <w:rsid w:val="00A537A2"/>
    <w:rsid w:val="00A53C07"/>
    <w:rsid w:val="00A53D2C"/>
    <w:rsid w:val="00A53DEB"/>
    <w:rsid w:val="00A53E5C"/>
    <w:rsid w:val="00A5447E"/>
    <w:rsid w:val="00A547D5"/>
    <w:rsid w:val="00A54865"/>
    <w:rsid w:val="00A551BE"/>
    <w:rsid w:val="00A55248"/>
    <w:rsid w:val="00A5531C"/>
    <w:rsid w:val="00A5594B"/>
    <w:rsid w:val="00A55A52"/>
    <w:rsid w:val="00A55CE9"/>
    <w:rsid w:val="00A55D0D"/>
    <w:rsid w:val="00A55DE0"/>
    <w:rsid w:val="00A56219"/>
    <w:rsid w:val="00A565E0"/>
    <w:rsid w:val="00A5669E"/>
    <w:rsid w:val="00A5693B"/>
    <w:rsid w:val="00A56BFF"/>
    <w:rsid w:val="00A56C9D"/>
    <w:rsid w:val="00A56E08"/>
    <w:rsid w:val="00A56E6A"/>
    <w:rsid w:val="00A5768B"/>
    <w:rsid w:val="00A5779C"/>
    <w:rsid w:val="00A578FB"/>
    <w:rsid w:val="00A57A52"/>
    <w:rsid w:val="00A57AD8"/>
    <w:rsid w:val="00A57C3B"/>
    <w:rsid w:val="00A57CFF"/>
    <w:rsid w:val="00A57D42"/>
    <w:rsid w:val="00A601CF"/>
    <w:rsid w:val="00A60794"/>
    <w:rsid w:val="00A60BBB"/>
    <w:rsid w:val="00A60BD5"/>
    <w:rsid w:val="00A60BF1"/>
    <w:rsid w:val="00A60C83"/>
    <w:rsid w:val="00A61378"/>
    <w:rsid w:val="00A616A6"/>
    <w:rsid w:val="00A618EC"/>
    <w:rsid w:val="00A61A06"/>
    <w:rsid w:val="00A62151"/>
    <w:rsid w:val="00A62372"/>
    <w:rsid w:val="00A625E1"/>
    <w:rsid w:val="00A62B93"/>
    <w:rsid w:val="00A62ED3"/>
    <w:rsid w:val="00A63045"/>
    <w:rsid w:val="00A6379A"/>
    <w:rsid w:val="00A638A3"/>
    <w:rsid w:val="00A639AB"/>
    <w:rsid w:val="00A63A99"/>
    <w:rsid w:val="00A64053"/>
    <w:rsid w:val="00A642F4"/>
    <w:rsid w:val="00A64324"/>
    <w:rsid w:val="00A6433C"/>
    <w:rsid w:val="00A645FD"/>
    <w:rsid w:val="00A648A0"/>
    <w:rsid w:val="00A64A09"/>
    <w:rsid w:val="00A64D98"/>
    <w:rsid w:val="00A6518D"/>
    <w:rsid w:val="00A6539A"/>
    <w:rsid w:val="00A653AB"/>
    <w:rsid w:val="00A6573B"/>
    <w:rsid w:val="00A6591C"/>
    <w:rsid w:val="00A65F1E"/>
    <w:rsid w:val="00A6671C"/>
    <w:rsid w:val="00A66B12"/>
    <w:rsid w:val="00A66B5B"/>
    <w:rsid w:val="00A66B7C"/>
    <w:rsid w:val="00A671B6"/>
    <w:rsid w:val="00A67328"/>
    <w:rsid w:val="00A6740A"/>
    <w:rsid w:val="00A67491"/>
    <w:rsid w:val="00A67526"/>
    <w:rsid w:val="00A6766B"/>
    <w:rsid w:val="00A67764"/>
    <w:rsid w:val="00A67923"/>
    <w:rsid w:val="00A70245"/>
    <w:rsid w:val="00A702BB"/>
    <w:rsid w:val="00A7056B"/>
    <w:rsid w:val="00A705C0"/>
    <w:rsid w:val="00A70BB6"/>
    <w:rsid w:val="00A70C0D"/>
    <w:rsid w:val="00A70F01"/>
    <w:rsid w:val="00A70F0A"/>
    <w:rsid w:val="00A713DF"/>
    <w:rsid w:val="00A71546"/>
    <w:rsid w:val="00A715ED"/>
    <w:rsid w:val="00A7196C"/>
    <w:rsid w:val="00A71B7D"/>
    <w:rsid w:val="00A71BAD"/>
    <w:rsid w:val="00A71BB9"/>
    <w:rsid w:val="00A722B2"/>
    <w:rsid w:val="00A72415"/>
    <w:rsid w:val="00A72A51"/>
    <w:rsid w:val="00A731A9"/>
    <w:rsid w:val="00A73619"/>
    <w:rsid w:val="00A739AD"/>
    <w:rsid w:val="00A73A9A"/>
    <w:rsid w:val="00A73AAA"/>
    <w:rsid w:val="00A73DC3"/>
    <w:rsid w:val="00A74899"/>
    <w:rsid w:val="00A74990"/>
    <w:rsid w:val="00A74A29"/>
    <w:rsid w:val="00A74A2F"/>
    <w:rsid w:val="00A74F27"/>
    <w:rsid w:val="00A751FC"/>
    <w:rsid w:val="00A752AF"/>
    <w:rsid w:val="00A7531C"/>
    <w:rsid w:val="00A7533D"/>
    <w:rsid w:val="00A7566C"/>
    <w:rsid w:val="00A756AD"/>
    <w:rsid w:val="00A75C60"/>
    <w:rsid w:val="00A75CAC"/>
    <w:rsid w:val="00A7655A"/>
    <w:rsid w:val="00A768BB"/>
    <w:rsid w:val="00A76A2C"/>
    <w:rsid w:val="00A76C23"/>
    <w:rsid w:val="00A77677"/>
    <w:rsid w:val="00A77935"/>
    <w:rsid w:val="00A77AC8"/>
    <w:rsid w:val="00A77D5A"/>
    <w:rsid w:val="00A77F3C"/>
    <w:rsid w:val="00A80677"/>
    <w:rsid w:val="00A806B2"/>
    <w:rsid w:val="00A80847"/>
    <w:rsid w:val="00A8094E"/>
    <w:rsid w:val="00A80964"/>
    <w:rsid w:val="00A80E8E"/>
    <w:rsid w:val="00A810CD"/>
    <w:rsid w:val="00A81328"/>
    <w:rsid w:val="00A81406"/>
    <w:rsid w:val="00A8152E"/>
    <w:rsid w:val="00A81589"/>
    <w:rsid w:val="00A81DC3"/>
    <w:rsid w:val="00A81FD3"/>
    <w:rsid w:val="00A822D6"/>
    <w:rsid w:val="00A82D3B"/>
    <w:rsid w:val="00A82E48"/>
    <w:rsid w:val="00A83111"/>
    <w:rsid w:val="00A83134"/>
    <w:rsid w:val="00A8313D"/>
    <w:rsid w:val="00A8384A"/>
    <w:rsid w:val="00A84047"/>
    <w:rsid w:val="00A84518"/>
    <w:rsid w:val="00A84A45"/>
    <w:rsid w:val="00A85091"/>
    <w:rsid w:val="00A851DD"/>
    <w:rsid w:val="00A855AA"/>
    <w:rsid w:val="00A85827"/>
    <w:rsid w:val="00A85982"/>
    <w:rsid w:val="00A859D8"/>
    <w:rsid w:val="00A85A16"/>
    <w:rsid w:val="00A85A58"/>
    <w:rsid w:val="00A85FC4"/>
    <w:rsid w:val="00A86773"/>
    <w:rsid w:val="00A86DD0"/>
    <w:rsid w:val="00A86F3E"/>
    <w:rsid w:val="00A87132"/>
    <w:rsid w:val="00A871BE"/>
    <w:rsid w:val="00A8720E"/>
    <w:rsid w:val="00A87C1C"/>
    <w:rsid w:val="00A87C95"/>
    <w:rsid w:val="00A900F3"/>
    <w:rsid w:val="00A90123"/>
    <w:rsid w:val="00A906ED"/>
    <w:rsid w:val="00A907C3"/>
    <w:rsid w:val="00A90D1E"/>
    <w:rsid w:val="00A91113"/>
    <w:rsid w:val="00A91481"/>
    <w:rsid w:val="00A91554"/>
    <w:rsid w:val="00A922DB"/>
    <w:rsid w:val="00A9256C"/>
    <w:rsid w:val="00A9281D"/>
    <w:rsid w:val="00A92C37"/>
    <w:rsid w:val="00A92FC0"/>
    <w:rsid w:val="00A930C0"/>
    <w:rsid w:val="00A93401"/>
    <w:rsid w:val="00A934C1"/>
    <w:rsid w:val="00A93842"/>
    <w:rsid w:val="00A93B2D"/>
    <w:rsid w:val="00A93FA9"/>
    <w:rsid w:val="00A945DD"/>
    <w:rsid w:val="00A94786"/>
    <w:rsid w:val="00A947F8"/>
    <w:rsid w:val="00A94AE1"/>
    <w:rsid w:val="00A94AF2"/>
    <w:rsid w:val="00A95517"/>
    <w:rsid w:val="00A95842"/>
    <w:rsid w:val="00A95AE1"/>
    <w:rsid w:val="00A95C96"/>
    <w:rsid w:val="00A95D78"/>
    <w:rsid w:val="00A96300"/>
    <w:rsid w:val="00A96B7D"/>
    <w:rsid w:val="00A972FF"/>
    <w:rsid w:val="00A975A1"/>
    <w:rsid w:val="00A97949"/>
    <w:rsid w:val="00A97D26"/>
    <w:rsid w:val="00A97DD2"/>
    <w:rsid w:val="00A97FC6"/>
    <w:rsid w:val="00AA01D5"/>
    <w:rsid w:val="00AA0305"/>
    <w:rsid w:val="00AA0A99"/>
    <w:rsid w:val="00AA10B2"/>
    <w:rsid w:val="00AA16DB"/>
    <w:rsid w:val="00AA18E4"/>
    <w:rsid w:val="00AA193A"/>
    <w:rsid w:val="00AA19BE"/>
    <w:rsid w:val="00AA1AFA"/>
    <w:rsid w:val="00AA1AFD"/>
    <w:rsid w:val="00AA1E35"/>
    <w:rsid w:val="00AA22FC"/>
    <w:rsid w:val="00AA2455"/>
    <w:rsid w:val="00AA24DC"/>
    <w:rsid w:val="00AA26E7"/>
    <w:rsid w:val="00AA2CA2"/>
    <w:rsid w:val="00AA30A6"/>
    <w:rsid w:val="00AA371C"/>
    <w:rsid w:val="00AA3749"/>
    <w:rsid w:val="00AA37F4"/>
    <w:rsid w:val="00AA3AC0"/>
    <w:rsid w:val="00AA4388"/>
    <w:rsid w:val="00AA442B"/>
    <w:rsid w:val="00AA4548"/>
    <w:rsid w:val="00AA4549"/>
    <w:rsid w:val="00AA4E8D"/>
    <w:rsid w:val="00AA5031"/>
    <w:rsid w:val="00AA535D"/>
    <w:rsid w:val="00AA54DF"/>
    <w:rsid w:val="00AA556E"/>
    <w:rsid w:val="00AA5870"/>
    <w:rsid w:val="00AA5B4B"/>
    <w:rsid w:val="00AA5C0D"/>
    <w:rsid w:val="00AA5CBA"/>
    <w:rsid w:val="00AA6112"/>
    <w:rsid w:val="00AA6308"/>
    <w:rsid w:val="00AA6422"/>
    <w:rsid w:val="00AA6501"/>
    <w:rsid w:val="00AA6634"/>
    <w:rsid w:val="00AA709D"/>
    <w:rsid w:val="00AA70C8"/>
    <w:rsid w:val="00AA71D6"/>
    <w:rsid w:val="00AA7506"/>
    <w:rsid w:val="00AA754D"/>
    <w:rsid w:val="00AA7582"/>
    <w:rsid w:val="00AA7645"/>
    <w:rsid w:val="00AA776A"/>
    <w:rsid w:val="00AA7E88"/>
    <w:rsid w:val="00AA7EDC"/>
    <w:rsid w:val="00AB00EE"/>
    <w:rsid w:val="00AB01CA"/>
    <w:rsid w:val="00AB0683"/>
    <w:rsid w:val="00AB069E"/>
    <w:rsid w:val="00AB0C9E"/>
    <w:rsid w:val="00AB174E"/>
    <w:rsid w:val="00AB179B"/>
    <w:rsid w:val="00AB197C"/>
    <w:rsid w:val="00AB199E"/>
    <w:rsid w:val="00AB1AD5"/>
    <w:rsid w:val="00AB1B2A"/>
    <w:rsid w:val="00AB1D87"/>
    <w:rsid w:val="00AB1DB4"/>
    <w:rsid w:val="00AB200C"/>
    <w:rsid w:val="00AB2044"/>
    <w:rsid w:val="00AB261B"/>
    <w:rsid w:val="00AB28BE"/>
    <w:rsid w:val="00AB2BB4"/>
    <w:rsid w:val="00AB2C99"/>
    <w:rsid w:val="00AB2DA9"/>
    <w:rsid w:val="00AB3078"/>
    <w:rsid w:val="00AB33C5"/>
    <w:rsid w:val="00AB35B4"/>
    <w:rsid w:val="00AB3645"/>
    <w:rsid w:val="00AB366D"/>
    <w:rsid w:val="00AB3AA6"/>
    <w:rsid w:val="00AB3B2B"/>
    <w:rsid w:val="00AB42A3"/>
    <w:rsid w:val="00AB44BF"/>
    <w:rsid w:val="00AB44CE"/>
    <w:rsid w:val="00AB4617"/>
    <w:rsid w:val="00AB467C"/>
    <w:rsid w:val="00AB4834"/>
    <w:rsid w:val="00AB4C34"/>
    <w:rsid w:val="00AB5052"/>
    <w:rsid w:val="00AB526C"/>
    <w:rsid w:val="00AB52B7"/>
    <w:rsid w:val="00AB5560"/>
    <w:rsid w:val="00AB56E8"/>
    <w:rsid w:val="00AB5A9A"/>
    <w:rsid w:val="00AB5AC2"/>
    <w:rsid w:val="00AB5D0D"/>
    <w:rsid w:val="00AB60E7"/>
    <w:rsid w:val="00AB640F"/>
    <w:rsid w:val="00AB6470"/>
    <w:rsid w:val="00AB6637"/>
    <w:rsid w:val="00AB6658"/>
    <w:rsid w:val="00AB67BA"/>
    <w:rsid w:val="00AB72FE"/>
    <w:rsid w:val="00AB7873"/>
    <w:rsid w:val="00AB787C"/>
    <w:rsid w:val="00AB7ABE"/>
    <w:rsid w:val="00AB7AC3"/>
    <w:rsid w:val="00AB7BFF"/>
    <w:rsid w:val="00AB7EF5"/>
    <w:rsid w:val="00AB7F28"/>
    <w:rsid w:val="00AC02B2"/>
    <w:rsid w:val="00AC0A87"/>
    <w:rsid w:val="00AC0AB7"/>
    <w:rsid w:val="00AC0B16"/>
    <w:rsid w:val="00AC0BC6"/>
    <w:rsid w:val="00AC0FFA"/>
    <w:rsid w:val="00AC15B0"/>
    <w:rsid w:val="00AC16B5"/>
    <w:rsid w:val="00AC1749"/>
    <w:rsid w:val="00AC178B"/>
    <w:rsid w:val="00AC1866"/>
    <w:rsid w:val="00AC188B"/>
    <w:rsid w:val="00AC1A61"/>
    <w:rsid w:val="00AC1AC2"/>
    <w:rsid w:val="00AC1EFF"/>
    <w:rsid w:val="00AC2F1A"/>
    <w:rsid w:val="00AC3092"/>
    <w:rsid w:val="00AC34D9"/>
    <w:rsid w:val="00AC35EC"/>
    <w:rsid w:val="00AC36F9"/>
    <w:rsid w:val="00AC3747"/>
    <w:rsid w:val="00AC391A"/>
    <w:rsid w:val="00AC40A5"/>
    <w:rsid w:val="00AC42FA"/>
    <w:rsid w:val="00AC46F4"/>
    <w:rsid w:val="00AC4B19"/>
    <w:rsid w:val="00AC4B7D"/>
    <w:rsid w:val="00AC5850"/>
    <w:rsid w:val="00AC58FC"/>
    <w:rsid w:val="00AC5EB3"/>
    <w:rsid w:val="00AC6167"/>
    <w:rsid w:val="00AC65DB"/>
    <w:rsid w:val="00AC66E4"/>
    <w:rsid w:val="00AC68B7"/>
    <w:rsid w:val="00AC6D00"/>
    <w:rsid w:val="00AC7D76"/>
    <w:rsid w:val="00AC7DFC"/>
    <w:rsid w:val="00AD0610"/>
    <w:rsid w:val="00AD06A8"/>
    <w:rsid w:val="00AD07F3"/>
    <w:rsid w:val="00AD0984"/>
    <w:rsid w:val="00AD0DE2"/>
    <w:rsid w:val="00AD0EBD"/>
    <w:rsid w:val="00AD1427"/>
    <w:rsid w:val="00AD14C0"/>
    <w:rsid w:val="00AD15AC"/>
    <w:rsid w:val="00AD183D"/>
    <w:rsid w:val="00AD19EE"/>
    <w:rsid w:val="00AD207B"/>
    <w:rsid w:val="00AD2266"/>
    <w:rsid w:val="00AD2424"/>
    <w:rsid w:val="00AD2888"/>
    <w:rsid w:val="00AD2BAA"/>
    <w:rsid w:val="00AD2E87"/>
    <w:rsid w:val="00AD3008"/>
    <w:rsid w:val="00AD308D"/>
    <w:rsid w:val="00AD33DC"/>
    <w:rsid w:val="00AD368B"/>
    <w:rsid w:val="00AD378B"/>
    <w:rsid w:val="00AD3796"/>
    <w:rsid w:val="00AD383E"/>
    <w:rsid w:val="00AD38AF"/>
    <w:rsid w:val="00AD39EF"/>
    <w:rsid w:val="00AD3FDE"/>
    <w:rsid w:val="00AD4570"/>
    <w:rsid w:val="00AD45E7"/>
    <w:rsid w:val="00AD478C"/>
    <w:rsid w:val="00AD48BE"/>
    <w:rsid w:val="00AD49E9"/>
    <w:rsid w:val="00AD4CA6"/>
    <w:rsid w:val="00AD52E6"/>
    <w:rsid w:val="00AD5505"/>
    <w:rsid w:val="00AD566C"/>
    <w:rsid w:val="00AD56F4"/>
    <w:rsid w:val="00AD5E42"/>
    <w:rsid w:val="00AD5E69"/>
    <w:rsid w:val="00AD696A"/>
    <w:rsid w:val="00AD6AFE"/>
    <w:rsid w:val="00AD6E1B"/>
    <w:rsid w:val="00AD6F71"/>
    <w:rsid w:val="00AD7245"/>
    <w:rsid w:val="00AD7363"/>
    <w:rsid w:val="00AD73DA"/>
    <w:rsid w:val="00AD741A"/>
    <w:rsid w:val="00AD76E8"/>
    <w:rsid w:val="00AD79F3"/>
    <w:rsid w:val="00AD7AA1"/>
    <w:rsid w:val="00AD7B5F"/>
    <w:rsid w:val="00AD7C3D"/>
    <w:rsid w:val="00AD7E14"/>
    <w:rsid w:val="00AE00D6"/>
    <w:rsid w:val="00AE0C5D"/>
    <w:rsid w:val="00AE16EC"/>
    <w:rsid w:val="00AE1959"/>
    <w:rsid w:val="00AE1AA3"/>
    <w:rsid w:val="00AE1B42"/>
    <w:rsid w:val="00AE1DEE"/>
    <w:rsid w:val="00AE1DF0"/>
    <w:rsid w:val="00AE1E5C"/>
    <w:rsid w:val="00AE2459"/>
    <w:rsid w:val="00AE285D"/>
    <w:rsid w:val="00AE3155"/>
    <w:rsid w:val="00AE4272"/>
    <w:rsid w:val="00AE42AF"/>
    <w:rsid w:val="00AE4BFE"/>
    <w:rsid w:val="00AE4EF3"/>
    <w:rsid w:val="00AE4F3E"/>
    <w:rsid w:val="00AE5007"/>
    <w:rsid w:val="00AE5161"/>
    <w:rsid w:val="00AE5434"/>
    <w:rsid w:val="00AE5630"/>
    <w:rsid w:val="00AE590C"/>
    <w:rsid w:val="00AE5E14"/>
    <w:rsid w:val="00AE605B"/>
    <w:rsid w:val="00AE62D2"/>
    <w:rsid w:val="00AE6794"/>
    <w:rsid w:val="00AE687E"/>
    <w:rsid w:val="00AE68F2"/>
    <w:rsid w:val="00AE6B5F"/>
    <w:rsid w:val="00AE6B8B"/>
    <w:rsid w:val="00AE6E9F"/>
    <w:rsid w:val="00AE6FCD"/>
    <w:rsid w:val="00AE71AB"/>
    <w:rsid w:val="00AE7B86"/>
    <w:rsid w:val="00AE7CE9"/>
    <w:rsid w:val="00AE7CFA"/>
    <w:rsid w:val="00AE7D65"/>
    <w:rsid w:val="00AE7EED"/>
    <w:rsid w:val="00AF008F"/>
    <w:rsid w:val="00AF028E"/>
    <w:rsid w:val="00AF0314"/>
    <w:rsid w:val="00AF0394"/>
    <w:rsid w:val="00AF0D28"/>
    <w:rsid w:val="00AF0DAA"/>
    <w:rsid w:val="00AF1434"/>
    <w:rsid w:val="00AF1840"/>
    <w:rsid w:val="00AF18F4"/>
    <w:rsid w:val="00AF1CFE"/>
    <w:rsid w:val="00AF20CD"/>
    <w:rsid w:val="00AF227B"/>
    <w:rsid w:val="00AF2305"/>
    <w:rsid w:val="00AF2603"/>
    <w:rsid w:val="00AF28FA"/>
    <w:rsid w:val="00AF2A93"/>
    <w:rsid w:val="00AF2FA5"/>
    <w:rsid w:val="00AF38D4"/>
    <w:rsid w:val="00AF3CED"/>
    <w:rsid w:val="00AF3E08"/>
    <w:rsid w:val="00AF406B"/>
    <w:rsid w:val="00AF4633"/>
    <w:rsid w:val="00AF46AA"/>
    <w:rsid w:val="00AF4CE0"/>
    <w:rsid w:val="00AF4E74"/>
    <w:rsid w:val="00AF54B6"/>
    <w:rsid w:val="00AF588D"/>
    <w:rsid w:val="00AF58E4"/>
    <w:rsid w:val="00AF59BA"/>
    <w:rsid w:val="00AF5BD6"/>
    <w:rsid w:val="00AF5C2D"/>
    <w:rsid w:val="00AF5D98"/>
    <w:rsid w:val="00AF5DD3"/>
    <w:rsid w:val="00AF66B7"/>
    <w:rsid w:val="00AF67DA"/>
    <w:rsid w:val="00AF68FE"/>
    <w:rsid w:val="00AF69AE"/>
    <w:rsid w:val="00AF6A50"/>
    <w:rsid w:val="00AF6B8D"/>
    <w:rsid w:val="00AF6B94"/>
    <w:rsid w:val="00AF6EB2"/>
    <w:rsid w:val="00AF705C"/>
    <w:rsid w:val="00AF70F2"/>
    <w:rsid w:val="00AF71DD"/>
    <w:rsid w:val="00AF7307"/>
    <w:rsid w:val="00AF73A3"/>
    <w:rsid w:val="00AF7C35"/>
    <w:rsid w:val="00B00134"/>
    <w:rsid w:val="00B002DD"/>
    <w:rsid w:val="00B004F5"/>
    <w:rsid w:val="00B004FF"/>
    <w:rsid w:val="00B009FF"/>
    <w:rsid w:val="00B00A02"/>
    <w:rsid w:val="00B00ADC"/>
    <w:rsid w:val="00B00BF2"/>
    <w:rsid w:val="00B00D99"/>
    <w:rsid w:val="00B00E60"/>
    <w:rsid w:val="00B00E82"/>
    <w:rsid w:val="00B011A2"/>
    <w:rsid w:val="00B0127D"/>
    <w:rsid w:val="00B012E8"/>
    <w:rsid w:val="00B01301"/>
    <w:rsid w:val="00B01632"/>
    <w:rsid w:val="00B01755"/>
    <w:rsid w:val="00B0244E"/>
    <w:rsid w:val="00B02AC5"/>
    <w:rsid w:val="00B02CD7"/>
    <w:rsid w:val="00B02ECB"/>
    <w:rsid w:val="00B0350A"/>
    <w:rsid w:val="00B03A57"/>
    <w:rsid w:val="00B03C09"/>
    <w:rsid w:val="00B03C0B"/>
    <w:rsid w:val="00B03D29"/>
    <w:rsid w:val="00B041C0"/>
    <w:rsid w:val="00B044C6"/>
    <w:rsid w:val="00B047D9"/>
    <w:rsid w:val="00B04A81"/>
    <w:rsid w:val="00B04D1D"/>
    <w:rsid w:val="00B04DD3"/>
    <w:rsid w:val="00B05154"/>
    <w:rsid w:val="00B05898"/>
    <w:rsid w:val="00B05B7E"/>
    <w:rsid w:val="00B05C30"/>
    <w:rsid w:val="00B05E17"/>
    <w:rsid w:val="00B0647F"/>
    <w:rsid w:val="00B06857"/>
    <w:rsid w:val="00B068AF"/>
    <w:rsid w:val="00B0698B"/>
    <w:rsid w:val="00B06AF8"/>
    <w:rsid w:val="00B07047"/>
    <w:rsid w:val="00B07078"/>
    <w:rsid w:val="00B07237"/>
    <w:rsid w:val="00B072F3"/>
    <w:rsid w:val="00B073F2"/>
    <w:rsid w:val="00B07868"/>
    <w:rsid w:val="00B078E6"/>
    <w:rsid w:val="00B0794E"/>
    <w:rsid w:val="00B1016F"/>
    <w:rsid w:val="00B10ABC"/>
    <w:rsid w:val="00B10EB1"/>
    <w:rsid w:val="00B1118E"/>
    <w:rsid w:val="00B11FF2"/>
    <w:rsid w:val="00B126DA"/>
    <w:rsid w:val="00B12830"/>
    <w:rsid w:val="00B12833"/>
    <w:rsid w:val="00B12ACF"/>
    <w:rsid w:val="00B12B8A"/>
    <w:rsid w:val="00B12FE4"/>
    <w:rsid w:val="00B130AE"/>
    <w:rsid w:val="00B137E0"/>
    <w:rsid w:val="00B13B67"/>
    <w:rsid w:val="00B13B9E"/>
    <w:rsid w:val="00B13EE5"/>
    <w:rsid w:val="00B14049"/>
    <w:rsid w:val="00B141B4"/>
    <w:rsid w:val="00B14269"/>
    <w:rsid w:val="00B143F3"/>
    <w:rsid w:val="00B1441D"/>
    <w:rsid w:val="00B148A9"/>
    <w:rsid w:val="00B14D3E"/>
    <w:rsid w:val="00B14E5A"/>
    <w:rsid w:val="00B14F0B"/>
    <w:rsid w:val="00B1526F"/>
    <w:rsid w:val="00B1574B"/>
    <w:rsid w:val="00B1592E"/>
    <w:rsid w:val="00B159DE"/>
    <w:rsid w:val="00B15CC6"/>
    <w:rsid w:val="00B15EAE"/>
    <w:rsid w:val="00B16258"/>
    <w:rsid w:val="00B1629E"/>
    <w:rsid w:val="00B16509"/>
    <w:rsid w:val="00B1666F"/>
    <w:rsid w:val="00B16803"/>
    <w:rsid w:val="00B16A43"/>
    <w:rsid w:val="00B16B21"/>
    <w:rsid w:val="00B16DAD"/>
    <w:rsid w:val="00B1700F"/>
    <w:rsid w:val="00B1719A"/>
    <w:rsid w:val="00B172E6"/>
    <w:rsid w:val="00B1740A"/>
    <w:rsid w:val="00B175B5"/>
    <w:rsid w:val="00B176A0"/>
    <w:rsid w:val="00B17921"/>
    <w:rsid w:val="00B17D13"/>
    <w:rsid w:val="00B20056"/>
    <w:rsid w:val="00B205AB"/>
    <w:rsid w:val="00B20646"/>
    <w:rsid w:val="00B20CC4"/>
    <w:rsid w:val="00B2167A"/>
    <w:rsid w:val="00B21DE3"/>
    <w:rsid w:val="00B221EF"/>
    <w:rsid w:val="00B2222C"/>
    <w:rsid w:val="00B224B9"/>
    <w:rsid w:val="00B225E9"/>
    <w:rsid w:val="00B2284E"/>
    <w:rsid w:val="00B22B40"/>
    <w:rsid w:val="00B22DE6"/>
    <w:rsid w:val="00B23162"/>
    <w:rsid w:val="00B232BF"/>
    <w:rsid w:val="00B23521"/>
    <w:rsid w:val="00B23742"/>
    <w:rsid w:val="00B23798"/>
    <w:rsid w:val="00B23EAF"/>
    <w:rsid w:val="00B241F6"/>
    <w:rsid w:val="00B24748"/>
    <w:rsid w:val="00B24F62"/>
    <w:rsid w:val="00B24F9D"/>
    <w:rsid w:val="00B250DB"/>
    <w:rsid w:val="00B25176"/>
    <w:rsid w:val="00B25586"/>
    <w:rsid w:val="00B257D3"/>
    <w:rsid w:val="00B2582C"/>
    <w:rsid w:val="00B2593F"/>
    <w:rsid w:val="00B25ABA"/>
    <w:rsid w:val="00B25CC6"/>
    <w:rsid w:val="00B26108"/>
    <w:rsid w:val="00B26221"/>
    <w:rsid w:val="00B26722"/>
    <w:rsid w:val="00B268AD"/>
    <w:rsid w:val="00B268AF"/>
    <w:rsid w:val="00B27781"/>
    <w:rsid w:val="00B277F0"/>
    <w:rsid w:val="00B27A34"/>
    <w:rsid w:val="00B27AD2"/>
    <w:rsid w:val="00B27F52"/>
    <w:rsid w:val="00B27F7D"/>
    <w:rsid w:val="00B300C3"/>
    <w:rsid w:val="00B300DF"/>
    <w:rsid w:val="00B30610"/>
    <w:rsid w:val="00B3061C"/>
    <w:rsid w:val="00B308CA"/>
    <w:rsid w:val="00B30FD2"/>
    <w:rsid w:val="00B31109"/>
    <w:rsid w:val="00B31709"/>
    <w:rsid w:val="00B31D3A"/>
    <w:rsid w:val="00B31DF2"/>
    <w:rsid w:val="00B31EA7"/>
    <w:rsid w:val="00B31F60"/>
    <w:rsid w:val="00B32371"/>
    <w:rsid w:val="00B32666"/>
    <w:rsid w:val="00B32961"/>
    <w:rsid w:val="00B32969"/>
    <w:rsid w:val="00B32A68"/>
    <w:rsid w:val="00B32B71"/>
    <w:rsid w:val="00B33811"/>
    <w:rsid w:val="00B33B00"/>
    <w:rsid w:val="00B33C3D"/>
    <w:rsid w:val="00B33E9C"/>
    <w:rsid w:val="00B346A5"/>
    <w:rsid w:val="00B348DF"/>
    <w:rsid w:val="00B3491F"/>
    <w:rsid w:val="00B34A4D"/>
    <w:rsid w:val="00B34C76"/>
    <w:rsid w:val="00B34E00"/>
    <w:rsid w:val="00B34F63"/>
    <w:rsid w:val="00B34F6E"/>
    <w:rsid w:val="00B35138"/>
    <w:rsid w:val="00B35399"/>
    <w:rsid w:val="00B35668"/>
    <w:rsid w:val="00B35670"/>
    <w:rsid w:val="00B35CCB"/>
    <w:rsid w:val="00B35D34"/>
    <w:rsid w:val="00B35E30"/>
    <w:rsid w:val="00B35FDB"/>
    <w:rsid w:val="00B3607A"/>
    <w:rsid w:val="00B3616E"/>
    <w:rsid w:val="00B36661"/>
    <w:rsid w:val="00B36C49"/>
    <w:rsid w:val="00B36CB0"/>
    <w:rsid w:val="00B371EF"/>
    <w:rsid w:val="00B37290"/>
    <w:rsid w:val="00B37948"/>
    <w:rsid w:val="00B40126"/>
    <w:rsid w:val="00B4012B"/>
    <w:rsid w:val="00B4031F"/>
    <w:rsid w:val="00B40439"/>
    <w:rsid w:val="00B4078A"/>
    <w:rsid w:val="00B40A71"/>
    <w:rsid w:val="00B40E11"/>
    <w:rsid w:val="00B40EDB"/>
    <w:rsid w:val="00B410D0"/>
    <w:rsid w:val="00B411BC"/>
    <w:rsid w:val="00B4123E"/>
    <w:rsid w:val="00B4190D"/>
    <w:rsid w:val="00B41AD7"/>
    <w:rsid w:val="00B423DB"/>
    <w:rsid w:val="00B42444"/>
    <w:rsid w:val="00B42913"/>
    <w:rsid w:val="00B42EB3"/>
    <w:rsid w:val="00B42EB6"/>
    <w:rsid w:val="00B43018"/>
    <w:rsid w:val="00B43126"/>
    <w:rsid w:val="00B43324"/>
    <w:rsid w:val="00B4341A"/>
    <w:rsid w:val="00B43554"/>
    <w:rsid w:val="00B43602"/>
    <w:rsid w:val="00B437E4"/>
    <w:rsid w:val="00B43FD5"/>
    <w:rsid w:val="00B4401C"/>
    <w:rsid w:val="00B4426F"/>
    <w:rsid w:val="00B447CB"/>
    <w:rsid w:val="00B458D7"/>
    <w:rsid w:val="00B45C13"/>
    <w:rsid w:val="00B45D7B"/>
    <w:rsid w:val="00B45F4F"/>
    <w:rsid w:val="00B461BA"/>
    <w:rsid w:val="00B46438"/>
    <w:rsid w:val="00B4646A"/>
    <w:rsid w:val="00B466E3"/>
    <w:rsid w:val="00B46707"/>
    <w:rsid w:val="00B46868"/>
    <w:rsid w:val="00B469CA"/>
    <w:rsid w:val="00B469E2"/>
    <w:rsid w:val="00B46A15"/>
    <w:rsid w:val="00B46B48"/>
    <w:rsid w:val="00B46E6C"/>
    <w:rsid w:val="00B47715"/>
    <w:rsid w:val="00B47BC1"/>
    <w:rsid w:val="00B47EC2"/>
    <w:rsid w:val="00B50512"/>
    <w:rsid w:val="00B50C4A"/>
    <w:rsid w:val="00B51676"/>
    <w:rsid w:val="00B5178B"/>
    <w:rsid w:val="00B521A9"/>
    <w:rsid w:val="00B525EE"/>
    <w:rsid w:val="00B526CB"/>
    <w:rsid w:val="00B52730"/>
    <w:rsid w:val="00B5275C"/>
    <w:rsid w:val="00B5285B"/>
    <w:rsid w:val="00B528E2"/>
    <w:rsid w:val="00B52AD7"/>
    <w:rsid w:val="00B52DD0"/>
    <w:rsid w:val="00B530C2"/>
    <w:rsid w:val="00B538FC"/>
    <w:rsid w:val="00B53A21"/>
    <w:rsid w:val="00B53A40"/>
    <w:rsid w:val="00B53A59"/>
    <w:rsid w:val="00B53B49"/>
    <w:rsid w:val="00B53C0B"/>
    <w:rsid w:val="00B542B0"/>
    <w:rsid w:val="00B548FA"/>
    <w:rsid w:val="00B54A0A"/>
    <w:rsid w:val="00B54C61"/>
    <w:rsid w:val="00B54CA5"/>
    <w:rsid w:val="00B54F49"/>
    <w:rsid w:val="00B55592"/>
    <w:rsid w:val="00B55C56"/>
    <w:rsid w:val="00B55F38"/>
    <w:rsid w:val="00B56021"/>
    <w:rsid w:val="00B56371"/>
    <w:rsid w:val="00B564D9"/>
    <w:rsid w:val="00B56728"/>
    <w:rsid w:val="00B56AF8"/>
    <w:rsid w:val="00B56B23"/>
    <w:rsid w:val="00B56F8F"/>
    <w:rsid w:val="00B56FF3"/>
    <w:rsid w:val="00B571A6"/>
    <w:rsid w:val="00B57850"/>
    <w:rsid w:val="00B57AFD"/>
    <w:rsid w:val="00B57DDB"/>
    <w:rsid w:val="00B57EA9"/>
    <w:rsid w:val="00B60080"/>
    <w:rsid w:val="00B60535"/>
    <w:rsid w:val="00B605EB"/>
    <w:rsid w:val="00B60854"/>
    <w:rsid w:val="00B60923"/>
    <w:rsid w:val="00B60C78"/>
    <w:rsid w:val="00B61018"/>
    <w:rsid w:val="00B61165"/>
    <w:rsid w:val="00B61982"/>
    <w:rsid w:val="00B61C12"/>
    <w:rsid w:val="00B61D39"/>
    <w:rsid w:val="00B61E8D"/>
    <w:rsid w:val="00B62398"/>
    <w:rsid w:val="00B62C50"/>
    <w:rsid w:val="00B63159"/>
    <w:rsid w:val="00B63D7F"/>
    <w:rsid w:val="00B641F8"/>
    <w:rsid w:val="00B6432D"/>
    <w:rsid w:val="00B64399"/>
    <w:rsid w:val="00B647F6"/>
    <w:rsid w:val="00B64900"/>
    <w:rsid w:val="00B64E40"/>
    <w:rsid w:val="00B64F57"/>
    <w:rsid w:val="00B64F9E"/>
    <w:rsid w:val="00B651A2"/>
    <w:rsid w:val="00B65543"/>
    <w:rsid w:val="00B655C8"/>
    <w:rsid w:val="00B65A4C"/>
    <w:rsid w:val="00B65C24"/>
    <w:rsid w:val="00B661FB"/>
    <w:rsid w:val="00B6648D"/>
    <w:rsid w:val="00B66747"/>
    <w:rsid w:val="00B669E4"/>
    <w:rsid w:val="00B66B85"/>
    <w:rsid w:val="00B67273"/>
    <w:rsid w:val="00B67341"/>
    <w:rsid w:val="00B67373"/>
    <w:rsid w:val="00B676CB"/>
    <w:rsid w:val="00B6795D"/>
    <w:rsid w:val="00B67ADF"/>
    <w:rsid w:val="00B701D9"/>
    <w:rsid w:val="00B70256"/>
    <w:rsid w:val="00B7041B"/>
    <w:rsid w:val="00B70A84"/>
    <w:rsid w:val="00B70D07"/>
    <w:rsid w:val="00B70E7D"/>
    <w:rsid w:val="00B71004"/>
    <w:rsid w:val="00B7116D"/>
    <w:rsid w:val="00B7145C"/>
    <w:rsid w:val="00B71630"/>
    <w:rsid w:val="00B718BC"/>
    <w:rsid w:val="00B71AA1"/>
    <w:rsid w:val="00B7228A"/>
    <w:rsid w:val="00B7271A"/>
    <w:rsid w:val="00B729F2"/>
    <w:rsid w:val="00B72DAD"/>
    <w:rsid w:val="00B72F55"/>
    <w:rsid w:val="00B733C2"/>
    <w:rsid w:val="00B738D2"/>
    <w:rsid w:val="00B7421F"/>
    <w:rsid w:val="00B7429E"/>
    <w:rsid w:val="00B742D7"/>
    <w:rsid w:val="00B744E9"/>
    <w:rsid w:val="00B74833"/>
    <w:rsid w:val="00B7489D"/>
    <w:rsid w:val="00B74F36"/>
    <w:rsid w:val="00B74FB7"/>
    <w:rsid w:val="00B74FDA"/>
    <w:rsid w:val="00B75079"/>
    <w:rsid w:val="00B752A5"/>
    <w:rsid w:val="00B754A8"/>
    <w:rsid w:val="00B754EA"/>
    <w:rsid w:val="00B7560B"/>
    <w:rsid w:val="00B75CDF"/>
    <w:rsid w:val="00B75E42"/>
    <w:rsid w:val="00B7621F"/>
    <w:rsid w:val="00B7654C"/>
    <w:rsid w:val="00B765B1"/>
    <w:rsid w:val="00B76615"/>
    <w:rsid w:val="00B7662E"/>
    <w:rsid w:val="00B76A6C"/>
    <w:rsid w:val="00B7726F"/>
    <w:rsid w:val="00B773BA"/>
    <w:rsid w:val="00B7743E"/>
    <w:rsid w:val="00B7747A"/>
    <w:rsid w:val="00B77570"/>
    <w:rsid w:val="00B77ADA"/>
    <w:rsid w:val="00B77B08"/>
    <w:rsid w:val="00B77C0A"/>
    <w:rsid w:val="00B80670"/>
    <w:rsid w:val="00B8087B"/>
    <w:rsid w:val="00B80A09"/>
    <w:rsid w:val="00B80F1E"/>
    <w:rsid w:val="00B81167"/>
    <w:rsid w:val="00B813D4"/>
    <w:rsid w:val="00B81B95"/>
    <w:rsid w:val="00B82086"/>
    <w:rsid w:val="00B823F9"/>
    <w:rsid w:val="00B83042"/>
    <w:rsid w:val="00B8307C"/>
    <w:rsid w:val="00B834BF"/>
    <w:rsid w:val="00B83970"/>
    <w:rsid w:val="00B83C28"/>
    <w:rsid w:val="00B83C8A"/>
    <w:rsid w:val="00B8417F"/>
    <w:rsid w:val="00B84301"/>
    <w:rsid w:val="00B84479"/>
    <w:rsid w:val="00B84547"/>
    <w:rsid w:val="00B848A5"/>
    <w:rsid w:val="00B849DE"/>
    <w:rsid w:val="00B84C20"/>
    <w:rsid w:val="00B850E8"/>
    <w:rsid w:val="00B85A65"/>
    <w:rsid w:val="00B85AD4"/>
    <w:rsid w:val="00B85B4F"/>
    <w:rsid w:val="00B85EA1"/>
    <w:rsid w:val="00B866F2"/>
    <w:rsid w:val="00B86AF6"/>
    <w:rsid w:val="00B86B44"/>
    <w:rsid w:val="00B87012"/>
    <w:rsid w:val="00B87059"/>
    <w:rsid w:val="00B8727A"/>
    <w:rsid w:val="00B8745F"/>
    <w:rsid w:val="00B902B1"/>
    <w:rsid w:val="00B90A5C"/>
    <w:rsid w:val="00B91263"/>
    <w:rsid w:val="00B91699"/>
    <w:rsid w:val="00B9197A"/>
    <w:rsid w:val="00B91AE4"/>
    <w:rsid w:val="00B921CE"/>
    <w:rsid w:val="00B92611"/>
    <w:rsid w:val="00B927E5"/>
    <w:rsid w:val="00B92AB3"/>
    <w:rsid w:val="00B92E4D"/>
    <w:rsid w:val="00B92F44"/>
    <w:rsid w:val="00B9304B"/>
    <w:rsid w:val="00B93211"/>
    <w:rsid w:val="00B939A0"/>
    <w:rsid w:val="00B93B43"/>
    <w:rsid w:val="00B93C31"/>
    <w:rsid w:val="00B93D06"/>
    <w:rsid w:val="00B93EA7"/>
    <w:rsid w:val="00B94132"/>
    <w:rsid w:val="00B94231"/>
    <w:rsid w:val="00B94505"/>
    <w:rsid w:val="00B94549"/>
    <w:rsid w:val="00B9466E"/>
    <w:rsid w:val="00B94724"/>
    <w:rsid w:val="00B9491B"/>
    <w:rsid w:val="00B949FF"/>
    <w:rsid w:val="00B94A4E"/>
    <w:rsid w:val="00B94B48"/>
    <w:rsid w:val="00B94C07"/>
    <w:rsid w:val="00B95359"/>
    <w:rsid w:val="00B954D4"/>
    <w:rsid w:val="00B955FF"/>
    <w:rsid w:val="00B957E8"/>
    <w:rsid w:val="00B95809"/>
    <w:rsid w:val="00B95F78"/>
    <w:rsid w:val="00B9602C"/>
    <w:rsid w:val="00B960D1"/>
    <w:rsid w:val="00B964DC"/>
    <w:rsid w:val="00B96580"/>
    <w:rsid w:val="00B96B8E"/>
    <w:rsid w:val="00B975F3"/>
    <w:rsid w:val="00B977D8"/>
    <w:rsid w:val="00B97994"/>
    <w:rsid w:val="00B97CEB"/>
    <w:rsid w:val="00B97E44"/>
    <w:rsid w:val="00BA028E"/>
    <w:rsid w:val="00BA051D"/>
    <w:rsid w:val="00BA06C2"/>
    <w:rsid w:val="00BA0B47"/>
    <w:rsid w:val="00BA0D27"/>
    <w:rsid w:val="00BA101C"/>
    <w:rsid w:val="00BA1218"/>
    <w:rsid w:val="00BA1A94"/>
    <w:rsid w:val="00BA1E11"/>
    <w:rsid w:val="00BA1F65"/>
    <w:rsid w:val="00BA236A"/>
    <w:rsid w:val="00BA2432"/>
    <w:rsid w:val="00BA258C"/>
    <w:rsid w:val="00BA25C1"/>
    <w:rsid w:val="00BA2C6C"/>
    <w:rsid w:val="00BA303F"/>
    <w:rsid w:val="00BA3093"/>
    <w:rsid w:val="00BA3DDC"/>
    <w:rsid w:val="00BA3F18"/>
    <w:rsid w:val="00BA44EF"/>
    <w:rsid w:val="00BA44FF"/>
    <w:rsid w:val="00BA48A3"/>
    <w:rsid w:val="00BA4EB8"/>
    <w:rsid w:val="00BA4FC7"/>
    <w:rsid w:val="00BA51BD"/>
    <w:rsid w:val="00BA5558"/>
    <w:rsid w:val="00BA5FB9"/>
    <w:rsid w:val="00BA61D5"/>
    <w:rsid w:val="00BA655A"/>
    <w:rsid w:val="00BA6632"/>
    <w:rsid w:val="00BA667D"/>
    <w:rsid w:val="00BA68AC"/>
    <w:rsid w:val="00BA68AD"/>
    <w:rsid w:val="00BA731D"/>
    <w:rsid w:val="00BA73D2"/>
    <w:rsid w:val="00BA7917"/>
    <w:rsid w:val="00BA7DF7"/>
    <w:rsid w:val="00BB0D47"/>
    <w:rsid w:val="00BB10DD"/>
    <w:rsid w:val="00BB1684"/>
    <w:rsid w:val="00BB1C2D"/>
    <w:rsid w:val="00BB1CCB"/>
    <w:rsid w:val="00BB2318"/>
    <w:rsid w:val="00BB2536"/>
    <w:rsid w:val="00BB2BBC"/>
    <w:rsid w:val="00BB34C9"/>
    <w:rsid w:val="00BB3935"/>
    <w:rsid w:val="00BB3A5A"/>
    <w:rsid w:val="00BB3AC2"/>
    <w:rsid w:val="00BB3B42"/>
    <w:rsid w:val="00BB3F6E"/>
    <w:rsid w:val="00BB40E5"/>
    <w:rsid w:val="00BB428F"/>
    <w:rsid w:val="00BB4680"/>
    <w:rsid w:val="00BB4993"/>
    <w:rsid w:val="00BB4F5F"/>
    <w:rsid w:val="00BB503B"/>
    <w:rsid w:val="00BB5325"/>
    <w:rsid w:val="00BB5463"/>
    <w:rsid w:val="00BB5849"/>
    <w:rsid w:val="00BB5D12"/>
    <w:rsid w:val="00BB5D4E"/>
    <w:rsid w:val="00BB5F30"/>
    <w:rsid w:val="00BB6293"/>
    <w:rsid w:val="00BB62DA"/>
    <w:rsid w:val="00BB6343"/>
    <w:rsid w:val="00BB670D"/>
    <w:rsid w:val="00BB69A5"/>
    <w:rsid w:val="00BB6DF8"/>
    <w:rsid w:val="00BB6E25"/>
    <w:rsid w:val="00BB716E"/>
    <w:rsid w:val="00BB772D"/>
    <w:rsid w:val="00BC0096"/>
    <w:rsid w:val="00BC01DD"/>
    <w:rsid w:val="00BC03DC"/>
    <w:rsid w:val="00BC0752"/>
    <w:rsid w:val="00BC0896"/>
    <w:rsid w:val="00BC0AFC"/>
    <w:rsid w:val="00BC0B77"/>
    <w:rsid w:val="00BC0EFB"/>
    <w:rsid w:val="00BC13A5"/>
    <w:rsid w:val="00BC2093"/>
    <w:rsid w:val="00BC21EE"/>
    <w:rsid w:val="00BC25B1"/>
    <w:rsid w:val="00BC286D"/>
    <w:rsid w:val="00BC2960"/>
    <w:rsid w:val="00BC2FC2"/>
    <w:rsid w:val="00BC305B"/>
    <w:rsid w:val="00BC33FB"/>
    <w:rsid w:val="00BC340C"/>
    <w:rsid w:val="00BC36AA"/>
    <w:rsid w:val="00BC3773"/>
    <w:rsid w:val="00BC3827"/>
    <w:rsid w:val="00BC3881"/>
    <w:rsid w:val="00BC3A9E"/>
    <w:rsid w:val="00BC3EAD"/>
    <w:rsid w:val="00BC40CE"/>
    <w:rsid w:val="00BC40DD"/>
    <w:rsid w:val="00BC459F"/>
    <w:rsid w:val="00BC4A0C"/>
    <w:rsid w:val="00BC4B6D"/>
    <w:rsid w:val="00BC4CD3"/>
    <w:rsid w:val="00BC4E51"/>
    <w:rsid w:val="00BC4F8D"/>
    <w:rsid w:val="00BC54DE"/>
    <w:rsid w:val="00BC5541"/>
    <w:rsid w:val="00BC5C4C"/>
    <w:rsid w:val="00BC6067"/>
    <w:rsid w:val="00BC60A8"/>
    <w:rsid w:val="00BC65D8"/>
    <w:rsid w:val="00BC6C14"/>
    <w:rsid w:val="00BC6DA2"/>
    <w:rsid w:val="00BC6E5B"/>
    <w:rsid w:val="00BC6EAE"/>
    <w:rsid w:val="00BC70F6"/>
    <w:rsid w:val="00BC78C4"/>
    <w:rsid w:val="00BD005F"/>
    <w:rsid w:val="00BD01EB"/>
    <w:rsid w:val="00BD02F3"/>
    <w:rsid w:val="00BD0362"/>
    <w:rsid w:val="00BD0B02"/>
    <w:rsid w:val="00BD127B"/>
    <w:rsid w:val="00BD1415"/>
    <w:rsid w:val="00BD1A51"/>
    <w:rsid w:val="00BD1BB2"/>
    <w:rsid w:val="00BD20CA"/>
    <w:rsid w:val="00BD227E"/>
    <w:rsid w:val="00BD2BF6"/>
    <w:rsid w:val="00BD316B"/>
    <w:rsid w:val="00BD38FF"/>
    <w:rsid w:val="00BD3913"/>
    <w:rsid w:val="00BD3B31"/>
    <w:rsid w:val="00BD3BB7"/>
    <w:rsid w:val="00BD4005"/>
    <w:rsid w:val="00BD4287"/>
    <w:rsid w:val="00BD42D9"/>
    <w:rsid w:val="00BD4607"/>
    <w:rsid w:val="00BD4653"/>
    <w:rsid w:val="00BD4712"/>
    <w:rsid w:val="00BD4814"/>
    <w:rsid w:val="00BD4875"/>
    <w:rsid w:val="00BD48BB"/>
    <w:rsid w:val="00BD4C64"/>
    <w:rsid w:val="00BD4FD1"/>
    <w:rsid w:val="00BD55AF"/>
    <w:rsid w:val="00BD560B"/>
    <w:rsid w:val="00BD560D"/>
    <w:rsid w:val="00BD5A03"/>
    <w:rsid w:val="00BD5F13"/>
    <w:rsid w:val="00BD6475"/>
    <w:rsid w:val="00BD68AE"/>
    <w:rsid w:val="00BD6C76"/>
    <w:rsid w:val="00BD6CF3"/>
    <w:rsid w:val="00BD7537"/>
    <w:rsid w:val="00BE0116"/>
    <w:rsid w:val="00BE016F"/>
    <w:rsid w:val="00BE0252"/>
    <w:rsid w:val="00BE0359"/>
    <w:rsid w:val="00BE0531"/>
    <w:rsid w:val="00BE10F7"/>
    <w:rsid w:val="00BE1197"/>
    <w:rsid w:val="00BE1889"/>
    <w:rsid w:val="00BE1CD6"/>
    <w:rsid w:val="00BE2350"/>
    <w:rsid w:val="00BE2499"/>
    <w:rsid w:val="00BE253B"/>
    <w:rsid w:val="00BE27BA"/>
    <w:rsid w:val="00BE2D6D"/>
    <w:rsid w:val="00BE2F8F"/>
    <w:rsid w:val="00BE3178"/>
    <w:rsid w:val="00BE3790"/>
    <w:rsid w:val="00BE37AA"/>
    <w:rsid w:val="00BE37C6"/>
    <w:rsid w:val="00BE413A"/>
    <w:rsid w:val="00BE4390"/>
    <w:rsid w:val="00BE43D2"/>
    <w:rsid w:val="00BE46CE"/>
    <w:rsid w:val="00BE4E5E"/>
    <w:rsid w:val="00BE4F6B"/>
    <w:rsid w:val="00BE4F6D"/>
    <w:rsid w:val="00BE56F7"/>
    <w:rsid w:val="00BE5AA3"/>
    <w:rsid w:val="00BE5C95"/>
    <w:rsid w:val="00BE5CC8"/>
    <w:rsid w:val="00BE5DE5"/>
    <w:rsid w:val="00BE6402"/>
    <w:rsid w:val="00BE6721"/>
    <w:rsid w:val="00BE6967"/>
    <w:rsid w:val="00BE6ACA"/>
    <w:rsid w:val="00BE6C16"/>
    <w:rsid w:val="00BE6EA9"/>
    <w:rsid w:val="00BE6FBF"/>
    <w:rsid w:val="00BE7003"/>
    <w:rsid w:val="00BE7576"/>
    <w:rsid w:val="00BE760F"/>
    <w:rsid w:val="00BE777F"/>
    <w:rsid w:val="00BE7B71"/>
    <w:rsid w:val="00BE7C70"/>
    <w:rsid w:val="00BE7D09"/>
    <w:rsid w:val="00BE7D23"/>
    <w:rsid w:val="00BE7E8B"/>
    <w:rsid w:val="00BE7F2E"/>
    <w:rsid w:val="00BF016F"/>
    <w:rsid w:val="00BF01DA"/>
    <w:rsid w:val="00BF0257"/>
    <w:rsid w:val="00BF0271"/>
    <w:rsid w:val="00BF06DD"/>
    <w:rsid w:val="00BF0C65"/>
    <w:rsid w:val="00BF0C71"/>
    <w:rsid w:val="00BF0DAC"/>
    <w:rsid w:val="00BF0FEA"/>
    <w:rsid w:val="00BF12C4"/>
    <w:rsid w:val="00BF12FC"/>
    <w:rsid w:val="00BF1946"/>
    <w:rsid w:val="00BF19C3"/>
    <w:rsid w:val="00BF1A07"/>
    <w:rsid w:val="00BF1A7A"/>
    <w:rsid w:val="00BF241D"/>
    <w:rsid w:val="00BF27CC"/>
    <w:rsid w:val="00BF294E"/>
    <w:rsid w:val="00BF2C0E"/>
    <w:rsid w:val="00BF2F86"/>
    <w:rsid w:val="00BF396D"/>
    <w:rsid w:val="00BF3D12"/>
    <w:rsid w:val="00BF3D22"/>
    <w:rsid w:val="00BF41DB"/>
    <w:rsid w:val="00BF4335"/>
    <w:rsid w:val="00BF45A0"/>
    <w:rsid w:val="00BF47EE"/>
    <w:rsid w:val="00BF48AD"/>
    <w:rsid w:val="00BF4A21"/>
    <w:rsid w:val="00BF4AC3"/>
    <w:rsid w:val="00BF5849"/>
    <w:rsid w:val="00BF5B5A"/>
    <w:rsid w:val="00BF5E7E"/>
    <w:rsid w:val="00BF5E81"/>
    <w:rsid w:val="00BF63BA"/>
    <w:rsid w:val="00BF65CA"/>
    <w:rsid w:val="00BF6EDA"/>
    <w:rsid w:val="00BF720D"/>
    <w:rsid w:val="00BF7252"/>
    <w:rsid w:val="00BF7559"/>
    <w:rsid w:val="00C00207"/>
    <w:rsid w:val="00C00972"/>
    <w:rsid w:val="00C00A90"/>
    <w:rsid w:val="00C00B08"/>
    <w:rsid w:val="00C00D26"/>
    <w:rsid w:val="00C01123"/>
    <w:rsid w:val="00C0122F"/>
    <w:rsid w:val="00C013F4"/>
    <w:rsid w:val="00C01EA6"/>
    <w:rsid w:val="00C020C6"/>
    <w:rsid w:val="00C0214C"/>
    <w:rsid w:val="00C022F7"/>
    <w:rsid w:val="00C025DF"/>
    <w:rsid w:val="00C02A6B"/>
    <w:rsid w:val="00C02AE4"/>
    <w:rsid w:val="00C02E96"/>
    <w:rsid w:val="00C03036"/>
    <w:rsid w:val="00C03198"/>
    <w:rsid w:val="00C034EB"/>
    <w:rsid w:val="00C03A44"/>
    <w:rsid w:val="00C03F6D"/>
    <w:rsid w:val="00C04192"/>
    <w:rsid w:val="00C0435B"/>
    <w:rsid w:val="00C04FC5"/>
    <w:rsid w:val="00C0500A"/>
    <w:rsid w:val="00C051F4"/>
    <w:rsid w:val="00C054D8"/>
    <w:rsid w:val="00C06284"/>
    <w:rsid w:val="00C068A3"/>
    <w:rsid w:val="00C069B0"/>
    <w:rsid w:val="00C06BE3"/>
    <w:rsid w:val="00C06D14"/>
    <w:rsid w:val="00C06F95"/>
    <w:rsid w:val="00C071C8"/>
    <w:rsid w:val="00C074E2"/>
    <w:rsid w:val="00C07745"/>
    <w:rsid w:val="00C10021"/>
    <w:rsid w:val="00C102AF"/>
    <w:rsid w:val="00C1047F"/>
    <w:rsid w:val="00C11096"/>
    <w:rsid w:val="00C1110D"/>
    <w:rsid w:val="00C11168"/>
    <w:rsid w:val="00C11493"/>
    <w:rsid w:val="00C115F8"/>
    <w:rsid w:val="00C11A50"/>
    <w:rsid w:val="00C11B82"/>
    <w:rsid w:val="00C11C47"/>
    <w:rsid w:val="00C12319"/>
    <w:rsid w:val="00C12493"/>
    <w:rsid w:val="00C127B1"/>
    <w:rsid w:val="00C12999"/>
    <w:rsid w:val="00C12C5C"/>
    <w:rsid w:val="00C12C87"/>
    <w:rsid w:val="00C12CF0"/>
    <w:rsid w:val="00C12E8D"/>
    <w:rsid w:val="00C131E4"/>
    <w:rsid w:val="00C133F4"/>
    <w:rsid w:val="00C134B7"/>
    <w:rsid w:val="00C135EA"/>
    <w:rsid w:val="00C145C5"/>
    <w:rsid w:val="00C146DB"/>
    <w:rsid w:val="00C147C7"/>
    <w:rsid w:val="00C15271"/>
    <w:rsid w:val="00C15682"/>
    <w:rsid w:val="00C1582E"/>
    <w:rsid w:val="00C15B9A"/>
    <w:rsid w:val="00C15BDB"/>
    <w:rsid w:val="00C15E87"/>
    <w:rsid w:val="00C15FB6"/>
    <w:rsid w:val="00C1603F"/>
    <w:rsid w:val="00C163E7"/>
    <w:rsid w:val="00C16B7B"/>
    <w:rsid w:val="00C16DB8"/>
    <w:rsid w:val="00C16F4A"/>
    <w:rsid w:val="00C1706A"/>
    <w:rsid w:val="00C17189"/>
    <w:rsid w:val="00C171E4"/>
    <w:rsid w:val="00C175B9"/>
    <w:rsid w:val="00C175D0"/>
    <w:rsid w:val="00C17825"/>
    <w:rsid w:val="00C17912"/>
    <w:rsid w:val="00C17C01"/>
    <w:rsid w:val="00C17C16"/>
    <w:rsid w:val="00C17C73"/>
    <w:rsid w:val="00C17CE9"/>
    <w:rsid w:val="00C17FBA"/>
    <w:rsid w:val="00C202D5"/>
    <w:rsid w:val="00C2041B"/>
    <w:rsid w:val="00C20449"/>
    <w:rsid w:val="00C2047C"/>
    <w:rsid w:val="00C2096B"/>
    <w:rsid w:val="00C20994"/>
    <w:rsid w:val="00C20CF6"/>
    <w:rsid w:val="00C20E6A"/>
    <w:rsid w:val="00C2112D"/>
    <w:rsid w:val="00C212CA"/>
    <w:rsid w:val="00C212D3"/>
    <w:rsid w:val="00C213ED"/>
    <w:rsid w:val="00C217E2"/>
    <w:rsid w:val="00C21A1F"/>
    <w:rsid w:val="00C21A8D"/>
    <w:rsid w:val="00C21CB5"/>
    <w:rsid w:val="00C21E2C"/>
    <w:rsid w:val="00C21E66"/>
    <w:rsid w:val="00C21F37"/>
    <w:rsid w:val="00C2233C"/>
    <w:rsid w:val="00C22424"/>
    <w:rsid w:val="00C22651"/>
    <w:rsid w:val="00C22D8B"/>
    <w:rsid w:val="00C22F8F"/>
    <w:rsid w:val="00C232CD"/>
    <w:rsid w:val="00C2338D"/>
    <w:rsid w:val="00C234BC"/>
    <w:rsid w:val="00C23865"/>
    <w:rsid w:val="00C23990"/>
    <w:rsid w:val="00C239AD"/>
    <w:rsid w:val="00C23A9C"/>
    <w:rsid w:val="00C23B6B"/>
    <w:rsid w:val="00C242A6"/>
    <w:rsid w:val="00C243F7"/>
    <w:rsid w:val="00C24DB0"/>
    <w:rsid w:val="00C24DE3"/>
    <w:rsid w:val="00C24FE8"/>
    <w:rsid w:val="00C250B2"/>
    <w:rsid w:val="00C25919"/>
    <w:rsid w:val="00C25B17"/>
    <w:rsid w:val="00C26649"/>
    <w:rsid w:val="00C2685E"/>
    <w:rsid w:val="00C26B1C"/>
    <w:rsid w:val="00C26B48"/>
    <w:rsid w:val="00C26ECE"/>
    <w:rsid w:val="00C2702D"/>
    <w:rsid w:val="00C271D0"/>
    <w:rsid w:val="00C274AA"/>
    <w:rsid w:val="00C27575"/>
    <w:rsid w:val="00C276C9"/>
    <w:rsid w:val="00C27B45"/>
    <w:rsid w:val="00C27C03"/>
    <w:rsid w:val="00C27C07"/>
    <w:rsid w:val="00C27CF9"/>
    <w:rsid w:val="00C30535"/>
    <w:rsid w:val="00C306A9"/>
    <w:rsid w:val="00C307C3"/>
    <w:rsid w:val="00C30C62"/>
    <w:rsid w:val="00C30C69"/>
    <w:rsid w:val="00C31086"/>
    <w:rsid w:val="00C31237"/>
    <w:rsid w:val="00C31459"/>
    <w:rsid w:val="00C314C6"/>
    <w:rsid w:val="00C314D8"/>
    <w:rsid w:val="00C318F1"/>
    <w:rsid w:val="00C319DD"/>
    <w:rsid w:val="00C31A07"/>
    <w:rsid w:val="00C31A21"/>
    <w:rsid w:val="00C31EB2"/>
    <w:rsid w:val="00C32965"/>
    <w:rsid w:val="00C32C7F"/>
    <w:rsid w:val="00C33ADC"/>
    <w:rsid w:val="00C33C71"/>
    <w:rsid w:val="00C33DC3"/>
    <w:rsid w:val="00C33F9D"/>
    <w:rsid w:val="00C341F9"/>
    <w:rsid w:val="00C3426D"/>
    <w:rsid w:val="00C34483"/>
    <w:rsid w:val="00C3461D"/>
    <w:rsid w:val="00C34912"/>
    <w:rsid w:val="00C35124"/>
    <w:rsid w:val="00C3531F"/>
    <w:rsid w:val="00C3569B"/>
    <w:rsid w:val="00C358BA"/>
    <w:rsid w:val="00C35975"/>
    <w:rsid w:val="00C35B21"/>
    <w:rsid w:val="00C35C88"/>
    <w:rsid w:val="00C360FB"/>
    <w:rsid w:val="00C36365"/>
    <w:rsid w:val="00C36CBC"/>
    <w:rsid w:val="00C37098"/>
    <w:rsid w:val="00C37224"/>
    <w:rsid w:val="00C3737D"/>
    <w:rsid w:val="00C37568"/>
    <w:rsid w:val="00C37BE6"/>
    <w:rsid w:val="00C40582"/>
    <w:rsid w:val="00C40C87"/>
    <w:rsid w:val="00C411B0"/>
    <w:rsid w:val="00C41842"/>
    <w:rsid w:val="00C4195E"/>
    <w:rsid w:val="00C41C13"/>
    <w:rsid w:val="00C41E23"/>
    <w:rsid w:val="00C422DA"/>
    <w:rsid w:val="00C4230A"/>
    <w:rsid w:val="00C423AC"/>
    <w:rsid w:val="00C423DB"/>
    <w:rsid w:val="00C428A7"/>
    <w:rsid w:val="00C42D29"/>
    <w:rsid w:val="00C4366D"/>
    <w:rsid w:val="00C43704"/>
    <w:rsid w:val="00C43D2F"/>
    <w:rsid w:val="00C4411A"/>
    <w:rsid w:val="00C44ADA"/>
    <w:rsid w:val="00C44C34"/>
    <w:rsid w:val="00C44C95"/>
    <w:rsid w:val="00C450D1"/>
    <w:rsid w:val="00C452D4"/>
    <w:rsid w:val="00C45C8C"/>
    <w:rsid w:val="00C46060"/>
    <w:rsid w:val="00C463F4"/>
    <w:rsid w:val="00C464F6"/>
    <w:rsid w:val="00C46711"/>
    <w:rsid w:val="00C47211"/>
    <w:rsid w:val="00C47272"/>
    <w:rsid w:val="00C472F8"/>
    <w:rsid w:val="00C47731"/>
    <w:rsid w:val="00C47C4D"/>
    <w:rsid w:val="00C47F6A"/>
    <w:rsid w:val="00C5054D"/>
    <w:rsid w:val="00C50711"/>
    <w:rsid w:val="00C50762"/>
    <w:rsid w:val="00C517A3"/>
    <w:rsid w:val="00C518D9"/>
    <w:rsid w:val="00C51C4B"/>
    <w:rsid w:val="00C51CB9"/>
    <w:rsid w:val="00C51FB0"/>
    <w:rsid w:val="00C52298"/>
    <w:rsid w:val="00C523C6"/>
    <w:rsid w:val="00C525BA"/>
    <w:rsid w:val="00C52840"/>
    <w:rsid w:val="00C5291A"/>
    <w:rsid w:val="00C52C86"/>
    <w:rsid w:val="00C52D26"/>
    <w:rsid w:val="00C52ED0"/>
    <w:rsid w:val="00C52FAE"/>
    <w:rsid w:val="00C53065"/>
    <w:rsid w:val="00C533B9"/>
    <w:rsid w:val="00C5356D"/>
    <w:rsid w:val="00C537BF"/>
    <w:rsid w:val="00C538C1"/>
    <w:rsid w:val="00C538E8"/>
    <w:rsid w:val="00C53D26"/>
    <w:rsid w:val="00C53D7C"/>
    <w:rsid w:val="00C53F20"/>
    <w:rsid w:val="00C541F1"/>
    <w:rsid w:val="00C54204"/>
    <w:rsid w:val="00C544B1"/>
    <w:rsid w:val="00C547D2"/>
    <w:rsid w:val="00C547EC"/>
    <w:rsid w:val="00C54ABE"/>
    <w:rsid w:val="00C54C64"/>
    <w:rsid w:val="00C54E58"/>
    <w:rsid w:val="00C550C1"/>
    <w:rsid w:val="00C55300"/>
    <w:rsid w:val="00C55537"/>
    <w:rsid w:val="00C555F7"/>
    <w:rsid w:val="00C559CA"/>
    <w:rsid w:val="00C55EF8"/>
    <w:rsid w:val="00C55F2E"/>
    <w:rsid w:val="00C56446"/>
    <w:rsid w:val="00C5676C"/>
    <w:rsid w:val="00C56789"/>
    <w:rsid w:val="00C568D9"/>
    <w:rsid w:val="00C56B81"/>
    <w:rsid w:val="00C56E22"/>
    <w:rsid w:val="00C575D3"/>
    <w:rsid w:val="00C57C3C"/>
    <w:rsid w:val="00C57C8C"/>
    <w:rsid w:val="00C603A3"/>
    <w:rsid w:val="00C60863"/>
    <w:rsid w:val="00C608BB"/>
    <w:rsid w:val="00C60A8B"/>
    <w:rsid w:val="00C60F9F"/>
    <w:rsid w:val="00C6171A"/>
    <w:rsid w:val="00C62009"/>
    <w:rsid w:val="00C622CF"/>
    <w:rsid w:val="00C624EB"/>
    <w:rsid w:val="00C6285D"/>
    <w:rsid w:val="00C62FAB"/>
    <w:rsid w:val="00C63017"/>
    <w:rsid w:val="00C6336D"/>
    <w:rsid w:val="00C6382D"/>
    <w:rsid w:val="00C639E3"/>
    <w:rsid w:val="00C63A1B"/>
    <w:rsid w:val="00C63EF1"/>
    <w:rsid w:val="00C64036"/>
    <w:rsid w:val="00C640E3"/>
    <w:rsid w:val="00C64848"/>
    <w:rsid w:val="00C64849"/>
    <w:rsid w:val="00C64867"/>
    <w:rsid w:val="00C64B03"/>
    <w:rsid w:val="00C65004"/>
    <w:rsid w:val="00C65198"/>
    <w:rsid w:val="00C657F8"/>
    <w:rsid w:val="00C65935"/>
    <w:rsid w:val="00C659A5"/>
    <w:rsid w:val="00C6604D"/>
    <w:rsid w:val="00C66132"/>
    <w:rsid w:val="00C66311"/>
    <w:rsid w:val="00C667F2"/>
    <w:rsid w:val="00C66D84"/>
    <w:rsid w:val="00C66F7C"/>
    <w:rsid w:val="00C6717B"/>
    <w:rsid w:val="00C67460"/>
    <w:rsid w:val="00C67B1E"/>
    <w:rsid w:val="00C67CC5"/>
    <w:rsid w:val="00C70045"/>
    <w:rsid w:val="00C70563"/>
    <w:rsid w:val="00C705C0"/>
    <w:rsid w:val="00C70CAC"/>
    <w:rsid w:val="00C70D93"/>
    <w:rsid w:val="00C70F93"/>
    <w:rsid w:val="00C71292"/>
    <w:rsid w:val="00C7138A"/>
    <w:rsid w:val="00C71424"/>
    <w:rsid w:val="00C71484"/>
    <w:rsid w:val="00C716CA"/>
    <w:rsid w:val="00C71765"/>
    <w:rsid w:val="00C71803"/>
    <w:rsid w:val="00C71B9C"/>
    <w:rsid w:val="00C71B9D"/>
    <w:rsid w:val="00C71E46"/>
    <w:rsid w:val="00C721B4"/>
    <w:rsid w:val="00C72305"/>
    <w:rsid w:val="00C72561"/>
    <w:rsid w:val="00C727B0"/>
    <w:rsid w:val="00C72A60"/>
    <w:rsid w:val="00C72B94"/>
    <w:rsid w:val="00C72C66"/>
    <w:rsid w:val="00C72D56"/>
    <w:rsid w:val="00C730A6"/>
    <w:rsid w:val="00C735A7"/>
    <w:rsid w:val="00C7381F"/>
    <w:rsid w:val="00C738FC"/>
    <w:rsid w:val="00C73A06"/>
    <w:rsid w:val="00C742AB"/>
    <w:rsid w:val="00C7450D"/>
    <w:rsid w:val="00C7475C"/>
    <w:rsid w:val="00C7499D"/>
    <w:rsid w:val="00C74AF9"/>
    <w:rsid w:val="00C74C98"/>
    <w:rsid w:val="00C74D1E"/>
    <w:rsid w:val="00C74F1E"/>
    <w:rsid w:val="00C755DC"/>
    <w:rsid w:val="00C7584F"/>
    <w:rsid w:val="00C758E1"/>
    <w:rsid w:val="00C75BF9"/>
    <w:rsid w:val="00C75CCC"/>
    <w:rsid w:val="00C7628E"/>
    <w:rsid w:val="00C7676C"/>
    <w:rsid w:val="00C76FAC"/>
    <w:rsid w:val="00C77B86"/>
    <w:rsid w:val="00C77E7E"/>
    <w:rsid w:val="00C80180"/>
    <w:rsid w:val="00C80334"/>
    <w:rsid w:val="00C80601"/>
    <w:rsid w:val="00C8071B"/>
    <w:rsid w:val="00C8099F"/>
    <w:rsid w:val="00C80D59"/>
    <w:rsid w:val="00C80D5C"/>
    <w:rsid w:val="00C81064"/>
    <w:rsid w:val="00C81095"/>
    <w:rsid w:val="00C81245"/>
    <w:rsid w:val="00C8161F"/>
    <w:rsid w:val="00C81F4E"/>
    <w:rsid w:val="00C82089"/>
    <w:rsid w:val="00C821EA"/>
    <w:rsid w:val="00C82957"/>
    <w:rsid w:val="00C82BE6"/>
    <w:rsid w:val="00C8311A"/>
    <w:rsid w:val="00C83533"/>
    <w:rsid w:val="00C8393A"/>
    <w:rsid w:val="00C83A43"/>
    <w:rsid w:val="00C83B23"/>
    <w:rsid w:val="00C83CEA"/>
    <w:rsid w:val="00C83DC2"/>
    <w:rsid w:val="00C83F94"/>
    <w:rsid w:val="00C8437D"/>
    <w:rsid w:val="00C84734"/>
    <w:rsid w:val="00C847C1"/>
    <w:rsid w:val="00C84AC7"/>
    <w:rsid w:val="00C84B94"/>
    <w:rsid w:val="00C84CE5"/>
    <w:rsid w:val="00C84D6B"/>
    <w:rsid w:val="00C8566F"/>
    <w:rsid w:val="00C8574E"/>
    <w:rsid w:val="00C859AE"/>
    <w:rsid w:val="00C85B0A"/>
    <w:rsid w:val="00C85B1B"/>
    <w:rsid w:val="00C85EB3"/>
    <w:rsid w:val="00C86E18"/>
    <w:rsid w:val="00C8710F"/>
    <w:rsid w:val="00C871FD"/>
    <w:rsid w:val="00C873DD"/>
    <w:rsid w:val="00C87C43"/>
    <w:rsid w:val="00C87F56"/>
    <w:rsid w:val="00C902B1"/>
    <w:rsid w:val="00C90439"/>
    <w:rsid w:val="00C9079C"/>
    <w:rsid w:val="00C90961"/>
    <w:rsid w:val="00C90ECC"/>
    <w:rsid w:val="00C90F21"/>
    <w:rsid w:val="00C90F41"/>
    <w:rsid w:val="00C91050"/>
    <w:rsid w:val="00C9137F"/>
    <w:rsid w:val="00C91444"/>
    <w:rsid w:val="00C91A9D"/>
    <w:rsid w:val="00C91BA9"/>
    <w:rsid w:val="00C91C90"/>
    <w:rsid w:val="00C91F5C"/>
    <w:rsid w:val="00C91F7F"/>
    <w:rsid w:val="00C92212"/>
    <w:rsid w:val="00C92443"/>
    <w:rsid w:val="00C92737"/>
    <w:rsid w:val="00C928D7"/>
    <w:rsid w:val="00C929F2"/>
    <w:rsid w:val="00C92DED"/>
    <w:rsid w:val="00C931E5"/>
    <w:rsid w:val="00C933B3"/>
    <w:rsid w:val="00C9363A"/>
    <w:rsid w:val="00C93B0E"/>
    <w:rsid w:val="00C9414C"/>
    <w:rsid w:val="00C941CF"/>
    <w:rsid w:val="00C9423E"/>
    <w:rsid w:val="00C943D0"/>
    <w:rsid w:val="00C94F62"/>
    <w:rsid w:val="00C95CB5"/>
    <w:rsid w:val="00C95DBE"/>
    <w:rsid w:val="00C968A6"/>
    <w:rsid w:val="00C96C41"/>
    <w:rsid w:val="00C96F1D"/>
    <w:rsid w:val="00C971D6"/>
    <w:rsid w:val="00C974C4"/>
    <w:rsid w:val="00C97929"/>
    <w:rsid w:val="00C97969"/>
    <w:rsid w:val="00C979D0"/>
    <w:rsid w:val="00C97AE5"/>
    <w:rsid w:val="00C97E18"/>
    <w:rsid w:val="00CA0123"/>
    <w:rsid w:val="00CA0189"/>
    <w:rsid w:val="00CA107F"/>
    <w:rsid w:val="00CA1498"/>
    <w:rsid w:val="00CA175B"/>
    <w:rsid w:val="00CA1815"/>
    <w:rsid w:val="00CA1D0A"/>
    <w:rsid w:val="00CA1D86"/>
    <w:rsid w:val="00CA1EDF"/>
    <w:rsid w:val="00CA1F3A"/>
    <w:rsid w:val="00CA1F60"/>
    <w:rsid w:val="00CA21DF"/>
    <w:rsid w:val="00CA26DD"/>
    <w:rsid w:val="00CA2755"/>
    <w:rsid w:val="00CA34A2"/>
    <w:rsid w:val="00CA35EB"/>
    <w:rsid w:val="00CA39FC"/>
    <w:rsid w:val="00CA3ED3"/>
    <w:rsid w:val="00CA410E"/>
    <w:rsid w:val="00CA41E6"/>
    <w:rsid w:val="00CA425A"/>
    <w:rsid w:val="00CA42B1"/>
    <w:rsid w:val="00CA447E"/>
    <w:rsid w:val="00CA4C91"/>
    <w:rsid w:val="00CA4F98"/>
    <w:rsid w:val="00CA5452"/>
    <w:rsid w:val="00CA559E"/>
    <w:rsid w:val="00CA57E5"/>
    <w:rsid w:val="00CA5871"/>
    <w:rsid w:val="00CA5905"/>
    <w:rsid w:val="00CA5963"/>
    <w:rsid w:val="00CA59FA"/>
    <w:rsid w:val="00CA5FEA"/>
    <w:rsid w:val="00CA611F"/>
    <w:rsid w:val="00CA6342"/>
    <w:rsid w:val="00CA685A"/>
    <w:rsid w:val="00CA6C0A"/>
    <w:rsid w:val="00CA6CAA"/>
    <w:rsid w:val="00CA6D16"/>
    <w:rsid w:val="00CA6EAB"/>
    <w:rsid w:val="00CA6FC4"/>
    <w:rsid w:val="00CA7618"/>
    <w:rsid w:val="00CA76D6"/>
    <w:rsid w:val="00CA7743"/>
    <w:rsid w:val="00CA7FE7"/>
    <w:rsid w:val="00CB004D"/>
    <w:rsid w:val="00CB0098"/>
    <w:rsid w:val="00CB060B"/>
    <w:rsid w:val="00CB0CDF"/>
    <w:rsid w:val="00CB0F29"/>
    <w:rsid w:val="00CB0FE7"/>
    <w:rsid w:val="00CB19C6"/>
    <w:rsid w:val="00CB1B3E"/>
    <w:rsid w:val="00CB1D45"/>
    <w:rsid w:val="00CB1DDE"/>
    <w:rsid w:val="00CB1FE9"/>
    <w:rsid w:val="00CB20C7"/>
    <w:rsid w:val="00CB2324"/>
    <w:rsid w:val="00CB2477"/>
    <w:rsid w:val="00CB24D3"/>
    <w:rsid w:val="00CB27FD"/>
    <w:rsid w:val="00CB28CE"/>
    <w:rsid w:val="00CB2F48"/>
    <w:rsid w:val="00CB3075"/>
    <w:rsid w:val="00CB3211"/>
    <w:rsid w:val="00CB35FA"/>
    <w:rsid w:val="00CB3905"/>
    <w:rsid w:val="00CB398A"/>
    <w:rsid w:val="00CB40B7"/>
    <w:rsid w:val="00CB4665"/>
    <w:rsid w:val="00CB4B05"/>
    <w:rsid w:val="00CB4B06"/>
    <w:rsid w:val="00CB4B4C"/>
    <w:rsid w:val="00CB4BBB"/>
    <w:rsid w:val="00CB50A7"/>
    <w:rsid w:val="00CB528D"/>
    <w:rsid w:val="00CB5674"/>
    <w:rsid w:val="00CB5874"/>
    <w:rsid w:val="00CB58F2"/>
    <w:rsid w:val="00CB5B45"/>
    <w:rsid w:val="00CB635C"/>
    <w:rsid w:val="00CB679C"/>
    <w:rsid w:val="00CB67FD"/>
    <w:rsid w:val="00CB6C49"/>
    <w:rsid w:val="00CB6CD3"/>
    <w:rsid w:val="00CB7318"/>
    <w:rsid w:val="00CB7321"/>
    <w:rsid w:val="00CB7739"/>
    <w:rsid w:val="00CB7B47"/>
    <w:rsid w:val="00CB7E0A"/>
    <w:rsid w:val="00CC07BA"/>
    <w:rsid w:val="00CC07F0"/>
    <w:rsid w:val="00CC0D96"/>
    <w:rsid w:val="00CC139C"/>
    <w:rsid w:val="00CC15BC"/>
    <w:rsid w:val="00CC16C2"/>
    <w:rsid w:val="00CC1DFC"/>
    <w:rsid w:val="00CC2075"/>
    <w:rsid w:val="00CC240A"/>
    <w:rsid w:val="00CC2D5B"/>
    <w:rsid w:val="00CC3027"/>
    <w:rsid w:val="00CC326C"/>
    <w:rsid w:val="00CC3313"/>
    <w:rsid w:val="00CC3358"/>
    <w:rsid w:val="00CC34A2"/>
    <w:rsid w:val="00CC3602"/>
    <w:rsid w:val="00CC37DA"/>
    <w:rsid w:val="00CC3829"/>
    <w:rsid w:val="00CC390D"/>
    <w:rsid w:val="00CC3932"/>
    <w:rsid w:val="00CC39BE"/>
    <w:rsid w:val="00CC3F53"/>
    <w:rsid w:val="00CC420B"/>
    <w:rsid w:val="00CC421B"/>
    <w:rsid w:val="00CC49DB"/>
    <w:rsid w:val="00CC4F89"/>
    <w:rsid w:val="00CC5D02"/>
    <w:rsid w:val="00CC650E"/>
    <w:rsid w:val="00CC6803"/>
    <w:rsid w:val="00CC6E9B"/>
    <w:rsid w:val="00CC709C"/>
    <w:rsid w:val="00CC70EB"/>
    <w:rsid w:val="00CC71D5"/>
    <w:rsid w:val="00CC7597"/>
    <w:rsid w:val="00CD0B34"/>
    <w:rsid w:val="00CD0C81"/>
    <w:rsid w:val="00CD0E0A"/>
    <w:rsid w:val="00CD121A"/>
    <w:rsid w:val="00CD1523"/>
    <w:rsid w:val="00CD1BC6"/>
    <w:rsid w:val="00CD20D2"/>
    <w:rsid w:val="00CD2435"/>
    <w:rsid w:val="00CD27EE"/>
    <w:rsid w:val="00CD28DF"/>
    <w:rsid w:val="00CD2DA9"/>
    <w:rsid w:val="00CD3814"/>
    <w:rsid w:val="00CD3B61"/>
    <w:rsid w:val="00CD3D15"/>
    <w:rsid w:val="00CD3E86"/>
    <w:rsid w:val="00CD3EBC"/>
    <w:rsid w:val="00CD4279"/>
    <w:rsid w:val="00CD42D9"/>
    <w:rsid w:val="00CD4331"/>
    <w:rsid w:val="00CD4347"/>
    <w:rsid w:val="00CD4593"/>
    <w:rsid w:val="00CD45FF"/>
    <w:rsid w:val="00CD4A83"/>
    <w:rsid w:val="00CD4AEA"/>
    <w:rsid w:val="00CD4B4F"/>
    <w:rsid w:val="00CD563F"/>
    <w:rsid w:val="00CD595A"/>
    <w:rsid w:val="00CD597C"/>
    <w:rsid w:val="00CD5BF9"/>
    <w:rsid w:val="00CD5C60"/>
    <w:rsid w:val="00CD5E89"/>
    <w:rsid w:val="00CD607B"/>
    <w:rsid w:val="00CD64C1"/>
    <w:rsid w:val="00CD6ABB"/>
    <w:rsid w:val="00CD6B6A"/>
    <w:rsid w:val="00CD6CAC"/>
    <w:rsid w:val="00CD708B"/>
    <w:rsid w:val="00CD75CD"/>
    <w:rsid w:val="00CD76B1"/>
    <w:rsid w:val="00CD77A4"/>
    <w:rsid w:val="00CE0E47"/>
    <w:rsid w:val="00CE10BD"/>
    <w:rsid w:val="00CE1136"/>
    <w:rsid w:val="00CE185B"/>
    <w:rsid w:val="00CE19D9"/>
    <w:rsid w:val="00CE1B26"/>
    <w:rsid w:val="00CE1CB3"/>
    <w:rsid w:val="00CE1DD9"/>
    <w:rsid w:val="00CE1DE8"/>
    <w:rsid w:val="00CE1F17"/>
    <w:rsid w:val="00CE22C2"/>
    <w:rsid w:val="00CE2565"/>
    <w:rsid w:val="00CE2724"/>
    <w:rsid w:val="00CE2C6B"/>
    <w:rsid w:val="00CE2C96"/>
    <w:rsid w:val="00CE32E9"/>
    <w:rsid w:val="00CE35A8"/>
    <w:rsid w:val="00CE3721"/>
    <w:rsid w:val="00CE38D7"/>
    <w:rsid w:val="00CE3A8D"/>
    <w:rsid w:val="00CE4294"/>
    <w:rsid w:val="00CE4383"/>
    <w:rsid w:val="00CE49BC"/>
    <w:rsid w:val="00CE4A0C"/>
    <w:rsid w:val="00CE4A6B"/>
    <w:rsid w:val="00CE4D54"/>
    <w:rsid w:val="00CE4DE2"/>
    <w:rsid w:val="00CE59B7"/>
    <w:rsid w:val="00CE5B37"/>
    <w:rsid w:val="00CE5BC6"/>
    <w:rsid w:val="00CE5BCF"/>
    <w:rsid w:val="00CE5C73"/>
    <w:rsid w:val="00CE5F72"/>
    <w:rsid w:val="00CE605B"/>
    <w:rsid w:val="00CE608E"/>
    <w:rsid w:val="00CE65D4"/>
    <w:rsid w:val="00CE6843"/>
    <w:rsid w:val="00CE6CFD"/>
    <w:rsid w:val="00CE6EFE"/>
    <w:rsid w:val="00CE70BB"/>
    <w:rsid w:val="00CE7953"/>
    <w:rsid w:val="00CE7A7B"/>
    <w:rsid w:val="00CE7BDE"/>
    <w:rsid w:val="00CE7C4D"/>
    <w:rsid w:val="00CE7F13"/>
    <w:rsid w:val="00CF00C0"/>
    <w:rsid w:val="00CF024F"/>
    <w:rsid w:val="00CF080C"/>
    <w:rsid w:val="00CF0BF5"/>
    <w:rsid w:val="00CF0D6B"/>
    <w:rsid w:val="00CF1B8B"/>
    <w:rsid w:val="00CF1DCF"/>
    <w:rsid w:val="00CF256F"/>
    <w:rsid w:val="00CF26BF"/>
    <w:rsid w:val="00CF2A6D"/>
    <w:rsid w:val="00CF2B37"/>
    <w:rsid w:val="00CF2BC1"/>
    <w:rsid w:val="00CF309F"/>
    <w:rsid w:val="00CF3C8E"/>
    <w:rsid w:val="00CF3E19"/>
    <w:rsid w:val="00CF3E54"/>
    <w:rsid w:val="00CF3FB2"/>
    <w:rsid w:val="00CF4032"/>
    <w:rsid w:val="00CF435B"/>
    <w:rsid w:val="00CF458F"/>
    <w:rsid w:val="00CF4680"/>
    <w:rsid w:val="00CF49E3"/>
    <w:rsid w:val="00CF4F8F"/>
    <w:rsid w:val="00CF53D7"/>
    <w:rsid w:val="00CF6026"/>
    <w:rsid w:val="00CF62DE"/>
    <w:rsid w:val="00CF66A7"/>
    <w:rsid w:val="00CF6BC8"/>
    <w:rsid w:val="00CF713F"/>
    <w:rsid w:val="00CF76B8"/>
    <w:rsid w:val="00CF787C"/>
    <w:rsid w:val="00CF7DE7"/>
    <w:rsid w:val="00D004BE"/>
    <w:rsid w:val="00D006B6"/>
    <w:rsid w:val="00D0084E"/>
    <w:rsid w:val="00D00852"/>
    <w:rsid w:val="00D00908"/>
    <w:rsid w:val="00D00DBC"/>
    <w:rsid w:val="00D00F12"/>
    <w:rsid w:val="00D00FC8"/>
    <w:rsid w:val="00D010E5"/>
    <w:rsid w:val="00D01345"/>
    <w:rsid w:val="00D0135F"/>
    <w:rsid w:val="00D0165E"/>
    <w:rsid w:val="00D01836"/>
    <w:rsid w:val="00D01888"/>
    <w:rsid w:val="00D01D11"/>
    <w:rsid w:val="00D02196"/>
    <w:rsid w:val="00D0254E"/>
    <w:rsid w:val="00D026A2"/>
    <w:rsid w:val="00D030F5"/>
    <w:rsid w:val="00D03586"/>
    <w:rsid w:val="00D035B7"/>
    <w:rsid w:val="00D038D6"/>
    <w:rsid w:val="00D03901"/>
    <w:rsid w:val="00D03B28"/>
    <w:rsid w:val="00D03FCB"/>
    <w:rsid w:val="00D04A94"/>
    <w:rsid w:val="00D051D6"/>
    <w:rsid w:val="00D053FD"/>
    <w:rsid w:val="00D05726"/>
    <w:rsid w:val="00D05A9F"/>
    <w:rsid w:val="00D05D70"/>
    <w:rsid w:val="00D060B2"/>
    <w:rsid w:val="00D06372"/>
    <w:rsid w:val="00D0640E"/>
    <w:rsid w:val="00D06B5C"/>
    <w:rsid w:val="00D06CCC"/>
    <w:rsid w:val="00D06E6F"/>
    <w:rsid w:val="00D06FFA"/>
    <w:rsid w:val="00D074C6"/>
    <w:rsid w:val="00D075C6"/>
    <w:rsid w:val="00D07711"/>
    <w:rsid w:val="00D07D15"/>
    <w:rsid w:val="00D07F80"/>
    <w:rsid w:val="00D101F6"/>
    <w:rsid w:val="00D10501"/>
    <w:rsid w:val="00D106AA"/>
    <w:rsid w:val="00D10BE9"/>
    <w:rsid w:val="00D1144F"/>
    <w:rsid w:val="00D11655"/>
    <w:rsid w:val="00D11A43"/>
    <w:rsid w:val="00D11C8B"/>
    <w:rsid w:val="00D11DBF"/>
    <w:rsid w:val="00D125CF"/>
    <w:rsid w:val="00D125DA"/>
    <w:rsid w:val="00D12642"/>
    <w:rsid w:val="00D12710"/>
    <w:rsid w:val="00D127E9"/>
    <w:rsid w:val="00D12C8C"/>
    <w:rsid w:val="00D12FEA"/>
    <w:rsid w:val="00D1345F"/>
    <w:rsid w:val="00D13873"/>
    <w:rsid w:val="00D138FF"/>
    <w:rsid w:val="00D139EC"/>
    <w:rsid w:val="00D13A46"/>
    <w:rsid w:val="00D13AC4"/>
    <w:rsid w:val="00D13D30"/>
    <w:rsid w:val="00D140F7"/>
    <w:rsid w:val="00D14535"/>
    <w:rsid w:val="00D1472E"/>
    <w:rsid w:val="00D14E7B"/>
    <w:rsid w:val="00D14FB9"/>
    <w:rsid w:val="00D15124"/>
    <w:rsid w:val="00D15215"/>
    <w:rsid w:val="00D15413"/>
    <w:rsid w:val="00D1561D"/>
    <w:rsid w:val="00D156B5"/>
    <w:rsid w:val="00D156DA"/>
    <w:rsid w:val="00D1577F"/>
    <w:rsid w:val="00D15973"/>
    <w:rsid w:val="00D15AAF"/>
    <w:rsid w:val="00D16110"/>
    <w:rsid w:val="00D169FC"/>
    <w:rsid w:val="00D16CC9"/>
    <w:rsid w:val="00D16D74"/>
    <w:rsid w:val="00D17954"/>
    <w:rsid w:val="00D17C90"/>
    <w:rsid w:val="00D17D7F"/>
    <w:rsid w:val="00D17DEB"/>
    <w:rsid w:val="00D17EE8"/>
    <w:rsid w:val="00D2015F"/>
    <w:rsid w:val="00D203A4"/>
    <w:rsid w:val="00D20A2C"/>
    <w:rsid w:val="00D20EB4"/>
    <w:rsid w:val="00D20EBB"/>
    <w:rsid w:val="00D213E9"/>
    <w:rsid w:val="00D21CFC"/>
    <w:rsid w:val="00D227A0"/>
    <w:rsid w:val="00D227C4"/>
    <w:rsid w:val="00D22CA4"/>
    <w:rsid w:val="00D23121"/>
    <w:rsid w:val="00D235EF"/>
    <w:rsid w:val="00D239A2"/>
    <w:rsid w:val="00D23D9E"/>
    <w:rsid w:val="00D2413E"/>
    <w:rsid w:val="00D241A7"/>
    <w:rsid w:val="00D247A7"/>
    <w:rsid w:val="00D249C7"/>
    <w:rsid w:val="00D24CE2"/>
    <w:rsid w:val="00D25465"/>
    <w:rsid w:val="00D2569E"/>
    <w:rsid w:val="00D258AE"/>
    <w:rsid w:val="00D258DB"/>
    <w:rsid w:val="00D26474"/>
    <w:rsid w:val="00D27651"/>
    <w:rsid w:val="00D27B2A"/>
    <w:rsid w:val="00D27B7A"/>
    <w:rsid w:val="00D302D7"/>
    <w:rsid w:val="00D308FC"/>
    <w:rsid w:val="00D30CB9"/>
    <w:rsid w:val="00D30D05"/>
    <w:rsid w:val="00D30D30"/>
    <w:rsid w:val="00D30E72"/>
    <w:rsid w:val="00D30F6D"/>
    <w:rsid w:val="00D31362"/>
    <w:rsid w:val="00D31538"/>
    <w:rsid w:val="00D3177E"/>
    <w:rsid w:val="00D31AD4"/>
    <w:rsid w:val="00D31B27"/>
    <w:rsid w:val="00D31B6E"/>
    <w:rsid w:val="00D31E86"/>
    <w:rsid w:val="00D31F26"/>
    <w:rsid w:val="00D32047"/>
    <w:rsid w:val="00D32134"/>
    <w:rsid w:val="00D321AC"/>
    <w:rsid w:val="00D3224F"/>
    <w:rsid w:val="00D3252E"/>
    <w:rsid w:val="00D326C5"/>
    <w:rsid w:val="00D3274D"/>
    <w:rsid w:val="00D327D3"/>
    <w:rsid w:val="00D32825"/>
    <w:rsid w:val="00D32A44"/>
    <w:rsid w:val="00D32A71"/>
    <w:rsid w:val="00D32C16"/>
    <w:rsid w:val="00D32CBF"/>
    <w:rsid w:val="00D3306C"/>
    <w:rsid w:val="00D33300"/>
    <w:rsid w:val="00D33317"/>
    <w:rsid w:val="00D33B43"/>
    <w:rsid w:val="00D33B6C"/>
    <w:rsid w:val="00D33E95"/>
    <w:rsid w:val="00D33EB3"/>
    <w:rsid w:val="00D340CA"/>
    <w:rsid w:val="00D34192"/>
    <w:rsid w:val="00D3454C"/>
    <w:rsid w:val="00D34743"/>
    <w:rsid w:val="00D347E3"/>
    <w:rsid w:val="00D34B09"/>
    <w:rsid w:val="00D34B7A"/>
    <w:rsid w:val="00D34DE3"/>
    <w:rsid w:val="00D34E62"/>
    <w:rsid w:val="00D34E89"/>
    <w:rsid w:val="00D34F05"/>
    <w:rsid w:val="00D35178"/>
    <w:rsid w:val="00D351C9"/>
    <w:rsid w:val="00D352B2"/>
    <w:rsid w:val="00D35597"/>
    <w:rsid w:val="00D35D6D"/>
    <w:rsid w:val="00D35DE5"/>
    <w:rsid w:val="00D3637C"/>
    <w:rsid w:val="00D36389"/>
    <w:rsid w:val="00D368B0"/>
    <w:rsid w:val="00D373E4"/>
    <w:rsid w:val="00D3741C"/>
    <w:rsid w:val="00D37764"/>
    <w:rsid w:val="00D37A6A"/>
    <w:rsid w:val="00D37B07"/>
    <w:rsid w:val="00D37B29"/>
    <w:rsid w:val="00D37B49"/>
    <w:rsid w:val="00D37B94"/>
    <w:rsid w:val="00D37BDC"/>
    <w:rsid w:val="00D37F45"/>
    <w:rsid w:val="00D403D2"/>
    <w:rsid w:val="00D4043A"/>
    <w:rsid w:val="00D406A6"/>
    <w:rsid w:val="00D407FB"/>
    <w:rsid w:val="00D40C21"/>
    <w:rsid w:val="00D40F15"/>
    <w:rsid w:val="00D40F4D"/>
    <w:rsid w:val="00D4105E"/>
    <w:rsid w:val="00D41461"/>
    <w:rsid w:val="00D41D1F"/>
    <w:rsid w:val="00D42266"/>
    <w:rsid w:val="00D42600"/>
    <w:rsid w:val="00D42691"/>
    <w:rsid w:val="00D42864"/>
    <w:rsid w:val="00D42CC1"/>
    <w:rsid w:val="00D42E24"/>
    <w:rsid w:val="00D42EE1"/>
    <w:rsid w:val="00D43079"/>
    <w:rsid w:val="00D4307D"/>
    <w:rsid w:val="00D431AE"/>
    <w:rsid w:val="00D43AE7"/>
    <w:rsid w:val="00D43B24"/>
    <w:rsid w:val="00D43E6C"/>
    <w:rsid w:val="00D446BC"/>
    <w:rsid w:val="00D44A44"/>
    <w:rsid w:val="00D44D01"/>
    <w:rsid w:val="00D44E0C"/>
    <w:rsid w:val="00D44E36"/>
    <w:rsid w:val="00D44F4C"/>
    <w:rsid w:val="00D45DCC"/>
    <w:rsid w:val="00D46107"/>
    <w:rsid w:val="00D46461"/>
    <w:rsid w:val="00D4650B"/>
    <w:rsid w:val="00D46576"/>
    <w:rsid w:val="00D46936"/>
    <w:rsid w:val="00D4710C"/>
    <w:rsid w:val="00D475CE"/>
    <w:rsid w:val="00D478B7"/>
    <w:rsid w:val="00D47949"/>
    <w:rsid w:val="00D47B59"/>
    <w:rsid w:val="00D47B75"/>
    <w:rsid w:val="00D47C23"/>
    <w:rsid w:val="00D47C5F"/>
    <w:rsid w:val="00D47D2A"/>
    <w:rsid w:val="00D47EE8"/>
    <w:rsid w:val="00D50287"/>
    <w:rsid w:val="00D50386"/>
    <w:rsid w:val="00D503F8"/>
    <w:rsid w:val="00D50854"/>
    <w:rsid w:val="00D50899"/>
    <w:rsid w:val="00D50F1B"/>
    <w:rsid w:val="00D51073"/>
    <w:rsid w:val="00D510A0"/>
    <w:rsid w:val="00D516CC"/>
    <w:rsid w:val="00D51810"/>
    <w:rsid w:val="00D518FA"/>
    <w:rsid w:val="00D519DC"/>
    <w:rsid w:val="00D520A4"/>
    <w:rsid w:val="00D52A58"/>
    <w:rsid w:val="00D52AFA"/>
    <w:rsid w:val="00D52B35"/>
    <w:rsid w:val="00D52C40"/>
    <w:rsid w:val="00D52E9E"/>
    <w:rsid w:val="00D52FC6"/>
    <w:rsid w:val="00D5310A"/>
    <w:rsid w:val="00D53BD1"/>
    <w:rsid w:val="00D53FBA"/>
    <w:rsid w:val="00D54158"/>
    <w:rsid w:val="00D541FA"/>
    <w:rsid w:val="00D542AF"/>
    <w:rsid w:val="00D550E6"/>
    <w:rsid w:val="00D55102"/>
    <w:rsid w:val="00D55318"/>
    <w:rsid w:val="00D5536C"/>
    <w:rsid w:val="00D5586C"/>
    <w:rsid w:val="00D55B4B"/>
    <w:rsid w:val="00D56166"/>
    <w:rsid w:val="00D5624F"/>
    <w:rsid w:val="00D56515"/>
    <w:rsid w:val="00D565DB"/>
    <w:rsid w:val="00D5688B"/>
    <w:rsid w:val="00D56FD1"/>
    <w:rsid w:val="00D571F5"/>
    <w:rsid w:val="00D5723A"/>
    <w:rsid w:val="00D576D2"/>
    <w:rsid w:val="00D57734"/>
    <w:rsid w:val="00D57C52"/>
    <w:rsid w:val="00D57D0A"/>
    <w:rsid w:val="00D601A7"/>
    <w:rsid w:val="00D6026F"/>
    <w:rsid w:val="00D604CF"/>
    <w:rsid w:val="00D60B53"/>
    <w:rsid w:val="00D60C19"/>
    <w:rsid w:val="00D60DAA"/>
    <w:rsid w:val="00D61868"/>
    <w:rsid w:val="00D61BBC"/>
    <w:rsid w:val="00D61EF7"/>
    <w:rsid w:val="00D621A0"/>
    <w:rsid w:val="00D624FA"/>
    <w:rsid w:val="00D62782"/>
    <w:rsid w:val="00D629CC"/>
    <w:rsid w:val="00D62D26"/>
    <w:rsid w:val="00D62E41"/>
    <w:rsid w:val="00D62FBB"/>
    <w:rsid w:val="00D63078"/>
    <w:rsid w:val="00D63271"/>
    <w:rsid w:val="00D6345C"/>
    <w:rsid w:val="00D635C5"/>
    <w:rsid w:val="00D63995"/>
    <w:rsid w:val="00D63C7D"/>
    <w:rsid w:val="00D63D53"/>
    <w:rsid w:val="00D63D72"/>
    <w:rsid w:val="00D64A48"/>
    <w:rsid w:val="00D64CB4"/>
    <w:rsid w:val="00D64F26"/>
    <w:rsid w:val="00D653C3"/>
    <w:rsid w:val="00D6554A"/>
    <w:rsid w:val="00D65CEB"/>
    <w:rsid w:val="00D65D8F"/>
    <w:rsid w:val="00D66117"/>
    <w:rsid w:val="00D6642D"/>
    <w:rsid w:val="00D66C02"/>
    <w:rsid w:val="00D66FE7"/>
    <w:rsid w:val="00D67669"/>
    <w:rsid w:val="00D676DB"/>
    <w:rsid w:val="00D6771F"/>
    <w:rsid w:val="00D677D2"/>
    <w:rsid w:val="00D67AB8"/>
    <w:rsid w:val="00D67D06"/>
    <w:rsid w:val="00D7045A"/>
    <w:rsid w:val="00D70DEC"/>
    <w:rsid w:val="00D70E0F"/>
    <w:rsid w:val="00D7111F"/>
    <w:rsid w:val="00D711B8"/>
    <w:rsid w:val="00D714CD"/>
    <w:rsid w:val="00D7155C"/>
    <w:rsid w:val="00D71944"/>
    <w:rsid w:val="00D72066"/>
    <w:rsid w:val="00D72181"/>
    <w:rsid w:val="00D72719"/>
    <w:rsid w:val="00D72797"/>
    <w:rsid w:val="00D7318C"/>
    <w:rsid w:val="00D731D2"/>
    <w:rsid w:val="00D7326C"/>
    <w:rsid w:val="00D7345B"/>
    <w:rsid w:val="00D7357B"/>
    <w:rsid w:val="00D73801"/>
    <w:rsid w:val="00D73816"/>
    <w:rsid w:val="00D73950"/>
    <w:rsid w:val="00D7396F"/>
    <w:rsid w:val="00D73C42"/>
    <w:rsid w:val="00D73D89"/>
    <w:rsid w:val="00D74005"/>
    <w:rsid w:val="00D744AD"/>
    <w:rsid w:val="00D747EF"/>
    <w:rsid w:val="00D74AFD"/>
    <w:rsid w:val="00D74F65"/>
    <w:rsid w:val="00D75188"/>
    <w:rsid w:val="00D7523E"/>
    <w:rsid w:val="00D752C6"/>
    <w:rsid w:val="00D75927"/>
    <w:rsid w:val="00D7596B"/>
    <w:rsid w:val="00D75A8D"/>
    <w:rsid w:val="00D75F04"/>
    <w:rsid w:val="00D76158"/>
    <w:rsid w:val="00D76237"/>
    <w:rsid w:val="00D76278"/>
    <w:rsid w:val="00D762CF"/>
    <w:rsid w:val="00D76439"/>
    <w:rsid w:val="00D764FC"/>
    <w:rsid w:val="00D7653D"/>
    <w:rsid w:val="00D766C2"/>
    <w:rsid w:val="00D76A33"/>
    <w:rsid w:val="00D77071"/>
    <w:rsid w:val="00D772BF"/>
    <w:rsid w:val="00D77EDB"/>
    <w:rsid w:val="00D80013"/>
    <w:rsid w:val="00D8031C"/>
    <w:rsid w:val="00D8045B"/>
    <w:rsid w:val="00D8073E"/>
    <w:rsid w:val="00D80A8A"/>
    <w:rsid w:val="00D80B26"/>
    <w:rsid w:val="00D8101E"/>
    <w:rsid w:val="00D81196"/>
    <w:rsid w:val="00D81451"/>
    <w:rsid w:val="00D81461"/>
    <w:rsid w:val="00D81745"/>
    <w:rsid w:val="00D819AB"/>
    <w:rsid w:val="00D819D8"/>
    <w:rsid w:val="00D81AB4"/>
    <w:rsid w:val="00D81AF1"/>
    <w:rsid w:val="00D81B72"/>
    <w:rsid w:val="00D81C58"/>
    <w:rsid w:val="00D81F6C"/>
    <w:rsid w:val="00D82022"/>
    <w:rsid w:val="00D82665"/>
    <w:rsid w:val="00D830FB"/>
    <w:rsid w:val="00D831AF"/>
    <w:rsid w:val="00D833A5"/>
    <w:rsid w:val="00D8371F"/>
    <w:rsid w:val="00D838FC"/>
    <w:rsid w:val="00D83946"/>
    <w:rsid w:val="00D8396F"/>
    <w:rsid w:val="00D83A94"/>
    <w:rsid w:val="00D83E87"/>
    <w:rsid w:val="00D83ECD"/>
    <w:rsid w:val="00D843D7"/>
    <w:rsid w:val="00D844F8"/>
    <w:rsid w:val="00D84915"/>
    <w:rsid w:val="00D8498F"/>
    <w:rsid w:val="00D84E4B"/>
    <w:rsid w:val="00D854D7"/>
    <w:rsid w:val="00D85A25"/>
    <w:rsid w:val="00D85BAA"/>
    <w:rsid w:val="00D8626D"/>
    <w:rsid w:val="00D86613"/>
    <w:rsid w:val="00D86939"/>
    <w:rsid w:val="00D86BB7"/>
    <w:rsid w:val="00D86D9B"/>
    <w:rsid w:val="00D86DFE"/>
    <w:rsid w:val="00D86E89"/>
    <w:rsid w:val="00D87497"/>
    <w:rsid w:val="00D87586"/>
    <w:rsid w:val="00D876B4"/>
    <w:rsid w:val="00D87A97"/>
    <w:rsid w:val="00D87D13"/>
    <w:rsid w:val="00D87F05"/>
    <w:rsid w:val="00D90264"/>
    <w:rsid w:val="00D90345"/>
    <w:rsid w:val="00D9038B"/>
    <w:rsid w:val="00D906AD"/>
    <w:rsid w:val="00D90A8D"/>
    <w:rsid w:val="00D90D14"/>
    <w:rsid w:val="00D90D68"/>
    <w:rsid w:val="00D913E2"/>
    <w:rsid w:val="00D91554"/>
    <w:rsid w:val="00D91568"/>
    <w:rsid w:val="00D91582"/>
    <w:rsid w:val="00D917CC"/>
    <w:rsid w:val="00D918CD"/>
    <w:rsid w:val="00D91932"/>
    <w:rsid w:val="00D91B10"/>
    <w:rsid w:val="00D91B2F"/>
    <w:rsid w:val="00D9214F"/>
    <w:rsid w:val="00D92A4E"/>
    <w:rsid w:val="00D930BE"/>
    <w:rsid w:val="00D933C6"/>
    <w:rsid w:val="00D933E9"/>
    <w:rsid w:val="00D934D1"/>
    <w:rsid w:val="00D93538"/>
    <w:rsid w:val="00D935FE"/>
    <w:rsid w:val="00D93C2C"/>
    <w:rsid w:val="00D942E1"/>
    <w:rsid w:val="00D94AC5"/>
    <w:rsid w:val="00D94E07"/>
    <w:rsid w:val="00D951C5"/>
    <w:rsid w:val="00D956C5"/>
    <w:rsid w:val="00D95909"/>
    <w:rsid w:val="00D95BB2"/>
    <w:rsid w:val="00D96023"/>
    <w:rsid w:val="00D961A8"/>
    <w:rsid w:val="00D961DF"/>
    <w:rsid w:val="00D9687D"/>
    <w:rsid w:val="00D96CF0"/>
    <w:rsid w:val="00D96D2C"/>
    <w:rsid w:val="00D96E09"/>
    <w:rsid w:val="00D96F0E"/>
    <w:rsid w:val="00D975A6"/>
    <w:rsid w:val="00D975F0"/>
    <w:rsid w:val="00D97A34"/>
    <w:rsid w:val="00D97D0E"/>
    <w:rsid w:val="00D97D5E"/>
    <w:rsid w:val="00D97D64"/>
    <w:rsid w:val="00D97FFD"/>
    <w:rsid w:val="00DA034F"/>
    <w:rsid w:val="00DA08AE"/>
    <w:rsid w:val="00DA0F44"/>
    <w:rsid w:val="00DA108E"/>
    <w:rsid w:val="00DA10A2"/>
    <w:rsid w:val="00DA11DE"/>
    <w:rsid w:val="00DA1426"/>
    <w:rsid w:val="00DA18B6"/>
    <w:rsid w:val="00DA1A08"/>
    <w:rsid w:val="00DA1A17"/>
    <w:rsid w:val="00DA1AB1"/>
    <w:rsid w:val="00DA1B74"/>
    <w:rsid w:val="00DA1C80"/>
    <w:rsid w:val="00DA1E67"/>
    <w:rsid w:val="00DA23AD"/>
    <w:rsid w:val="00DA23E4"/>
    <w:rsid w:val="00DA25C6"/>
    <w:rsid w:val="00DA263C"/>
    <w:rsid w:val="00DA2EA0"/>
    <w:rsid w:val="00DA2FC9"/>
    <w:rsid w:val="00DA311A"/>
    <w:rsid w:val="00DA31D3"/>
    <w:rsid w:val="00DA33CB"/>
    <w:rsid w:val="00DA3664"/>
    <w:rsid w:val="00DA3756"/>
    <w:rsid w:val="00DA37EB"/>
    <w:rsid w:val="00DA384F"/>
    <w:rsid w:val="00DA3CDA"/>
    <w:rsid w:val="00DA4017"/>
    <w:rsid w:val="00DA4130"/>
    <w:rsid w:val="00DA422C"/>
    <w:rsid w:val="00DA43BD"/>
    <w:rsid w:val="00DA4466"/>
    <w:rsid w:val="00DA4C6C"/>
    <w:rsid w:val="00DA4EA8"/>
    <w:rsid w:val="00DA4EBA"/>
    <w:rsid w:val="00DA5016"/>
    <w:rsid w:val="00DA54BF"/>
    <w:rsid w:val="00DA5A37"/>
    <w:rsid w:val="00DA5B94"/>
    <w:rsid w:val="00DA5CE5"/>
    <w:rsid w:val="00DA5E9A"/>
    <w:rsid w:val="00DA61D2"/>
    <w:rsid w:val="00DA62BD"/>
    <w:rsid w:val="00DA660A"/>
    <w:rsid w:val="00DA67AB"/>
    <w:rsid w:val="00DA6B5F"/>
    <w:rsid w:val="00DA6E6C"/>
    <w:rsid w:val="00DA70FF"/>
    <w:rsid w:val="00DA71C4"/>
    <w:rsid w:val="00DA722B"/>
    <w:rsid w:val="00DA72DC"/>
    <w:rsid w:val="00DA7768"/>
    <w:rsid w:val="00DA77E9"/>
    <w:rsid w:val="00DA7A15"/>
    <w:rsid w:val="00DB0583"/>
    <w:rsid w:val="00DB0734"/>
    <w:rsid w:val="00DB087D"/>
    <w:rsid w:val="00DB0A9F"/>
    <w:rsid w:val="00DB0F23"/>
    <w:rsid w:val="00DB1029"/>
    <w:rsid w:val="00DB1131"/>
    <w:rsid w:val="00DB150B"/>
    <w:rsid w:val="00DB15CB"/>
    <w:rsid w:val="00DB16ED"/>
    <w:rsid w:val="00DB173B"/>
    <w:rsid w:val="00DB17D3"/>
    <w:rsid w:val="00DB1B2B"/>
    <w:rsid w:val="00DB1B2D"/>
    <w:rsid w:val="00DB1C9E"/>
    <w:rsid w:val="00DB1D6D"/>
    <w:rsid w:val="00DB1F9D"/>
    <w:rsid w:val="00DB220E"/>
    <w:rsid w:val="00DB22F8"/>
    <w:rsid w:val="00DB2437"/>
    <w:rsid w:val="00DB2579"/>
    <w:rsid w:val="00DB2754"/>
    <w:rsid w:val="00DB2C39"/>
    <w:rsid w:val="00DB2F18"/>
    <w:rsid w:val="00DB2F83"/>
    <w:rsid w:val="00DB2FD0"/>
    <w:rsid w:val="00DB333C"/>
    <w:rsid w:val="00DB359A"/>
    <w:rsid w:val="00DB3AB0"/>
    <w:rsid w:val="00DB3F5C"/>
    <w:rsid w:val="00DB44B5"/>
    <w:rsid w:val="00DB4F07"/>
    <w:rsid w:val="00DB4F84"/>
    <w:rsid w:val="00DB51F8"/>
    <w:rsid w:val="00DB5742"/>
    <w:rsid w:val="00DB599C"/>
    <w:rsid w:val="00DB5C76"/>
    <w:rsid w:val="00DB5DA1"/>
    <w:rsid w:val="00DB64F9"/>
    <w:rsid w:val="00DB6635"/>
    <w:rsid w:val="00DB67CB"/>
    <w:rsid w:val="00DB6914"/>
    <w:rsid w:val="00DB6ABF"/>
    <w:rsid w:val="00DB6FBC"/>
    <w:rsid w:val="00DB70DB"/>
    <w:rsid w:val="00DB787D"/>
    <w:rsid w:val="00DB794D"/>
    <w:rsid w:val="00DB7A54"/>
    <w:rsid w:val="00DB7AE3"/>
    <w:rsid w:val="00DB7DC3"/>
    <w:rsid w:val="00DC0159"/>
    <w:rsid w:val="00DC01B7"/>
    <w:rsid w:val="00DC0500"/>
    <w:rsid w:val="00DC05A1"/>
    <w:rsid w:val="00DC07D1"/>
    <w:rsid w:val="00DC084E"/>
    <w:rsid w:val="00DC09D9"/>
    <w:rsid w:val="00DC1452"/>
    <w:rsid w:val="00DC14E0"/>
    <w:rsid w:val="00DC14F4"/>
    <w:rsid w:val="00DC172F"/>
    <w:rsid w:val="00DC193E"/>
    <w:rsid w:val="00DC1A20"/>
    <w:rsid w:val="00DC1E21"/>
    <w:rsid w:val="00DC1E5D"/>
    <w:rsid w:val="00DC2CDA"/>
    <w:rsid w:val="00DC2EDA"/>
    <w:rsid w:val="00DC339D"/>
    <w:rsid w:val="00DC3902"/>
    <w:rsid w:val="00DC3986"/>
    <w:rsid w:val="00DC3A1D"/>
    <w:rsid w:val="00DC3AF0"/>
    <w:rsid w:val="00DC3AF2"/>
    <w:rsid w:val="00DC3BD3"/>
    <w:rsid w:val="00DC431B"/>
    <w:rsid w:val="00DC464D"/>
    <w:rsid w:val="00DC46F3"/>
    <w:rsid w:val="00DC5090"/>
    <w:rsid w:val="00DC5293"/>
    <w:rsid w:val="00DC56FF"/>
    <w:rsid w:val="00DC5848"/>
    <w:rsid w:val="00DC58FE"/>
    <w:rsid w:val="00DC5D8F"/>
    <w:rsid w:val="00DC5ED0"/>
    <w:rsid w:val="00DC5EEA"/>
    <w:rsid w:val="00DC6040"/>
    <w:rsid w:val="00DC610F"/>
    <w:rsid w:val="00DC662E"/>
    <w:rsid w:val="00DC6857"/>
    <w:rsid w:val="00DC6C35"/>
    <w:rsid w:val="00DC70B8"/>
    <w:rsid w:val="00DC73F1"/>
    <w:rsid w:val="00DC7722"/>
    <w:rsid w:val="00DC7AC1"/>
    <w:rsid w:val="00DC7C68"/>
    <w:rsid w:val="00DC7D32"/>
    <w:rsid w:val="00DD0346"/>
    <w:rsid w:val="00DD057E"/>
    <w:rsid w:val="00DD0A3C"/>
    <w:rsid w:val="00DD0A4F"/>
    <w:rsid w:val="00DD1675"/>
    <w:rsid w:val="00DD1835"/>
    <w:rsid w:val="00DD1854"/>
    <w:rsid w:val="00DD20DC"/>
    <w:rsid w:val="00DD284C"/>
    <w:rsid w:val="00DD2B27"/>
    <w:rsid w:val="00DD2BDA"/>
    <w:rsid w:val="00DD2CED"/>
    <w:rsid w:val="00DD2D7F"/>
    <w:rsid w:val="00DD2F32"/>
    <w:rsid w:val="00DD30C0"/>
    <w:rsid w:val="00DD31B9"/>
    <w:rsid w:val="00DD3290"/>
    <w:rsid w:val="00DD374D"/>
    <w:rsid w:val="00DD3922"/>
    <w:rsid w:val="00DD3960"/>
    <w:rsid w:val="00DD39C6"/>
    <w:rsid w:val="00DD3EC3"/>
    <w:rsid w:val="00DD439D"/>
    <w:rsid w:val="00DD4634"/>
    <w:rsid w:val="00DD46EB"/>
    <w:rsid w:val="00DD4C78"/>
    <w:rsid w:val="00DD4FEC"/>
    <w:rsid w:val="00DD53C6"/>
    <w:rsid w:val="00DD56C5"/>
    <w:rsid w:val="00DD5772"/>
    <w:rsid w:val="00DD5D92"/>
    <w:rsid w:val="00DD5E29"/>
    <w:rsid w:val="00DD5FED"/>
    <w:rsid w:val="00DD6246"/>
    <w:rsid w:val="00DD64C0"/>
    <w:rsid w:val="00DD64FC"/>
    <w:rsid w:val="00DD675E"/>
    <w:rsid w:val="00DD67F5"/>
    <w:rsid w:val="00DD6972"/>
    <w:rsid w:val="00DD69DD"/>
    <w:rsid w:val="00DD6C4B"/>
    <w:rsid w:val="00DD6D90"/>
    <w:rsid w:val="00DD72BE"/>
    <w:rsid w:val="00DD739D"/>
    <w:rsid w:val="00DD73F9"/>
    <w:rsid w:val="00DD747C"/>
    <w:rsid w:val="00DD768D"/>
    <w:rsid w:val="00DD776A"/>
    <w:rsid w:val="00DD7E17"/>
    <w:rsid w:val="00DD7EE9"/>
    <w:rsid w:val="00DD7FE9"/>
    <w:rsid w:val="00DE0240"/>
    <w:rsid w:val="00DE06A2"/>
    <w:rsid w:val="00DE0745"/>
    <w:rsid w:val="00DE121C"/>
    <w:rsid w:val="00DE13CC"/>
    <w:rsid w:val="00DE1775"/>
    <w:rsid w:val="00DE1829"/>
    <w:rsid w:val="00DE191D"/>
    <w:rsid w:val="00DE1EE8"/>
    <w:rsid w:val="00DE22FC"/>
    <w:rsid w:val="00DE23A8"/>
    <w:rsid w:val="00DE24F4"/>
    <w:rsid w:val="00DE261E"/>
    <w:rsid w:val="00DE2665"/>
    <w:rsid w:val="00DE26C4"/>
    <w:rsid w:val="00DE281B"/>
    <w:rsid w:val="00DE2912"/>
    <w:rsid w:val="00DE2BF8"/>
    <w:rsid w:val="00DE2C62"/>
    <w:rsid w:val="00DE3319"/>
    <w:rsid w:val="00DE3363"/>
    <w:rsid w:val="00DE3585"/>
    <w:rsid w:val="00DE35DB"/>
    <w:rsid w:val="00DE383B"/>
    <w:rsid w:val="00DE3BE8"/>
    <w:rsid w:val="00DE3BF9"/>
    <w:rsid w:val="00DE3C22"/>
    <w:rsid w:val="00DE3F99"/>
    <w:rsid w:val="00DE443F"/>
    <w:rsid w:val="00DE479B"/>
    <w:rsid w:val="00DE4F8C"/>
    <w:rsid w:val="00DE5025"/>
    <w:rsid w:val="00DE5444"/>
    <w:rsid w:val="00DE5548"/>
    <w:rsid w:val="00DE623D"/>
    <w:rsid w:val="00DE63D7"/>
    <w:rsid w:val="00DE676A"/>
    <w:rsid w:val="00DE69C6"/>
    <w:rsid w:val="00DE6C35"/>
    <w:rsid w:val="00DE6CA0"/>
    <w:rsid w:val="00DE70D4"/>
    <w:rsid w:val="00DE7144"/>
    <w:rsid w:val="00DE71C2"/>
    <w:rsid w:val="00DE7405"/>
    <w:rsid w:val="00DE7AA7"/>
    <w:rsid w:val="00DF00C4"/>
    <w:rsid w:val="00DF010A"/>
    <w:rsid w:val="00DF05AF"/>
    <w:rsid w:val="00DF0A2A"/>
    <w:rsid w:val="00DF0B6D"/>
    <w:rsid w:val="00DF0D5A"/>
    <w:rsid w:val="00DF1744"/>
    <w:rsid w:val="00DF1A0B"/>
    <w:rsid w:val="00DF1BC8"/>
    <w:rsid w:val="00DF25F5"/>
    <w:rsid w:val="00DF2825"/>
    <w:rsid w:val="00DF2963"/>
    <w:rsid w:val="00DF2A56"/>
    <w:rsid w:val="00DF2F36"/>
    <w:rsid w:val="00DF3569"/>
    <w:rsid w:val="00DF36FB"/>
    <w:rsid w:val="00DF3A35"/>
    <w:rsid w:val="00DF3D48"/>
    <w:rsid w:val="00DF40CF"/>
    <w:rsid w:val="00DF414D"/>
    <w:rsid w:val="00DF4348"/>
    <w:rsid w:val="00DF443F"/>
    <w:rsid w:val="00DF495A"/>
    <w:rsid w:val="00DF4A43"/>
    <w:rsid w:val="00DF4BA5"/>
    <w:rsid w:val="00DF4F37"/>
    <w:rsid w:val="00DF52CF"/>
    <w:rsid w:val="00DF52D9"/>
    <w:rsid w:val="00DF5423"/>
    <w:rsid w:val="00DF5A51"/>
    <w:rsid w:val="00DF5DA7"/>
    <w:rsid w:val="00DF5E53"/>
    <w:rsid w:val="00DF60FA"/>
    <w:rsid w:val="00DF63D8"/>
    <w:rsid w:val="00DF65CC"/>
    <w:rsid w:val="00DF666F"/>
    <w:rsid w:val="00DF6773"/>
    <w:rsid w:val="00DF6B27"/>
    <w:rsid w:val="00DF6DF6"/>
    <w:rsid w:val="00DF6F15"/>
    <w:rsid w:val="00DF7642"/>
    <w:rsid w:val="00DF7BA1"/>
    <w:rsid w:val="00DF7DCA"/>
    <w:rsid w:val="00DF7E1A"/>
    <w:rsid w:val="00DF7EB8"/>
    <w:rsid w:val="00DF7F61"/>
    <w:rsid w:val="00E001B0"/>
    <w:rsid w:val="00E00949"/>
    <w:rsid w:val="00E00A4D"/>
    <w:rsid w:val="00E0129D"/>
    <w:rsid w:val="00E016BA"/>
    <w:rsid w:val="00E01782"/>
    <w:rsid w:val="00E018EC"/>
    <w:rsid w:val="00E01FCA"/>
    <w:rsid w:val="00E0200C"/>
    <w:rsid w:val="00E02036"/>
    <w:rsid w:val="00E02295"/>
    <w:rsid w:val="00E02528"/>
    <w:rsid w:val="00E02607"/>
    <w:rsid w:val="00E028E7"/>
    <w:rsid w:val="00E028FC"/>
    <w:rsid w:val="00E02958"/>
    <w:rsid w:val="00E02BF3"/>
    <w:rsid w:val="00E038FE"/>
    <w:rsid w:val="00E0391B"/>
    <w:rsid w:val="00E03B9D"/>
    <w:rsid w:val="00E03CC5"/>
    <w:rsid w:val="00E0417F"/>
    <w:rsid w:val="00E047EC"/>
    <w:rsid w:val="00E04BD1"/>
    <w:rsid w:val="00E04E3D"/>
    <w:rsid w:val="00E064D8"/>
    <w:rsid w:val="00E0682C"/>
    <w:rsid w:val="00E068AB"/>
    <w:rsid w:val="00E068BD"/>
    <w:rsid w:val="00E06CC4"/>
    <w:rsid w:val="00E07040"/>
    <w:rsid w:val="00E07446"/>
    <w:rsid w:val="00E076AC"/>
    <w:rsid w:val="00E076ED"/>
    <w:rsid w:val="00E10347"/>
    <w:rsid w:val="00E10C8A"/>
    <w:rsid w:val="00E110A1"/>
    <w:rsid w:val="00E1127A"/>
    <w:rsid w:val="00E114C1"/>
    <w:rsid w:val="00E11552"/>
    <w:rsid w:val="00E1158A"/>
    <w:rsid w:val="00E11A7F"/>
    <w:rsid w:val="00E11DD0"/>
    <w:rsid w:val="00E127A7"/>
    <w:rsid w:val="00E12F24"/>
    <w:rsid w:val="00E134B7"/>
    <w:rsid w:val="00E13670"/>
    <w:rsid w:val="00E13711"/>
    <w:rsid w:val="00E13CEE"/>
    <w:rsid w:val="00E13D23"/>
    <w:rsid w:val="00E13F35"/>
    <w:rsid w:val="00E1405D"/>
    <w:rsid w:val="00E1435D"/>
    <w:rsid w:val="00E14568"/>
    <w:rsid w:val="00E14BFD"/>
    <w:rsid w:val="00E15222"/>
    <w:rsid w:val="00E164A3"/>
    <w:rsid w:val="00E164C6"/>
    <w:rsid w:val="00E1655A"/>
    <w:rsid w:val="00E167E5"/>
    <w:rsid w:val="00E16AE1"/>
    <w:rsid w:val="00E16E1E"/>
    <w:rsid w:val="00E16FE0"/>
    <w:rsid w:val="00E17291"/>
    <w:rsid w:val="00E177C7"/>
    <w:rsid w:val="00E178C9"/>
    <w:rsid w:val="00E178CE"/>
    <w:rsid w:val="00E17D04"/>
    <w:rsid w:val="00E17E61"/>
    <w:rsid w:val="00E20572"/>
    <w:rsid w:val="00E206A9"/>
    <w:rsid w:val="00E209A4"/>
    <w:rsid w:val="00E20BD5"/>
    <w:rsid w:val="00E20C47"/>
    <w:rsid w:val="00E20DD5"/>
    <w:rsid w:val="00E216A6"/>
    <w:rsid w:val="00E21A53"/>
    <w:rsid w:val="00E21BBE"/>
    <w:rsid w:val="00E2265D"/>
    <w:rsid w:val="00E2276C"/>
    <w:rsid w:val="00E22AD0"/>
    <w:rsid w:val="00E22ADD"/>
    <w:rsid w:val="00E22BE8"/>
    <w:rsid w:val="00E22F99"/>
    <w:rsid w:val="00E22F9F"/>
    <w:rsid w:val="00E234E2"/>
    <w:rsid w:val="00E23B10"/>
    <w:rsid w:val="00E23BC5"/>
    <w:rsid w:val="00E23BF4"/>
    <w:rsid w:val="00E23EF6"/>
    <w:rsid w:val="00E23F3C"/>
    <w:rsid w:val="00E23F54"/>
    <w:rsid w:val="00E24030"/>
    <w:rsid w:val="00E240DC"/>
    <w:rsid w:val="00E241C6"/>
    <w:rsid w:val="00E249F3"/>
    <w:rsid w:val="00E24C73"/>
    <w:rsid w:val="00E2541A"/>
    <w:rsid w:val="00E255BB"/>
    <w:rsid w:val="00E26165"/>
    <w:rsid w:val="00E261B8"/>
    <w:rsid w:val="00E26F99"/>
    <w:rsid w:val="00E2749E"/>
    <w:rsid w:val="00E27762"/>
    <w:rsid w:val="00E27900"/>
    <w:rsid w:val="00E30168"/>
    <w:rsid w:val="00E3025E"/>
    <w:rsid w:val="00E303A9"/>
    <w:rsid w:val="00E3054F"/>
    <w:rsid w:val="00E30801"/>
    <w:rsid w:val="00E30904"/>
    <w:rsid w:val="00E30C5F"/>
    <w:rsid w:val="00E30F4B"/>
    <w:rsid w:val="00E31103"/>
    <w:rsid w:val="00E313B0"/>
    <w:rsid w:val="00E314EB"/>
    <w:rsid w:val="00E318D0"/>
    <w:rsid w:val="00E31AA1"/>
    <w:rsid w:val="00E31BB1"/>
    <w:rsid w:val="00E32208"/>
    <w:rsid w:val="00E32385"/>
    <w:rsid w:val="00E323E4"/>
    <w:rsid w:val="00E32683"/>
    <w:rsid w:val="00E3285D"/>
    <w:rsid w:val="00E32AED"/>
    <w:rsid w:val="00E3307C"/>
    <w:rsid w:val="00E332F7"/>
    <w:rsid w:val="00E3340A"/>
    <w:rsid w:val="00E3356D"/>
    <w:rsid w:val="00E33A30"/>
    <w:rsid w:val="00E33B06"/>
    <w:rsid w:val="00E33B58"/>
    <w:rsid w:val="00E341C7"/>
    <w:rsid w:val="00E3442C"/>
    <w:rsid w:val="00E34600"/>
    <w:rsid w:val="00E34F95"/>
    <w:rsid w:val="00E35021"/>
    <w:rsid w:val="00E35131"/>
    <w:rsid w:val="00E351E8"/>
    <w:rsid w:val="00E352A5"/>
    <w:rsid w:val="00E35326"/>
    <w:rsid w:val="00E3550B"/>
    <w:rsid w:val="00E3593C"/>
    <w:rsid w:val="00E35994"/>
    <w:rsid w:val="00E35B18"/>
    <w:rsid w:val="00E35C97"/>
    <w:rsid w:val="00E35E96"/>
    <w:rsid w:val="00E35F93"/>
    <w:rsid w:val="00E36041"/>
    <w:rsid w:val="00E36200"/>
    <w:rsid w:val="00E36223"/>
    <w:rsid w:val="00E366F2"/>
    <w:rsid w:val="00E3699A"/>
    <w:rsid w:val="00E36AE8"/>
    <w:rsid w:val="00E36C2D"/>
    <w:rsid w:val="00E36F79"/>
    <w:rsid w:val="00E36FBC"/>
    <w:rsid w:val="00E36FFB"/>
    <w:rsid w:val="00E373C2"/>
    <w:rsid w:val="00E374E0"/>
    <w:rsid w:val="00E377D0"/>
    <w:rsid w:val="00E40773"/>
    <w:rsid w:val="00E4089F"/>
    <w:rsid w:val="00E408C1"/>
    <w:rsid w:val="00E40B3A"/>
    <w:rsid w:val="00E40D88"/>
    <w:rsid w:val="00E414B3"/>
    <w:rsid w:val="00E417E8"/>
    <w:rsid w:val="00E417EB"/>
    <w:rsid w:val="00E417EC"/>
    <w:rsid w:val="00E418EF"/>
    <w:rsid w:val="00E41AE2"/>
    <w:rsid w:val="00E425A3"/>
    <w:rsid w:val="00E4292B"/>
    <w:rsid w:val="00E42CCB"/>
    <w:rsid w:val="00E4306C"/>
    <w:rsid w:val="00E431E0"/>
    <w:rsid w:val="00E43571"/>
    <w:rsid w:val="00E43C2C"/>
    <w:rsid w:val="00E43CDB"/>
    <w:rsid w:val="00E43DCF"/>
    <w:rsid w:val="00E444C8"/>
    <w:rsid w:val="00E44531"/>
    <w:rsid w:val="00E44B44"/>
    <w:rsid w:val="00E44BC5"/>
    <w:rsid w:val="00E44D47"/>
    <w:rsid w:val="00E44DE2"/>
    <w:rsid w:val="00E44FB9"/>
    <w:rsid w:val="00E450C3"/>
    <w:rsid w:val="00E45151"/>
    <w:rsid w:val="00E453CB"/>
    <w:rsid w:val="00E454A0"/>
    <w:rsid w:val="00E45904"/>
    <w:rsid w:val="00E45A13"/>
    <w:rsid w:val="00E45A88"/>
    <w:rsid w:val="00E45D2E"/>
    <w:rsid w:val="00E45D9C"/>
    <w:rsid w:val="00E45FFD"/>
    <w:rsid w:val="00E468DE"/>
    <w:rsid w:val="00E46B3A"/>
    <w:rsid w:val="00E46EA0"/>
    <w:rsid w:val="00E470F1"/>
    <w:rsid w:val="00E47430"/>
    <w:rsid w:val="00E47482"/>
    <w:rsid w:val="00E476B8"/>
    <w:rsid w:val="00E47733"/>
    <w:rsid w:val="00E4775F"/>
    <w:rsid w:val="00E50484"/>
    <w:rsid w:val="00E5063A"/>
    <w:rsid w:val="00E5082E"/>
    <w:rsid w:val="00E50FAB"/>
    <w:rsid w:val="00E5112E"/>
    <w:rsid w:val="00E5143A"/>
    <w:rsid w:val="00E514AA"/>
    <w:rsid w:val="00E5171E"/>
    <w:rsid w:val="00E5177C"/>
    <w:rsid w:val="00E518F2"/>
    <w:rsid w:val="00E51CCB"/>
    <w:rsid w:val="00E51DBE"/>
    <w:rsid w:val="00E51DD9"/>
    <w:rsid w:val="00E51EDE"/>
    <w:rsid w:val="00E51F15"/>
    <w:rsid w:val="00E523F8"/>
    <w:rsid w:val="00E527CE"/>
    <w:rsid w:val="00E52E8D"/>
    <w:rsid w:val="00E5369F"/>
    <w:rsid w:val="00E537AC"/>
    <w:rsid w:val="00E539E5"/>
    <w:rsid w:val="00E53B7E"/>
    <w:rsid w:val="00E54155"/>
    <w:rsid w:val="00E542CF"/>
    <w:rsid w:val="00E544DD"/>
    <w:rsid w:val="00E54515"/>
    <w:rsid w:val="00E54920"/>
    <w:rsid w:val="00E54AEE"/>
    <w:rsid w:val="00E54CEF"/>
    <w:rsid w:val="00E550C5"/>
    <w:rsid w:val="00E55438"/>
    <w:rsid w:val="00E55834"/>
    <w:rsid w:val="00E55C6E"/>
    <w:rsid w:val="00E56046"/>
    <w:rsid w:val="00E56A09"/>
    <w:rsid w:val="00E56F97"/>
    <w:rsid w:val="00E56FF3"/>
    <w:rsid w:val="00E57146"/>
    <w:rsid w:val="00E57724"/>
    <w:rsid w:val="00E578D5"/>
    <w:rsid w:val="00E57948"/>
    <w:rsid w:val="00E57C0C"/>
    <w:rsid w:val="00E601A8"/>
    <w:rsid w:val="00E60294"/>
    <w:rsid w:val="00E608F4"/>
    <w:rsid w:val="00E60FA2"/>
    <w:rsid w:val="00E61126"/>
    <w:rsid w:val="00E616D4"/>
    <w:rsid w:val="00E61935"/>
    <w:rsid w:val="00E61FAA"/>
    <w:rsid w:val="00E6233B"/>
    <w:rsid w:val="00E6233C"/>
    <w:rsid w:val="00E62A22"/>
    <w:rsid w:val="00E63B5D"/>
    <w:rsid w:val="00E63BEA"/>
    <w:rsid w:val="00E63C33"/>
    <w:rsid w:val="00E640C0"/>
    <w:rsid w:val="00E6464A"/>
    <w:rsid w:val="00E648A5"/>
    <w:rsid w:val="00E64BD0"/>
    <w:rsid w:val="00E64F78"/>
    <w:rsid w:val="00E6503E"/>
    <w:rsid w:val="00E65617"/>
    <w:rsid w:val="00E65A70"/>
    <w:rsid w:val="00E660A1"/>
    <w:rsid w:val="00E66139"/>
    <w:rsid w:val="00E6640E"/>
    <w:rsid w:val="00E66895"/>
    <w:rsid w:val="00E66D1B"/>
    <w:rsid w:val="00E6758B"/>
    <w:rsid w:val="00E67874"/>
    <w:rsid w:val="00E6792B"/>
    <w:rsid w:val="00E67CA4"/>
    <w:rsid w:val="00E67CAA"/>
    <w:rsid w:val="00E67F5C"/>
    <w:rsid w:val="00E70174"/>
    <w:rsid w:val="00E70914"/>
    <w:rsid w:val="00E7091D"/>
    <w:rsid w:val="00E70DCB"/>
    <w:rsid w:val="00E70FF1"/>
    <w:rsid w:val="00E71642"/>
    <w:rsid w:val="00E71A0F"/>
    <w:rsid w:val="00E71B80"/>
    <w:rsid w:val="00E726AB"/>
    <w:rsid w:val="00E72F46"/>
    <w:rsid w:val="00E72F70"/>
    <w:rsid w:val="00E73477"/>
    <w:rsid w:val="00E736F9"/>
    <w:rsid w:val="00E7388D"/>
    <w:rsid w:val="00E73AB0"/>
    <w:rsid w:val="00E73B4E"/>
    <w:rsid w:val="00E73B9B"/>
    <w:rsid w:val="00E742BA"/>
    <w:rsid w:val="00E742C4"/>
    <w:rsid w:val="00E743BD"/>
    <w:rsid w:val="00E744A1"/>
    <w:rsid w:val="00E7451E"/>
    <w:rsid w:val="00E74859"/>
    <w:rsid w:val="00E74940"/>
    <w:rsid w:val="00E74C0C"/>
    <w:rsid w:val="00E74EC5"/>
    <w:rsid w:val="00E74F50"/>
    <w:rsid w:val="00E74FAF"/>
    <w:rsid w:val="00E75027"/>
    <w:rsid w:val="00E754B6"/>
    <w:rsid w:val="00E754C5"/>
    <w:rsid w:val="00E7563E"/>
    <w:rsid w:val="00E758AC"/>
    <w:rsid w:val="00E758AF"/>
    <w:rsid w:val="00E759CA"/>
    <w:rsid w:val="00E75DFA"/>
    <w:rsid w:val="00E760B5"/>
    <w:rsid w:val="00E76CFF"/>
    <w:rsid w:val="00E80853"/>
    <w:rsid w:val="00E814AC"/>
    <w:rsid w:val="00E816B4"/>
    <w:rsid w:val="00E816B7"/>
    <w:rsid w:val="00E81762"/>
    <w:rsid w:val="00E81ADD"/>
    <w:rsid w:val="00E81B06"/>
    <w:rsid w:val="00E81C52"/>
    <w:rsid w:val="00E81F6B"/>
    <w:rsid w:val="00E8200E"/>
    <w:rsid w:val="00E8237E"/>
    <w:rsid w:val="00E823AA"/>
    <w:rsid w:val="00E824B6"/>
    <w:rsid w:val="00E82543"/>
    <w:rsid w:val="00E82A7A"/>
    <w:rsid w:val="00E82AE9"/>
    <w:rsid w:val="00E82AF3"/>
    <w:rsid w:val="00E8313A"/>
    <w:rsid w:val="00E8343A"/>
    <w:rsid w:val="00E83944"/>
    <w:rsid w:val="00E83E2C"/>
    <w:rsid w:val="00E83FD2"/>
    <w:rsid w:val="00E843C3"/>
    <w:rsid w:val="00E84E51"/>
    <w:rsid w:val="00E84F80"/>
    <w:rsid w:val="00E84FDB"/>
    <w:rsid w:val="00E85620"/>
    <w:rsid w:val="00E85695"/>
    <w:rsid w:val="00E85A14"/>
    <w:rsid w:val="00E8610F"/>
    <w:rsid w:val="00E861DA"/>
    <w:rsid w:val="00E86250"/>
    <w:rsid w:val="00E8676A"/>
    <w:rsid w:val="00E867B4"/>
    <w:rsid w:val="00E86AAF"/>
    <w:rsid w:val="00E86FE1"/>
    <w:rsid w:val="00E870DE"/>
    <w:rsid w:val="00E87138"/>
    <w:rsid w:val="00E872CE"/>
    <w:rsid w:val="00E877B1"/>
    <w:rsid w:val="00E87943"/>
    <w:rsid w:val="00E87F29"/>
    <w:rsid w:val="00E9015F"/>
    <w:rsid w:val="00E90C63"/>
    <w:rsid w:val="00E90EDB"/>
    <w:rsid w:val="00E9118E"/>
    <w:rsid w:val="00E91459"/>
    <w:rsid w:val="00E9152B"/>
    <w:rsid w:val="00E917E1"/>
    <w:rsid w:val="00E918EA"/>
    <w:rsid w:val="00E9193C"/>
    <w:rsid w:val="00E91A9F"/>
    <w:rsid w:val="00E91C26"/>
    <w:rsid w:val="00E9253B"/>
    <w:rsid w:val="00E92A4D"/>
    <w:rsid w:val="00E92C22"/>
    <w:rsid w:val="00E92F00"/>
    <w:rsid w:val="00E93092"/>
    <w:rsid w:val="00E932CA"/>
    <w:rsid w:val="00E93673"/>
    <w:rsid w:val="00E93890"/>
    <w:rsid w:val="00E9390C"/>
    <w:rsid w:val="00E9399B"/>
    <w:rsid w:val="00E940C2"/>
    <w:rsid w:val="00E94228"/>
    <w:rsid w:val="00E943D3"/>
    <w:rsid w:val="00E950E7"/>
    <w:rsid w:val="00E9521A"/>
    <w:rsid w:val="00E95426"/>
    <w:rsid w:val="00E955AD"/>
    <w:rsid w:val="00E95E17"/>
    <w:rsid w:val="00E95EFB"/>
    <w:rsid w:val="00E9612D"/>
    <w:rsid w:val="00E96902"/>
    <w:rsid w:val="00E96F60"/>
    <w:rsid w:val="00E9758C"/>
    <w:rsid w:val="00E97592"/>
    <w:rsid w:val="00E97AE6"/>
    <w:rsid w:val="00E97AEE"/>
    <w:rsid w:val="00E97BCB"/>
    <w:rsid w:val="00E97BDA"/>
    <w:rsid w:val="00E97D8F"/>
    <w:rsid w:val="00E97F4A"/>
    <w:rsid w:val="00EA02F7"/>
    <w:rsid w:val="00EA04A8"/>
    <w:rsid w:val="00EA06D7"/>
    <w:rsid w:val="00EA0F45"/>
    <w:rsid w:val="00EA18EC"/>
    <w:rsid w:val="00EA1A0E"/>
    <w:rsid w:val="00EA1C51"/>
    <w:rsid w:val="00EA2107"/>
    <w:rsid w:val="00EA2A81"/>
    <w:rsid w:val="00EA2A85"/>
    <w:rsid w:val="00EA2E4C"/>
    <w:rsid w:val="00EA2FC8"/>
    <w:rsid w:val="00EA3390"/>
    <w:rsid w:val="00EA35D6"/>
    <w:rsid w:val="00EA3847"/>
    <w:rsid w:val="00EA3C47"/>
    <w:rsid w:val="00EA3D79"/>
    <w:rsid w:val="00EA4B5E"/>
    <w:rsid w:val="00EA5A55"/>
    <w:rsid w:val="00EA5E51"/>
    <w:rsid w:val="00EA601B"/>
    <w:rsid w:val="00EA62A8"/>
    <w:rsid w:val="00EA64A8"/>
    <w:rsid w:val="00EA69AC"/>
    <w:rsid w:val="00EA6C94"/>
    <w:rsid w:val="00EA6D82"/>
    <w:rsid w:val="00EA7477"/>
    <w:rsid w:val="00EA77F3"/>
    <w:rsid w:val="00EA78BA"/>
    <w:rsid w:val="00EA7C5F"/>
    <w:rsid w:val="00EB0064"/>
    <w:rsid w:val="00EB018E"/>
    <w:rsid w:val="00EB01B5"/>
    <w:rsid w:val="00EB0655"/>
    <w:rsid w:val="00EB0A08"/>
    <w:rsid w:val="00EB0ABB"/>
    <w:rsid w:val="00EB0D5F"/>
    <w:rsid w:val="00EB117B"/>
    <w:rsid w:val="00EB12F6"/>
    <w:rsid w:val="00EB13E0"/>
    <w:rsid w:val="00EB13EC"/>
    <w:rsid w:val="00EB1A26"/>
    <w:rsid w:val="00EB1C06"/>
    <w:rsid w:val="00EB1FD1"/>
    <w:rsid w:val="00EB224A"/>
    <w:rsid w:val="00EB2D05"/>
    <w:rsid w:val="00EB325F"/>
    <w:rsid w:val="00EB348C"/>
    <w:rsid w:val="00EB3587"/>
    <w:rsid w:val="00EB374D"/>
    <w:rsid w:val="00EB3769"/>
    <w:rsid w:val="00EB388F"/>
    <w:rsid w:val="00EB3A92"/>
    <w:rsid w:val="00EB3B45"/>
    <w:rsid w:val="00EB3C1B"/>
    <w:rsid w:val="00EB3CEC"/>
    <w:rsid w:val="00EB42E0"/>
    <w:rsid w:val="00EB4741"/>
    <w:rsid w:val="00EB47F2"/>
    <w:rsid w:val="00EB48A7"/>
    <w:rsid w:val="00EB4D36"/>
    <w:rsid w:val="00EB5004"/>
    <w:rsid w:val="00EB5207"/>
    <w:rsid w:val="00EB5385"/>
    <w:rsid w:val="00EB5499"/>
    <w:rsid w:val="00EB55AB"/>
    <w:rsid w:val="00EB5C7F"/>
    <w:rsid w:val="00EB5CBA"/>
    <w:rsid w:val="00EB5D6A"/>
    <w:rsid w:val="00EB6286"/>
    <w:rsid w:val="00EB62C5"/>
    <w:rsid w:val="00EB6759"/>
    <w:rsid w:val="00EB6784"/>
    <w:rsid w:val="00EB683D"/>
    <w:rsid w:val="00EB6C77"/>
    <w:rsid w:val="00EB6F07"/>
    <w:rsid w:val="00EB712F"/>
    <w:rsid w:val="00EB7668"/>
    <w:rsid w:val="00EB7B50"/>
    <w:rsid w:val="00EB7D2E"/>
    <w:rsid w:val="00EB7F4B"/>
    <w:rsid w:val="00EC03A1"/>
    <w:rsid w:val="00EC0C20"/>
    <w:rsid w:val="00EC0EB5"/>
    <w:rsid w:val="00EC0F70"/>
    <w:rsid w:val="00EC131E"/>
    <w:rsid w:val="00EC15E3"/>
    <w:rsid w:val="00EC1AC4"/>
    <w:rsid w:val="00EC1DEC"/>
    <w:rsid w:val="00EC2191"/>
    <w:rsid w:val="00EC2829"/>
    <w:rsid w:val="00EC2E72"/>
    <w:rsid w:val="00EC2EFD"/>
    <w:rsid w:val="00EC3903"/>
    <w:rsid w:val="00EC398D"/>
    <w:rsid w:val="00EC3D72"/>
    <w:rsid w:val="00EC3F0F"/>
    <w:rsid w:val="00EC3F55"/>
    <w:rsid w:val="00EC3F6E"/>
    <w:rsid w:val="00EC4460"/>
    <w:rsid w:val="00EC4942"/>
    <w:rsid w:val="00EC4AB8"/>
    <w:rsid w:val="00EC4D61"/>
    <w:rsid w:val="00EC53C5"/>
    <w:rsid w:val="00EC5547"/>
    <w:rsid w:val="00EC5A2A"/>
    <w:rsid w:val="00EC5A9B"/>
    <w:rsid w:val="00EC5B4B"/>
    <w:rsid w:val="00EC5D8C"/>
    <w:rsid w:val="00EC6048"/>
    <w:rsid w:val="00EC64B3"/>
    <w:rsid w:val="00EC65EE"/>
    <w:rsid w:val="00EC665A"/>
    <w:rsid w:val="00EC676F"/>
    <w:rsid w:val="00EC69B4"/>
    <w:rsid w:val="00EC6ABD"/>
    <w:rsid w:val="00EC7283"/>
    <w:rsid w:val="00EC756C"/>
    <w:rsid w:val="00EC7577"/>
    <w:rsid w:val="00EC7D19"/>
    <w:rsid w:val="00EC7DBC"/>
    <w:rsid w:val="00EC7FC3"/>
    <w:rsid w:val="00ED0125"/>
    <w:rsid w:val="00ED01C6"/>
    <w:rsid w:val="00ED0584"/>
    <w:rsid w:val="00ED09EC"/>
    <w:rsid w:val="00ED0B37"/>
    <w:rsid w:val="00ED0BDC"/>
    <w:rsid w:val="00ED0C90"/>
    <w:rsid w:val="00ED0D1C"/>
    <w:rsid w:val="00ED0FA5"/>
    <w:rsid w:val="00ED17F5"/>
    <w:rsid w:val="00ED18CB"/>
    <w:rsid w:val="00ED2D3B"/>
    <w:rsid w:val="00ED2E32"/>
    <w:rsid w:val="00ED2E33"/>
    <w:rsid w:val="00ED2ED2"/>
    <w:rsid w:val="00ED30B4"/>
    <w:rsid w:val="00ED310C"/>
    <w:rsid w:val="00ED317B"/>
    <w:rsid w:val="00ED3299"/>
    <w:rsid w:val="00ED3376"/>
    <w:rsid w:val="00ED39F2"/>
    <w:rsid w:val="00ED3A38"/>
    <w:rsid w:val="00ED3F24"/>
    <w:rsid w:val="00ED4333"/>
    <w:rsid w:val="00ED45FF"/>
    <w:rsid w:val="00ED488F"/>
    <w:rsid w:val="00ED4D91"/>
    <w:rsid w:val="00ED550B"/>
    <w:rsid w:val="00ED57D4"/>
    <w:rsid w:val="00ED57ED"/>
    <w:rsid w:val="00ED58FB"/>
    <w:rsid w:val="00ED5CFD"/>
    <w:rsid w:val="00ED6AAA"/>
    <w:rsid w:val="00ED6BBA"/>
    <w:rsid w:val="00ED6C7A"/>
    <w:rsid w:val="00ED6D6B"/>
    <w:rsid w:val="00ED7175"/>
    <w:rsid w:val="00ED7292"/>
    <w:rsid w:val="00ED7455"/>
    <w:rsid w:val="00ED7524"/>
    <w:rsid w:val="00ED7D87"/>
    <w:rsid w:val="00ED7DAC"/>
    <w:rsid w:val="00EE00AB"/>
    <w:rsid w:val="00EE0238"/>
    <w:rsid w:val="00EE08CB"/>
    <w:rsid w:val="00EE094F"/>
    <w:rsid w:val="00EE0A12"/>
    <w:rsid w:val="00EE0D2C"/>
    <w:rsid w:val="00EE1142"/>
    <w:rsid w:val="00EE11D1"/>
    <w:rsid w:val="00EE1393"/>
    <w:rsid w:val="00EE1469"/>
    <w:rsid w:val="00EE1595"/>
    <w:rsid w:val="00EE169B"/>
    <w:rsid w:val="00EE1712"/>
    <w:rsid w:val="00EE1859"/>
    <w:rsid w:val="00EE1EF6"/>
    <w:rsid w:val="00EE2085"/>
    <w:rsid w:val="00EE20EE"/>
    <w:rsid w:val="00EE27BE"/>
    <w:rsid w:val="00EE2EE3"/>
    <w:rsid w:val="00EE3122"/>
    <w:rsid w:val="00EE312B"/>
    <w:rsid w:val="00EE31B5"/>
    <w:rsid w:val="00EE3742"/>
    <w:rsid w:val="00EE38DF"/>
    <w:rsid w:val="00EE3A3E"/>
    <w:rsid w:val="00EE3D76"/>
    <w:rsid w:val="00EE3DA8"/>
    <w:rsid w:val="00EE3E3A"/>
    <w:rsid w:val="00EE3E83"/>
    <w:rsid w:val="00EE3F91"/>
    <w:rsid w:val="00EE430A"/>
    <w:rsid w:val="00EE45B5"/>
    <w:rsid w:val="00EE47AA"/>
    <w:rsid w:val="00EE49DA"/>
    <w:rsid w:val="00EE4FFA"/>
    <w:rsid w:val="00EE511D"/>
    <w:rsid w:val="00EE522C"/>
    <w:rsid w:val="00EE536B"/>
    <w:rsid w:val="00EE5A72"/>
    <w:rsid w:val="00EE5BBD"/>
    <w:rsid w:val="00EE5DDB"/>
    <w:rsid w:val="00EE6044"/>
    <w:rsid w:val="00EE61B1"/>
    <w:rsid w:val="00EE6640"/>
    <w:rsid w:val="00EE6776"/>
    <w:rsid w:val="00EE67F0"/>
    <w:rsid w:val="00EE69B6"/>
    <w:rsid w:val="00EE6EB0"/>
    <w:rsid w:val="00EE6F08"/>
    <w:rsid w:val="00EE78AC"/>
    <w:rsid w:val="00EE7941"/>
    <w:rsid w:val="00EE79C9"/>
    <w:rsid w:val="00EE7AE1"/>
    <w:rsid w:val="00EE7BDE"/>
    <w:rsid w:val="00EF090B"/>
    <w:rsid w:val="00EF0BDC"/>
    <w:rsid w:val="00EF0DDD"/>
    <w:rsid w:val="00EF10B8"/>
    <w:rsid w:val="00EF15CB"/>
    <w:rsid w:val="00EF21A7"/>
    <w:rsid w:val="00EF24B3"/>
    <w:rsid w:val="00EF257B"/>
    <w:rsid w:val="00EF2801"/>
    <w:rsid w:val="00EF28C9"/>
    <w:rsid w:val="00EF30CC"/>
    <w:rsid w:val="00EF33DB"/>
    <w:rsid w:val="00EF356D"/>
    <w:rsid w:val="00EF38FC"/>
    <w:rsid w:val="00EF3AC2"/>
    <w:rsid w:val="00EF3B3C"/>
    <w:rsid w:val="00EF3DA9"/>
    <w:rsid w:val="00EF3E34"/>
    <w:rsid w:val="00EF3F3B"/>
    <w:rsid w:val="00EF402F"/>
    <w:rsid w:val="00EF4162"/>
    <w:rsid w:val="00EF42CD"/>
    <w:rsid w:val="00EF43B4"/>
    <w:rsid w:val="00EF4618"/>
    <w:rsid w:val="00EF4B68"/>
    <w:rsid w:val="00EF4D30"/>
    <w:rsid w:val="00EF4D6C"/>
    <w:rsid w:val="00EF582F"/>
    <w:rsid w:val="00EF5C18"/>
    <w:rsid w:val="00EF5CDE"/>
    <w:rsid w:val="00EF637E"/>
    <w:rsid w:val="00EF6592"/>
    <w:rsid w:val="00EF6733"/>
    <w:rsid w:val="00EF6E86"/>
    <w:rsid w:val="00EF6EBF"/>
    <w:rsid w:val="00EF7222"/>
    <w:rsid w:val="00EF739A"/>
    <w:rsid w:val="00EF7A09"/>
    <w:rsid w:val="00EF7F96"/>
    <w:rsid w:val="00F0000F"/>
    <w:rsid w:val="00F00AF7"/>
    <w:rsid w:val="00F00BF2"/>
    <w:rsid w:val="00F00C1A"/>
    <w:rsid w:val="00F00D99"/>
    <w:rsid w:val="00F00DB5"/>
    <w:rsid w:val="00F00DC5"/>
    <w:rsid w:val="00F00EA6"/>
    <w:rsid w:val="00F01066"/>
    <w:rsid w:val="00F0131D"/>
    <w:rsid w:val="00F01397"/>
    <w:rsid w:val="00F01822"/>
    <w:rsid w:val="00F01AC7"/>
    <w:rsid w:val="00F01B08"/>
    <w:rsid w:val="00F01B3B"/>
    <w:rsid w:val="00F01EAF"/>
    <w:rsid w:val="00F023D5"/>
    <w:rsid w:val="00F028D4"/>
    <w:rsid w:val="00F0296A"/>
    <w:rsid w:val="00F029AB"/>
    <w:rsid w:val="00F02C44"/>
    <w:rsid w:val="00F02CE0"/>
    <w:rsid w:val="00F02F4B"/>
    <w:rsid w:val="00F031DD"/>
    <w:rsid w:val="00F033E6"/>
    <w:rsid w:val="00F035BA"/>
    <w:rsid w:val="00F03793"/>
    <w:rsid w:val="00F03BEA"/>
    <w:rsid w:val="00F03D01"/>
    <w:rsid w:val="00F03F4A"/>
    <w:rsid w:val="00F04627"/>
    <w:rsid w:val="00F04B2D"/>
    <w:rsid w:val="00F04D5D"/>
    <w:rsid w:val="00F04E08"/>
    <w:rsid w:val="00F04F91"/>
    <w:rsid w:val="00F0508C"/>
    <w:rsid w:val="00F05419"/>
    <w:rsid w:val="00F0575A"/>
    <w:rsid w:val="00F05764"/>
    <w:rsid w:val="00F05F9A"/>
    <w:rsid w:val="00F06128"/>
    <w:rsid w:val="00F0690B"/>
    <w:rsid w:val="00F06A47"/>
    <w:rsid w:val="00F06AB3"/>
    <w:rsid w:val="00F06F00"/>
    <w:rsid w:val="00F07694"/>
    <w:rsid w:val="00F07954"/>
    <w:rsid w:val="00F07B95"/>
    <w:rsid w:val="00F07BDD"/>
    <w:rsid w:val="00F07D33"/>
    <w:rsid w:val="00F100CD"/>
    <w:rsid w:val="00F102CE"/>
    <w:rsid w:val="00F1055A"/>
    <w:rsid w:val="00F107CC"/>
    <w:rsid w:val="00F1092B"/>
    <w:rsid w:val="00F10974"/>
    <w:rsid w:val="00F111C4"/>
    <w:rsid w:val="00F116F6"/>
    <w:rsid w:val="00F11C88"/>
    <w:rsid w:val="00F11E0F"/>
    <w:rsid w:val="00F12232"/>
    <w:rsid w:val="00F1250D"/>
    <w:rsid w:val="00F12683"/>
    <w:rsid w:val="00F12824"/>
    <w:rsid w:val="00F12834"/>
    <w:rsid w:val="00F12A7C"/>
    <w:rsid w:val="00F12A99"/>
    <w:rsid w:val="00F12D19"/>
    <w:rsid w:val="00F130C7"/>
    <w:rsid w:val="00F13B54"/>
    <w:rsid w:val="00F1412A"/>
    <w:rsid w:val="00F1462D"/>
    <w:rsid w:val="00F14BFA"/>
    <w:rsid w:val="00F1510A"/>
    <w:rsid w:val="00F156A9"/>
    <w:rsid w:val="00F1588F"/>
    <w:rsid w:val="00F15B83"/>
    <w:rsid w:val="00F16677"/>
    <w:rsid w:val="00F16A62"/>
    <w:rsid w:val="00F16F74"/>
    <w:rsid w:val="00F171EE"/>
    <w:rsid w:val="00F17375"/>
    <w:rsid w:val="00F177E1"/>
    <w:rsid w:val="00F17B0D"/>
    <w:rsid w:val="00F17F0F"/>
    <w:rsid w:val="00F200A8"/>
    <w:rsid w:val="00F202F5"/>
    <w:rsid w:val="00F20DD3"/>
    <w:rsid w:val="00F20EE2"/>
    <w:rsid w:val="00F21680"/>
    <w:rsid w:val="00F21792"/>
    <w:rsid w:val="00F2190D"/>
    <w:rsid w:val="00F21991"/>
    <w:rsid w:val="00F219ED"/>
    <w:rsid w:val="00F21ABA"/>
    <w:rsid w:val="00F21BFB"/>
    <w:rsid w:val="00F21E46"/>
    <w:rsid w:val="00F21E79"/>
    <w:rsid w:val="00F22161"/>
    <w:rsid w:val="00F2245A"/>
    <w:rsid w:val="00F22A26"/>
    <w:rsid w:val="00F22A82"/>
    <w:rsid w:val="00F22B76"/>
    <w:rsid w:val="00F22BC0"/>
    <w:rsid w:val="00F2321D"/>
    <w:rsid w:val="00F236B0"/>
    <w:rsid w:val="00F2377F"/>
    <w:rsid w:val="00F238DA"/>
    <w:rsid w:val="00F239F6"/>
    <w:rsid w:val="00F24053"/>
    <w:rsid w:val="00F2496A"/>
    <w:rsid w:val="00F24B6D"/>
    <w:rsid w:val="00F24BDF"/>
    <w:rsid w:val="00F24C04"/>
    <w:rsid w:val="00F24C06"/>
    <w:rsid w:val="00F25429"/>
    <w:rsid w:val="00F25727"/>
    <w:rsid w:val="00F25D2B"/>
    <w:rsid w:val="00F25FAB"/>
    <w:rsid w:val="00F2612A"/>
    <w:rsid w:val="00F264B5"/>
    <w:rsid w:val="00F266F8"/>
    <w:rsid w:val="00F26701"/>
    <w:rsid w:val="00F267EB"/>
    <w:rsid w:val="00F268DD"/>
    <w:rsid w:val="00F26F99"/>
    <w:rsid w:val="00F27356"/>
    <w:rsid w:val="00F274B6"/>
    <w:rsid w:val="00F27884"/>
    <w:rsid w:val="00F27F5C"/>
    <w:rsid w:val="00F27FB6"/>
    <w:rsid w:val="00F30002"/>
    <w:rsid w:val="00F30399"/>
    <w:rsid w:val="00F3098B"/>
    <w:rsid w:val="00F30BB4"/>
    <w:rsid w:val="00F30D41"/>
    <w:rsid w:val="00F31355"/>
    <w:rsid w:val="00F31395"/>
    <w:rsid w:val="00F31967"/>
    <w:rsid w:val="00F31AB9"/>
    <w:rsid w:val="00F31B36"/>
    <w:rsid w:val="00F31C70"/>
    <w:rsid w:val="00F31CFA"/>
    <w:rsid w:val="00F31CFB"/>
    <w:rsid w:val="00F31E24"/>
    <w:rsid w:val="00F321A0"/>
    <w:rsid w:val="00F32596"/>
    <w:rsid w:val="00F32A3F"/>
    <w:rsid w:val="00F32DFA"/>
    <w:rsid w:val="00F330C7"/>
    <w:rsid w:val="00F335FD"/>
    <w:rsid w:val="00F3385A"/>
    <w:rsid w:val="00F33C2A"/>
    <w:rsid w:val="00F343EF"/>
    <w:rsid w:val="00F3445E"/>
    <w:rsid w:val="00F347BC"/>
    <w:rsid w:val="00F3489A"/>
    <w:rsid w:val="00F34E61"/>
    <w:rsid w:val="00F34EB6"/>
    <w:rsid w:val="00F35079"/>
    <w:rsid w:val="00F3542A"/>
    <w:rsid w:val="00F356F5"/>
    <w:rsid w:val="00F35814"/>
    <w:rsid w:val="00F35931"/>
    <w:rsid w:val="00F35BCB"/>
    <w:rsid w:val="00F35C5E"/>
    <w:rsid w:val="00F35CD8"/>
    <w:rsid w:val="00F35F3B"/>
    <w:rsid w:val="00F36282"/>
    <w:rsid w:val="00F36608"/>
    <w:rsid w:val="00F36C4F"/>
    <w:rsid w:val="00F36D67"/>
    <w:rsid w:val="00F36E4A"/>
    <w:rsid w:val="00F37091"/>
    <w:rsid w:val="00F3726B"/>
    <w:rsid w:val="00F37347"/>
    <w:rsid w:val="00F373D1"/>
    <w:rsid w:val="00F3765A"/>
    <w:rsid w:val="00F37940"/>
    <w:rsid w:val="00F37B97"/>
    <w:rsid w:val="00F37C97"/>
    <w:rsid w:val="00F401B9"/>
    <w:rsid w:val="00F40401"/>
    <w:rsid w:val="00F40470"/>
    <w:rsid w:val="00F4049C"/>
    <w:rsid w:val="00F40894"/>
    <w:rsid w:val="00F40A66"/>
    <w:rsid w:val="00F40C02"/>
    <w:rsid w:val="00F40D15"/>
    <w:rsid w:val="00F4120D"/>
    <w:rsid w:val="00F4163D"/>
    <w:rsid w:val="00F41AFF"/>
    <w:rsid w:val="00F42328"/>
    <w:rsid w:val="00F42671"/>
    <w:rsid w:val="00F4289C"/>
    <w:rsid w:val="00F42CB8"/>
    <w:rsid w:val="00F42CF8"/>
    <w:rsid w:val="00F42FDE"/>
    <w:rsid w:val="00F43834"/>
    <w:rsid w:val="00F43928"/>
    <w:rsid w:val="00F43BA4"/>
    <w:rsid w:val="00F43D34"/>
    <w:rsid w:val="00F44464"/>
    <w:rsid w:val="00F448FE"/>
    <w:rsid w:val="00F44DED"/>
    <w:rsid w:val="00F44E47"/>
    <w:rsid w:val="00F454CC"/>
    <w:rsid w:val="00F4633D"/>
    <w:rsid w:val="00F463B6"/>
    <w:rsid w:val="00F46739"/>
    <w:rsid w:val="00F467BE"/>
    <w:rsid w:val="00F47408"/>
    <w:rsid w:val="00F47634"/>
    <w:rsid w:val="00F47651"/>
    <w:rsid w:val="00F479FC"/>
    <w:rsid w:val="00F47BC8"/>
    <w:rsid w:val="00F47D19"/>
    <w:rsid w:val="00F47DD7"/>
    <w:rsid w:val="00F501FA"/>
    <w:rsid w:val="00F50838"/>
    <w:rsid w:val="00F50CB0"/>
    <w:rsid w:val="00F5124E"/>
    <w:rsid w:val="00F51878"/>
    <w:rsid w:val="00F5191D"/>
    <w:rsid w:val="00F51AF5"/>
    <w:rsid w:val="00F52324"/>
    <w:rsid w:val="00F5297E"/>
    <w:rsid w:val="00F52B87"/>
    <w:rsid w:val="00F53753"/>
    <w:rsid w:val="00F53B57"/>
    <w:rsid w:val="00F53E57"/>
    <w:rsid w:val="00F54163"/>
    <w:rsid w:val="00F54216"/>
    <w:rsid w:val="00F545CB"/>
    <w:rsid w:val="00F54657"/>
    <w:rsid w:val="00F54713"/>
    <w:rsid w:val="00F54D30"/>
    <w:rsid w:val="00F554DF"/>
    <w:rsid w:val="00F55F4D"/>
    <w:rsid w:val="00F561C0"/>
    <w:rsid w:val="00F5623E"/>
    <w:rsid w:val="00F5627F"/>
    <w:rsid w:val="00F565CE"/>
    <w:rsid w:val="00F56BB3"/>
    <w:rsid w:val="00F56DC0"/>
    <w:rsid w:val="00F56EFF"/>
    <w:rsid w:val="00F57574"/>
    <w:rsid w:val="00F57BA7"/>
    <w:rsid w:val="00F57E5C"/>
    <w:rsid w:val="00F601D5"/>
    <w:rsid w:val="00F60452"/>
    <w:rsid w:val="00F6097A"/>
    <w:rsid w:val="00F60AA8"/>
    <w:rsid w:val="00F60F02"/>
    <w:rsid w:val="00F6110D"/>
    <w:rsid w:val="00F612C5"/>
    <w:rsid w:val="00F612C8"/>
    <w:rsid w:val="00F61AFA"/>
    <w:rsid w:val="00F61B3B"/>
    <w:rsid w:val="00F61BD7"/>
    <w:rsid w:val="00F61CFB"/>
    <w:rsid w:val="00F61DE6"/>
    <w:rsid w:val="00F62186"/>
    <w:rsid w:val="00F62662"/>
    <w:rsid w:val="00F62681"/>
    <w:rsid w:val="00F628EF"/>
    <w:rsid w:val="00F62AC1"/>
    <w:rsid w:val="00F62B9B"/>
    <w:rsid w:val="00F62C8E"/>
    <w:rsid w:val="00F62CAE"/>
    <w:rsid w:val="00F62F94"/>
    <w:rsid w:val="00F6309F"/>
    <w:rsid w:val="00F63A04"/>
    <w:rsid w:val="00F640A7"/>
    <w:rsid w:val="00F64148"/>
    <w:rsid w:val="00F64492"/>
    <w:rsid w:val="00F64791"/>
    <w:rsid w:val="00F64813"/>
    <w:rsid w:val="00F648E3"/>
    <w:rsid w:val="00F649F0"/>
    <w:rsid w:val="00F64A95"/>
    <w:rsid w:val="00F64C60"/>
    <w:rsid w:val="00F65008"/>
    <w:rsid w:val="00F6503C"/>
    <w:rsid w:val="00F65FDE"/>
    <w:rsid w:val="00F6614D"/>
    <w:rsid w:val="00F66296"/>
    <w:rsid w:val="00F6663B"/>
    <w:rsid w:val="00F6677F"/>
    <w:rsid w:val="00F667BB"/>
    <w:rsid w:val="00F66A04"/>
    <w:rsid w:val="00F66A3B"/>
    <w:rsid w:val="00F66F50"/>
    <w:rsid w:val="00F66FE7"/>
    <w:rsid w:val="00F67370"/>
    <w:rsid w:val="00F6745D"/>
    <w:rsid w:val="00F67A25"/>
    <w:rsid w:val="00F67CA5"/>
    <w:rsid w:val="00F7000C"/>
    <w:rsid w:val="00F7027C"/>
    <w:rsid w:val="00F702CD"/>
    <w:rsid w:val="00F702E1"/>
    <w:rsid w:val="00F708E4"/>
    <w:rsid w:val="00F709E5"/>
    <w:rsid w:val="00F70E9C"/>
    <w:rsid w:val="00F71008"/>
    <w:rsid w:val="00F7131B"/>
    <w:rsid w:val="00F71582"/>
    <w:rsid w:val="00F7170A"/>
    <w:rsid w:val="00F71BAF"/>
    <w:rsid w:val="00F71C94"/>
    <w:rsid w:val="00F71DE5"/>
    <w:rsid w:val="00F71E66"/>
    <w:rsid w:val="00F71EEC"/>
    <w:rsid w:val="00F7232F"/>
    <w:rsid w:val="00F72857"/>
    <w:rsid w:val="00F72885"/>
    <w:rsid w:val="00F728E4"/>
    <w:rsid w:val="00F72EB3"/>
    <w:rsid w:val="00F72F50"/>
    <w:rsid w:val="00F72FE6"/>
    <w:rsid w:val="00F739B9"/>
    <w:rsid w:val="00F739C6"/>
    <w:rsid w:val="00F73CB9"/>
    <w:rsid w:val="00F73F54"/>
    <w:rsid w:val="00F743C5"/>
    <w:rsid w:val="00F7456A"/>
    <w:rsid w:val="00F746C7"/>
    <w:rsid w:val="00F7478F"/>
    <w:rsid w:val="00F74953"/>
    <w:rsid w:val="00F74A85"/>
    <w:rsid w:val="00F74E37"/>
    <w:rsid w:val="00F75133"/>
    <w:rsid w:val="00F7516E"/>
    <w:rsid w:val="00F75457"/>
    <w:rsid w:val="00F7557A"/>
    <w:rsid w:val="00F7558C"/>
    <w:rsid w:val="00F75823"/>
    <w:rsid w:val="00F75A4C"/>
    <w:rsid w:val="00F75B7E"/>
    <w:rsid w:val="00F75BD6"/>
    <w:rsid w:val="00F760A1"/>
    <w:rsid w:val="00F764A7"/>
    <w:rsid w:val="00F76596"/>
    <w:rsid w:val="00F768B5"/>
    <w:rsid w:val="00F76F71"/>
    <w:rsid w:val="00F770DD"/>
    <w:rsid w:val="00F77295"/>
    <w:rsid w:val="00F77442"/>
    <w:rsid w:val="00F776CE"/>
    <w:rsid w:val="00F77DC4"/>
    <w:rsid w:val="00F77DDA"/>
    <w:rsid w:val="00F800C9"/>
    <w:rsid w:val="00F8072D"/>
    <w:rsid w:val="00F80BB0"/>
    <w:rsid w:val="00F80D53"/>
    <w:rsid w:val="00F80D6C"/>
    <w:rsid w:val="00F810F4"/>
    <w:rsid w:val="00F811E5"/>
    <w:rsid w:val="00F81978"/>
    <w:rsid w:val="00F81ED0"/>
    <w:rsid w:val="00F81FB7"/>
    <w:rsid w:val="00F81FFD"/>
    <w:rsid w:val="00F82010"/>
    <w:rsid w:val="00F82026"/>
    <w:rsid w:val="00F8218C"/>
    <w:rsid w:val="00F82364"/>
    <w:rsid w:val="00F8270A"/>
    <w:rsid w:val="00F82811"/>
    <w:rsid w:val="00F82BDF"/>
    <w:rsid w:val="00F82D97"/>
    <w:rsid w:val="00F83020"/>
    <w:rsid w:val="00F83667"/>
    <w:rsid w:val="00F83A36"/>
    <w:rsid w:val="00F83FBF"/>
    <w:rsid w:val="00F841EB"/>
    <w:rsid w:val="00F84311"/>
    <w:rsid w:val="00F84800"/>
    <w:rsid w:val="00F84816"/>
    <w:rsid w:val="00F849E3"/>
    <w:rsid w:val="00F84A29"/>
    <w:rsid w:val="00F84CD2"/>
    <w:rsid w:val="00F84EF3"/>
    <w:rsid w:val="00F85792"/>
    <w:rsid w:val="00F85937"/>
    <w:rsid w:val="00F859B1"/>
    <w:rsid w:val="00F85CCE"/>
    <w:rsid w:val="00F85E1C"/>
    <w:rsid w:val="00F85E7E"/>
    <w:rsid w:val="00F865D2"/>
    <w:rsid w:val="00F866E4"/>
    <w:rsid w:val="00F86948"/>
    <w:rsid w:val="00F86ACF"/>
    <w:rsid w:val="00F87787"/>
    <w:rsid w:val="00F87B9B"/>
    <w:rsid w:val="00F87D18"/>
    <w:rsid w:val="00F90318"/>
    <w:rsid w:val="00F90665"/>
    <w:rsid w:val="00F906E0"/>
    <w:rsid w:val="00F9083A"/>
    <w:rsid w:val="00F91144"/>
    <w:rsid w:val="00F913C1"/>
    <w:rsid w:val="00F91475"/>
    <w:rsid w:val="00F9182A"/>
    <w:rsid w:val="00F919C1"/>
    <w:rsid w:val="00F91CB6"/>
    <w:rsid w:val="00F91E52"/>
    <w:rsid w:val="00F91EA8"/>
    <w:rsid w:val="00F92074"/>
    <w:rsid w:val="00F9250D"/>
    <w:rsid w:val="00F92627"/>
    <w:rsid w:val="00F9301A"/>
    <w:rsid w:val="00F93679"/>
    <w:rsid w:val="00F94257"/>
    <w:rsid w:val="00F94A38"/>
    <w:rsid w:val="00F94CBA"/>
    <w:rsid w:val="00F951E2"/>
    <w:rsid w:val="00F952F1"/>
    <w:rsid w:val="00F958B5"/>
    <w:rsid w:val="00F958E7"/>
    <w:rsid w:val="00F95955"/>
    <w:rsid w:val="00F95C1A"/>
    <w:rsid w:val="00F95C68"/>
    <w:rsid w:val="00F95C7B"/>
    <w:rsid w:val="00F95F1C"/>
    <w:rsid w:val="00F96427"/>
    <w:rsid w:val="00F966A8"/>
    <w:rsid w:val="00F96DA4"/>
    <w:rsid w:val="00F974B6"/>
    <w:rsid w:val="00F97C37"/>
    <w:rsid w:val="00F97F8D"/>
    <w:rsid w:val="00F97FDD"/>
    <w:rsid w:val="00FA0128"/>
    <w:rsid w:val="00FA015F"/>
    <w:rsid w:val="00FA0410"/>
    <w:rsid w:val="00FA08EF"/>
    <w:rsid w:val="00FA09E0"/>
    <w:rsid w:val="00FA0EFA"/>
    <w:rsid w:val="00FA0F62"/>
    <w:rsid w:val="00FA0FC5"/>
    <w:rsid w:val="00FA1168"/>
    <w:rsid w:val="00FA18A4"/>
    <w:rsid w:val="00FA1B3D"/>
    <w:rsid w:val="00FA1E7F"/>
    <w:rsid w:val="00FA1ED0"/>
    <w:rsid w:val="00FA2242"/>
    <w:rsid w:val="00FA23BC"/>
    <w:rsid w:val="00FA26AF"/>
    <w:rsid w:val="00FA29DA"/>
    <w:rsid w:val="00FA2AD7"/>
    <w:rsid w:val="00FA2BA9"/>
    <w:rsid w:val="00FA2F45"/>
    <w:rsid w:val="00FA35AC"/>
    <w:rsid w:val="00FA36C3"/>
    <w:rsid w:val="00FA3C54"/>
    <w:rsid w:val="00FA3D63"/>
    <w:rsid w:val="00FA459A"/>
    <w:rsid w:val="00FA4795"/>
    <w:rsid w:val="00FA4E3D"/>
    <w:rsid w:val="00FA5090"/>
    <w:rsid w:val="00FA5152"/>
    <w:rsid w:val="00FA529F"/>
    <w:rsid w:val="00FA5447"/>
    <w:rsid w:val="00FA5482"/>
    <w:rsid w:val="00FA55A3"/>
    <w:rsid w:val="00FA57B5"/>
    <w:rsid w:val="00FA586B"/>
    <w:rsid w:val="00FA5894"/>
    <w:rsid w:val="00FA5A84"/>
    <w:rsid w:val="00FA5C30"/>
    <w:rsid w:val="00FA5FFA"/>
    <w:rsid w:val="00FA6196"/>
    <w:rsid w:val="00FA6652"/>
    <w:rsid w:val="00FA69D3"/>
    <w:rsid w:val="00FA6FD2"/>
    <w:rsid w:val="00FA6FD3"/>
    <w:rsid w:val="00FA72A2"/>
    <w:rsid w:val="00FA749F"/>
    <w:rsid w:val="00FA75A2"/>
    <w:rsid w:val="00FA76E2"/>
    <w:rsid w:val="00FA7721"/>
    <w:rsid w:val="00FA7E97"/>
    <w:rsid w:val="00FA7EAD"/>
    <w:rsid w:val="00FB0115"/>
    <w:rsid w:val="00FB0B9B"/>
    <w:rsid w:val="00FB198F"/>
    <w:rsid w:val="00FB19E9"/>
    <w:rsid w:val="00FB1CB1"/>
    <w:rsid w:val="00FB32CF"/>
    <w:rsid w:val="00FB4019"/>
    <w:rsid w:val="00FB4230"/>
    <w:rsid w:val="00FB4306"/>
    <w:rsid w:val="00FB471A"/>
    <w:rsid w:val="00FB47A3"/>
    <w:rsid w:val="00FB4828"/>
    <w:rsid w:val="00FB48D4"/>
    <w:rsid w:val="00FB4B6F"/>
    <w:rsid w:val="00FB4C94"/>
    <w:rsid w:val="00FB4DC3"/>
    <w:rsid w:val="00FB5135"/>
    <w:rsid w:val="00FB54C2"/>
    <w:rsid w:val="00FB553E"/>
    <w:rsid w:val="00FB5C66"/>
    <w:rsid w:val="00FB5CE0"/>
    <w:rsid w:val="00FB5D01"/>
    <w:rsid w:val="00FB61DE"/>
    <w:rsid w:val="00FB65C9"/>
    <w:rsid w:val="00FB69C5"/>
    <w:rsid w:val="00FB6D25"/>
    <w:rsid w:val="00FB7A1E"/>
    <w:rsid w:val="00FC0043"/>
    <w:rsid w:val="00FC025B"/>
    <w:rsid w:val="00FC0338"/>
    <w:rsid w:val="00FC05C8"/>
    <w:rsid w:val="00FC0871"/>
    <w:rsid w:val="00FC0EAE"/>
    <w:rsid w:val="00FC1174"/>
    <w:rsid w:val="00FC11C4"/>
    <w:rsid w:val="00FC1347"/>
    <w:rsid w:val="00FC13CF"/>
    <w:rsid w:val="00FC14C3"/>
    <w:rsid w:val="00FC2012"/>
    <w:rsid w:val="00FC20CD"/>
    <w:rsid w:val="00FC21A5"/>
    <w:rsid w:val="00FC27B2"/>
    <w:rsid w:val="00FC2864"/>
    <w:rsid w:val="00FC2C77"/>
    <w:rsid w:val="00FC3425"/>
    <w:rsid w:val="00FC34EE"/>
    <w:rsid w:val="00FC351C"/>
    <w:rsid w:val="00FC370E"/>
    <w:rsid w:val="00FC397F"/>
    <w:rsid w:val="00FC3DD6"/>
    <w:rsid w:val="00FC3DD8"/>
    <w:rsid w:val="00FC3E18"/>
    <w:rsid w:val="00FC4010"/>
    <w:rsid w:val="00FC422C"/>
    <w:rsid w:val="00FC457D"/>
    <w:rsid w:val="00FC4845"/>
    <w:rsid w:val="00FC4FA1"/>
    <w:rsid w:val="00FC5373"/>
    <w:rsid w:val="00FC552F"/>
    <w:rsid w:val="00FC5614"/>
    <w:rsid w:val="00FC5823"/>
    <w:rsid w:val="00FC5A4C"/>
    <w:rsid w:val="00FC5B1F"/>
    <w:rsid w:val="00FC61BB"/>
    <w:rsid w:val="00FC6731"/>
    <w:rsid w:val="00FC6C56"/>
    <w:rsid w:val="00FC6DE9"/>
    <w:rsid w:val="00FC74D4"/>
    <w:rsid w:val="00FC7724"/>
    <w:rsid w:val="00FC7825"/>
    <w:rsid w:val="00FC7C8A"/>
    <w:rsid w:val="00FC7E84"/>
    <w:rsid w:val="00FD005A"/>
    <w:rsid w:val="00FD03AC"/>
    <w:rsid w:val="00FD07E6"/>
    <w:rsid w:val="00FD0C1B"/>
    <w:rsid w:val="00FD0C93"/>
    <w:rsid w:val="00FD0D41"/>
    <w:rsid w:val="00FD0EAA"/>
    <w:rsid w:val="00FD0F74"/>
    <w:rsid w:val="00FD0F98"/>
    <w:rsid w:val="00FD156F"/>
    <w:rsid w:val="00FD17FC"/>
    <w:rsid w:val="00FD1829"/>
    <w:rsid w:val="00FD1908"/>
    <w:rsid w:val="00FD1963"/>
    <w:rsid w:val="00FD1E1F"/>
    <w:rsid w:val="00FD20B1"/>
    <w:rsid w:val="00FD2126"/>
    <w:rsid w:val="00FD2343"/>
    <w:rsid w:val="00FD2639"/>
    <w:rsid w:val="00FD2964"/>
    <w:rsid w:val="00FD2DCD"/>
    <w:rsid w:val="00FD2EDB"/>
    <w:rsid w:val="00FD3387"/>
    <w:rsid w:val="00FD34B6"/>
    <w:rsid w:val="00FD387C"/>
    <w:rsid w:val="00FD3B74"/>
    <w:rsid w:val="00FD3D3B"/>
    <w:rsid w:val="00FD3D5E"/>
    <w:rsid w:val="00FD3E17"/>
    <w:rsid w:val="00FD3E34"/>
    <w:rsid w:val="00FD4046"/>
    <w:rsid w:val="00FD41A9"/>
    <w:rsid w:val="00FD459B"/>
    <w:rsid w:val="00FD49DD"/>
    <w:rsid w:val="00FD4DD1"/>
    <w:rsid w:val="00FD50DE"/>
    <w:rsid w:val="00FD5DBE"/>
    <w:rsid w:val="00FD620F"/>
    <w:rsid w:val="00FD62E8"/>
    <w:rsid w:val="00FD6AB9"/>
    <w:rsid w:val="00FD6D25"/>
    <w:rsid w:val="00FD72B5"/>
    <w:rsid w:val="00FD7443"/>
    <w:rsid w:val="00FD747C"/>
    <w:rsid w:val="00FD7740"/>
    <w:rsid w:val="00FD779C"/>
    <w:rsid w:val="00FD77DE"/>
    <w:rsid w:val="00FD79AE"/>
    <w:rsid w:val="00FE000D"/>
    <w:rsid w:val="00FE04C3"/>
    <w:rsid w:val="00FE0507"/>
    <w:rsid w:val="00FE07C5"/>
    <w:rsid w:val="00FE0B18"/>
    <w:rsid w:val="00FE0BD6"/>
    <w:rsid w:val="00FE0C4E"/>
    <w:rsid w:val="00FE0D52"/>
    <w:rsid w:val="00FE0D8A"/>
    <w:rsid w:val="00FE10DF"/>
    <w:rsid w:val="00FE1200"/>
    <w:rsid w:val="00FE1393"/>
    <w:rsid w:val="00FE1786"/>
    <w:rsid w:val="00FE18DC"/>
    <w:rsid w:val="00FE1964"/>
    <w:rsid w:val="00FE1DAA"/>
    <w:rsid w:val="00FE2C0D"/>
    <w:rsid w:val="00FE2D5C"/>
    <w:rsid w:val="00FE36E0"/>
    <w:rsid w:val="00FE3BD0"/>
    <w:rsid w:val="00FE3DDF"/>
    <w:rsid w:val="00FE3F8A"/>
    <w:rsid w:val="00FE4518"/>
    <w:rsid w:val="00FE4766"/>
    <w:rsid w:val="00FE47C1"/>
    <w:rsid w:val="00FE4878"/>
    <w:rsid w:val="00FE4AA9"/>
    <w:rsid w:val="00FE4C32"/>
    <w:rsid w:val="00FE50DA"/>
    <w:rsid w:val="00FE519C"/>
    <w:rsid w:val="00FE52B5"/>
    <w:rsid w:val="00FE57C2"/>
    <w:rsid w:val="00FE5F46"/>
    <w:rsid w:val="00FE666A"/>
    <w:rsid w:val="00FE6BD6"/>
    <w:rsid w:val="00FE6EB8"/>
    <w:rsid w:val="00FE70E8"/>
    <w:rsid w:val="00FE7253"/>
    <w:rsid w:val="00FF00BE"/>
    <w:rsid w:val="00FF0724"/>
    <w:rsid w:val="00FF0BBE"/>
    <w:rsid w:val="00FF0DC7"/>
    <w:rsid w:val="00FF0F45"/>
    <w:rsid w:val="00FF143D"/>
    <w:rsid w:val="00FF177B"/>
    <w:rsid w:val="00FF2302"/>
    <w:rsid w:val="00FF2817"/>
    <w:rsid w:val="00FF2BD8"/>
    <w:rsid w:val="00FF2DB6"/>
    <w:rsid w:val="00FF2F1A"/>
    <w:rsid w:val="00FF3104"/>
    <w:rsid w:val="00FF32A1"/>
    <w:rsid w:val="00FF32B5"/>
    <w:rsid w:val="00FF3535"/>
    <w:rsid w:val="00FF3734"/>
    <w:rsid w:val="00FF3B6B"/>
    <w:rsid w:val="00FF3F7A"/>
    <w:rsid w:val="00FF41BA"/>
    <w:rsid w:val="00FF44E3"/>
    <w:rsid w:val="00FF4B2F"/>
    <w:rsid w:val="00FF4C6F"/>
    <w:rsid w:val="00FF4E57"/>
    <w:rsid w:val="00FF4E89"/>
    <w:rsid w:val="00FF523E"/>
    <w:rsid w:val="00FF5975"/>
    <w:rsid w:val="00FF59FA"/>
    <w:rsid w:val="00FF5C4C"/>
    <w:rsid w:val="00FF5D2A"/>
    <w:rsid w:val="00FF5DD9"/>
    <w:rsid w:val="00FF5E44"/>
    <w:rsid w:val="00FF60E9"/>
    <w:rsid w:val="00FF63E6"/>
    <w:rsid w:val="00FF6866"/>
    <w:rsid w:val="00FF6C68"/>
    <w:rsid w:val="00FF6EAA"/>
    <w:rsid w:val="00FF6FC5"/>
    <w:rsid w:val="00FF75A7"/>
    <w:rsid w:val="00FF7B7D"/>
    <w:rsid w:val="018BAB2C"/>
    <w:rsid w:val="01EEC21B"/>
    <w:rsid w:val="04186107"/>
    <w:rsid w:val="04C6DD59"/>
    <w:rsid w:val="0651FC06"/>
    <w:rsid w:val="070D9C8E"/>
    <w:rsid w:val="076E87BB"/>
    <w:rsid w:val="083CCACA"/>
    <w:rsid w:val="09D4E26C"/>
    <w:rsid w:val="09FB5063"/>
    <w:rsid w:val="0A149474"/>
    <w:rsid w:val="0A370BCB"/>
    <w:rsid w:val="0C0BBBD7"/>
    <w:rsid w:val="0D6F4D62"/>
    <w:rsid w:val="0E5933C0"/>
    <w:rsid w:val="0F9C48F8"/>
    <w:rsid w:val="101FD35E"/>
    <w:rsid w:val="102E406C"/>
    <w:rsid w:val="10354B59"/>
    <w:rsid w:val="11754E5B"/>
    <w:rsid w:val="17504D2E"/>
    <w:rsid w:val="183DD3FE"/>
    <w:rsid w:val="192DE588"/>
    <w:rsid w:val="198D0641"/>
    <w:rsid w:val="19F46266"/>
    <w:rsid w:val="1B6909E2"/>
    <w:rsid w:val="1C2E2A6A"/>
    <w:rsid w:val="1D2976DC"/>
    <w:rsid w:val="1F42E6AD"/>
    <w:rsid w:val="1F6C62DE"/>
    <w:rsid w:val="1FC71260"/>
    <w:rsid w:val="20C56824"/>
    <w:rsid w:val="236C0709"/>
    <w:rsid w:val="238C3FFB"/>
    <w:rsid w:val="244F2E50"/>
    <w:rsid w:val="246D4EF5"/>
    <w:rsid w:val="24AB9C89"/>
    <w:rsid w:val="25C54978"/>
    <w:rsid w:val="2670E566"/>
    <w:rsid w:val="269A1EB8"/>
    <w:rsid w:val="29D82A70"/>
    <w:rsid w:val="29E2C608"/>
    <w:rsid w:val="2A16B9C0"/>
    <w:rsid w:val="2BEB43C1"/>
    <w:rsid w:val="2C9C5D36"/>
    <w:rsid w:val="2D8C0BC7"/>
    <w:rsid w:val="2DA1B98C"/>
    <w:rsid w:val="2DCAC4C4"/>
    <w:rsid w:val="2E1717EC"/>
    <w:rsid w:val="2F713A13"/>
    <w:rsid w:val="300ECFC7"/>
    <w:rsid w:val="338B8541"/>
    <w:rsid w:val="33B1AFDD"/>
    <w:rsid w:val="347094D2"/>
    <w:rsid w:val="35B9FF74"/>
    <w:rsid w:val="361A42D1"/>
    <w:rsid w:val="37210511"/>
    <w:rsid w:val="38D9EC51"/>
    <w:rsid w:val="3A76FD99"/>
    <w:rsid w:val="3ACA091A"/>
    <w:rsid w:val="3BA1731A"/>
    <w:rsid w:val="3BA64B75"/>
    <w:rsid w:val="3BECC6FA"/>
    <w:rsid w:val="3C49A490"/>
    <w:rsid w:val="3D8788F8"/>
    <w:rsid w:val="3DB38C8D"/>
    <w:rsid w:val="3F7783BA"/>
    <w:rsid w:val="3FE3C2FE"/>
    <w:rsid w:val="404B7929"/>
    <w:rsid w:val="4145DFC8"/>
    <w:rsid w:val="44AFC1B0"/>
    <w:rsid w:val="45B1FD60"/>
    <w:rsid w:val="45EA56D0"/>
    <w:rsid w:val="47EE4808"/>
    <w:rsid w:val="4803D545"/>
    <w:rsid w:val="481DC182"/>
    <w:rsid w:val="48CFBCC8"/>
    <w:rsid w:val="49EDEF39"/>
    <w:rsid w:val="4B674CE0"/>
    <w:rsid w:val="4B77532B"/>
    <w:rsid w:val="4BA59CBC"/>
    <w:rsid w:val="4E535954"/>
    <w:rsid w:val="4F053450"/>
    <w:rsid w:val="54673C06"/>
    <w:rsid w:val="5668EED1"/>
    <w:rsid w:val="594EE6FD"/>
    <w:rsid w:val="59802FB3"/>
    <w:rsid w:val="59866551"/>
    <w:rsid w:val="5A882E17"/>
    <w:rsid w:val="5B057B2F"/>
    <w:rsid w:val="5BAEF376"/>
    <w:rsid w:val="5BE5E886"/>
    <w:rsid w:val="5ED50C1F"/>
    <w:rsid w:val="60BABAD9"/>
    <w:rsid w:val="62B4F0E9"/>
    <w:rsid w:val="641BC003"/>
    <w:rsid w:val="645C5DD9"/>
    <w:rsid w:val="6470E3EB"/>
    <w:rsid w:val="66474A33"/>
    <w:rsid w:val="66FCFF87"/>
    <w:rsid w:val="67E06E26"/>
    <w:rsid w:val="69ADD75B"/>
    <w:rsid w:val="6B309D9F"/>
    <w:rsid w:val="6BAEF594"/>
    <w:rsid w:val="6BE6E943"/>
    <w:rsid w:val="6C30C04D"/>
    <w:rsid w:val="6C9C7A05"/>
    <w:rsid w:val="6CF2D8E2"/>
    <w:rsid w:val="6E92902D"/>
    <w:rsid w:val="6EA9A335"/>
    <w:rsid w:val="6ED37154"/>
    <w:rsid w:val="6F913442"/>
    <w:rsid w:val="6F9E961D"/>
    <w:rsid w:val="70D74747"/>
    <w:rsid w:val="73B9D3DE"/>
    <w:rsid w:val="7539D181"/>
    <w:rsid w:val="7AAD2DBC"/>
    <w:rsid w:val="7B10666E"/>
    <w:rsid w:val="7B96A3B1"/>
    <w:rsid w:val="7C303306"/>
    <w:rsid w:val="7C4A4489"/>
    <w:rsid w:val="7C8D7BCE"/>
    <w:rsid w:val="7E75A093"/>
    <w:rsid w:val="7F9E0AFD"/>
    <w:rsid w:val="7FEE224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15AB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655"/>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1A6655"/>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1A6655"/>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1A6655"/>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1A6655"/>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1A6655"/>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1A6655"/>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1A6655"/>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1A6655"/>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1A6655"/>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1A6655"/>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1A6655"/>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1A6655"/>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1A6655"/>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1A6655"/>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1A6655"/>
    <w:pPr>
      <w:tabs>
        <w:tab w:val="right" w:leader="dot" w:pos="9360"/>
      </w:tabs>
      <w:ind w:left="1440"/>
    </w:pPr>
    <w:rPr>
      <w:rFonts w:eastAsia="Times New Roman"/>
      <w:szCs w:val="26"/>
    </w:rPr>
  </w:style>
  <w:style w:type="paragraph" w:customStyle="1" w:styleId="myTOC7">
    <w:name w:val="myTOC 7"/>
    <w:basedOn w:val="Normal"/>
    <w:next w:val="Normal"/>
    <w:rsid w:val="001A6655"/>
    <w:pPr>
      <w:tabs>
        <w:tab w:val="right" w:leader="dot" w:pos="9360"/>
      </w:tabs>
      <w:ind w:left="1728"/>
    </w:pPr>
    <w:rPr>
      <w:rFonts w:eastAsia="Times New Roman"/>
      <w:szCs w:val="26"/>
    </w:rPr>
  </w:style>
  <w:style w:type="paragraph" w:customStyle="1" w:styleId="myTOC8">
    <w:name w:val="myTOC 8"/>
    <w:basedOn w:val="Normal"/>
    <w:next w:val="Normal"/>
    <w:rsid w:val="001A6655"/>
    <w:pPr>
      <w:tabs>
        <w:tab w:val="right" w:leader="dot" w:pos="9360"/>
      </w:tabs>
      <w:ind w:left="2016"/>
    </w:pPr>
    <w:rPr>
      <w:rFonts w:eastAsia="Times New Roman"/>
      <w:szCs w:val="26"/>
    </w:rPr>
  </w:style>
  <w:style w:type="paragraph" w:customStyle="1" w:styleId="myTOC9">
    <w:name w:val="myTOC 9"/>
    <w:basedOn w:val="Normal"/>
    <w:next w:val="Normal"/>
    <w:rsid w:val="001A6655"/>
    <w:pPr>
      <w:tabs>
        <w:tab w:val="right" w:leader="dot" w:pos="9360"/>
      </w:tabs>
      <w:ind w:left="2304"/>
    </w:pPr>
    <w:rPr>
      <w:rFonts w:eastAsia="Times New Roman"/>
      <w:szCs w:val="26"/>
    </w:rPr>
  </w:style>
  <w:style w:type="paragraph" w:customStyle="1" w:styleId="Non-TOCStyle">
    <w:name w:val="Non-TOC Style"/>
    <w:basedOn w:val="Normal"/>
    <w:next w:val="FERCparanumber"/>
    <w:rsid w:val="001A6655"/>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1A6655"/>
    <w:rPr>
      <w:rFonts w:ascii="Arial" w:hAnsi="Arial" w:cs="Arial"/>
      <w:sz w:val="20"/>
      <w:szCs w:val="18"/>
    </w:rPr>
  </w:style>
  <w:style w:type="character" w:customStyle="1" w:styleId="BalloonTextChar">
    <w:name w:val="Balloon Text Char"/>
    <w:basedOn w:val="DefaultParagraphFont"/>
    <w:link w:val="BalloonText"/>
    <w:uiPriority w:val="99"/>
    <w:semiHidden/>
    <w:rsid w:val="001A6655"/>
    <w:rPr>
      <w:rFonts w:ascii="Arial" w:hAnsi="Arial" w:cs="Arial"/>
      <w:sz w:val="20"/>
      <w:szCs w:val="18"/>
    </w:rPr>
  </w:style>
  <w:style w:type="paragraph" w:styleId="Bibliography">
    <w:name w:val="Bibliography"/>
    <w:basedOn w:val="Normal"/>
    <w:next w:val="Normal"/>
    <w:uiPriority w:val="37"/>
    <w:semiHidden/>
    <w:unhideWhenUsed/>
    <w:rsid w:val="001A6655"/>
  </w:style>
  <w:style w:type="paragraph" w:styleId="BlockText">
    <w:name w:val="Block Text"/>
    <w:basedOn w:val="Normal"/>
    <w:uiPriority w:val="99"/>
    <w:semiHidden/>
    <w:unhideWhenUsed/>
    <w:rsid w:val="001A665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1A6655"/>
    <w:pPr>
      <w:spacing w:after="240"/>
      <w:ind w:firstLine="720"/>
    </w:pPr>
  </w:style>
  <w:style w:type="character" w:customStyle="1" w:styleId="BodyTextChar">
    <w:name w:val="Body Text Char"/>
    <w:basedOn w:val="DefaultParagraphFont"/>
    <w:link w:val="BodyText"/>
    <w:uiPriority w:val="99"/>
    <w:rsid w:val="001A6655"/>
    <w:rPr>
      <w:rFonts w:ascii="Times New Roman" w:hAnsi="Times New Roman" w:cs="Times New Roman"/>
      <w:sz w:val="26"/>
    </w:rPr>
  </w:style>
  <w:style w:type="paragraph" w:styleId="BodyText2">
    <w:name w:val="Body Text 2"/>
    <w:basedOn w:val="Normal"/>
    <w:link w:val="BodyText2Char"/>
    <w:uiPriority w:val="99"/>
    <w:semiHidden/>
    <w:unhideWhenUsed/>
    <w:rsid w:val="001A6655"/>
    <w:pPr>
      <w:spacing w:after="120" w:line="480" w:lineRule="auto"/>
    </w:pPr>
  </w:style>
  <w:style w:type="character" w:customStyle="1" w:styleId="BodyText2Char">
    <w:name w:val="Body Text 2 Char"/>
    <w:basedOn w:val="DefaultParagraphFont"/>
    <w:link w:val="BodyText2"/>
    <w:uiPriority w:val="99"/>
    <w:semiHidden/>
    <w:rsid w:val="001A6655"/>
    <w:rPr>
      <w:rFonts w:ascii="Times New Roman" w:hAnsi="Times New Roman" w:cs="Times New Roman"/>
      <w:sz w:val="26"/>
    </w:rPr>
  </w:style>
  <w:style w:type="paragraph" w:styleId="BodyText3">
    <w:name w:val="Body Text 3"/>
    <w:basedOn w:val="Normal"/>
    <w:link w:val="BodyText3Char"/>
    <w:uiPriority w:val="99"/>
    <w:semiHidden/>
    <w:unhideWhenUsed/>
    <w:rsid w:val="001A6655"/>
    <w:pPr>
      <w:spacing w:after="120"/>
    </w:pPr>
    <w:rPr>
      <w:sz w:val="16"/>
      <w:szCs w:val="16"/>
    </w:rPr>
  </w:style>
  <w:style w:type="character" w:customStyle="1" w:styleId="BodyText3Char">
    <w:name w:val="Body Text 3 Char"/>
    <w:basedOn w:val="DefaultParagraphFont"/>
    <w:link w:val="BodyText3"/>
    <w:uiPriority w:val="99"/>
    <w:semiHidden/>
    <w:rsid w:val="001A665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1A6655"/>
    <w:pPr>
      <w:spacing w:after="160"/>
      <w:ind w:firstLine="360"/>
    </w:pPr>
  </w:style>
  <w:style w:type="character" w:customStyle="1" w:styleId="BodyTextFirstIndentChar">
    <w:name w:val="Body Text First Indent Char"/>
    <w:basedOn w:val="BodyTextChar"/>
    <w:link w:val="BodyTextFirstIndent"/>
    <w:uiPriority w:val="99"/>
    <w:semiHidden/>
    <w:rsid w:val="001A6655"/>
    <w:rPr>
      <w:rFonts w:ascii="Times New Roman" w:hAnsi="Times New Roman" w:cs="Times New Roman"/>
      <w:sz w:val="26"/>
    </w:rPr>
  </w:style>
  <w:style w:type="paragraph" w:styleId="BodyTextIndent">
    <w:name w:val="Body Text Indent"/>
    <w:basedOn w:val="Normal"/>
    <w:link w:val="BodyTextIndentChar"/>
    <w:uiPriority w:val="99"/>
    <w:semiHidden/>
    <w:unhideWhenUsed/>
    <w:rsid w:val="001A6655"/>
    <w:pPr>
      <w:spacing w:after="120"/>
      <w:ind w:left="360"/>
    </w:pPr>
  </w:style>
  <w:style w:type="character" w:customStyle="1" w:styleId="BodyTextIndentChar">
    <w:name w:val="Body Text Indent Char"/>
    <w:basedOn w:val="DefaultParagraphFont"/>
    <w:link w:val="BodyTextIndent"/>
    <w:uiPriority w:val="99"/>
    <w:semiHidden/>
    <w:rsid w:val="001A6655"/>
    <w:rPr>
      <w:rFonts w:ascii="Times New Roman" w:hAnsi="Times New Roman" w:cs="Times New Roman"/>
      <w:sz w:val="26"/>
    </w:rPr>
  </w:style>
  <w:style w:type="paragraph" w:styleId="BodyTextFirstIndent2">
    <w:name w:val="Body Text First Indent 2"/>
    <w:basedOn w:val="BodyTextIndent"/>
    <w:link w:val="BodyTextFirstIndent2Char"/>
    <w:uiPriority w:val="99"/>
    <w:semiHidden/>
    <w:unhideWhenUsed/>
    <w:rsid w:val="001A6655"/>
    <w:pPr>
      <w:spacing w:after="160"/>
      <w:ind w:firstLine="360"/>
    </w:pPr>
  </w:style>
  <w:style w:type="character" w:customStyle="1" w:styleId="BodyTextFirstIndent2Char">
    <w:name w:val="Body Text First Indent 2 Char"/>
    <w:basedOn w:val="BodyTextIndentChar"/>
    <w:link w:val="BodyTextFirstIndent2"/>
    <w:uiPriority w:val="99"/>
    <w:semiHidden/>
    <w:rsid w:val="001A6655"/>
    <w:rPr>
      <w:rFonts w:ascii="Times New Roman" w:hAnsi="Times New Roman" w:cs="Times New Roman"/>
      <w:sz w:val="26"/>
    </w:rPr>
  </w:style>
  <w:style w:type="paragraph" w:styleId="BodyTextIndent2">
    <w:name w:val="Body Text Indent 2"/>
    <w:basedOn w:val="Normal"/>
    <w:link w:val="BodyTextIndent2Char"/>
    <w:uiPriority w:val="99"/>
    <w:semiHidden/>
    <w:unhideWhenUsed/>
    <w:rsid w:val="001A6655"/>
    <w:pPr>
      <w:spacing w:after="120" w:line="480" w:lineRule="auto"/>
      <w:ind w:left="360"/>
    </w:pPr>
  </w:style>
  <w:style w:type="character" w:customStyle="1" w:styleId="BodyTextIndent2Char">
    <w:name w:val="Body Text Indent 2 Char"/>
    <w:basedOn w:val="DefaultParagraphFont"/>
    <w:link w:val="BodyTextIndent2"/>
    <w:uiPriority w:val="99"/>
    <w:semiHidden/>
    <w:rsid w:val="001A6655"/>
    <w:rPr>
      <w:rFonts w:ascii="Times New Roman" w:hAnsi="Times New Roman" w:cs="Times New Roman"/>
      <w:sz w:val="26"/>
    </w:rPr>
  </w:style>
  <w:style w:type="paragraph" w:styleId="BodyTextIndent3">
    <w:name w:val="Body Text Indent 3"/>
    <w:basedOn w:val="Normal"/>
    <w:link w:val="BodyTextIndent3Char"/>
    <w:uiPriority w:val="99"/>
    <w:semiHidden/>
    <w:unhideWhenUsed/>
    <w:rsid w:val="001A665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A6655"/>
    <w:rPr>
      <w:rFonts w:ascii="Times New Roman" w:hAnsi="Times New Roman" w:cs="Times New Roman"/>
      <w:sz w:val="16"/>
      <w:szCs w:val="16"/>
    </w:rPr>
  </w:style>
  <w:style w:type="paragraph" w:styleId="Caption">
    <w:name w:val="caption"/>
    <w:basedOn w:val="Normal"/>
    <w:next w:val="Normal"/>
    <w:uiPriority w:val="35"/>
    <w:semiHidden/>
    <w:unhideWhenUsed/>
    <w:qFormat/>
    <w:rsid w:val="001A6655"/>
    <w:pPr>
      <w:spacing w:after="200"/>
    </w:pPr>
    <w:rPr>
      <w:iCs/>
      <w:szCs w:val="18"/>
    </w:rPr>
  </w:style>
  <w:style w:type="paragraph" w:styleId="Closing">
    <w:name w:val="Closing"/>
    <w:basedOn w:val="Normal"/>
    <w:link w:val="ClosingChar"/>
    <w:uiPriority w:val="99"/>
    <w:semiHidden/>
    <w:unhideWhenUsed/>
    <w:rsid w:val="001A6655"/>
    <w:pPr>
      <w:ind w:left="4320"/>
    </w:pPr>
  </w:style>
  <w:style w:type="character" w:customStyle="1" w:styleId="ClosingChar">
    <w:name w:val="Closing Char"/>
    <w:basedOn w:val="DefaultParagraphFont"/>
    <w:link w:val="Closing"/>
    <w:uiPriority w:val="99"/>
    <w:semiHidden/>
    <w:rsid w:val="001A6655"/>
    <w:rPr>
      <w:rFonts w:ascii="Times New Roman" w:hAnsi="Times New Roman" w:cs="Times New Roman"/>
      <w:sz w:val="26"/>
    </w:rPr>
  </w:style>
  <w:style w:type="paragraph" w:styleId="CommentText">
    <w:name w:val="annotation text"/>
    <w:basedOn w:val="Normal"/>
    <w:link w:val="CommentTextChar"/>
    <w:uiPriority w:val="99"/>
    <w:unhideWhenUsed/>
    <w:rsid w:val="001A6655"/>
    <w:rPr>
      <w:rFonts w:ascii="Arial" w:hAnsi="Arial" w:cs="Arial"/>
      <w:sz w:val="20"/>
      <w:szCs w:val="20"/>
    </w:rPr>
  </w:style>
  <w:style w:type="character" w:customStyle="1" w:styleId="CommentTextChar">
    <w:name w:val="Comment Text Char"/>
    <w:basedOn w:val="DefaultParagraphFont"/>
    <w:link w:val="CommentText"/>
    <w:uiPriority w:val="99"/>
    <w:rsid w:val="001A66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A6655"/>
    <w:rPr>
      <w:b/>
      <w:bCs/>
    </w:rPr>
  </w:style>
  <w:style w:type="character" w:customStyle="1" w:styleId="CommentSubjectChar">
    <w:name w:val="Comment Subject Char"/>
    <w:basedOn w:val="CommentTextChar"/>
    <w:link w:val="CommentSubject"/>
    <w:uiPriority w:val="99"/>
    <w:semiHidden/>
    <w:rsid w:val="001A6655"/>
    <w:rPr>
      <w:rFonts w:ascii="Arial" w:hAnsi="Arial" w:cs="Arial"/>
      <w:b/>
      <w:bCs/>
      <w:sz w:val="20"/>
      <w:szCs w:val="20"/>
    </w:rPr>
  </w:style>
  <w:style w:type="paragraph" w:styleId="Date">
    <w:name w:val="Date"/>
    <w:basedOn w:val="Normal"/>
    <w:next w:val="Normal"/>
    <w:link w:val="DateChar"/>
    <w:uiPriority w:val="99"/>
    <w:semiHidden/>
    <w:unhideWhenUsed/>
    <w:rsid w:val="001A6655"/>
  </w:style>
  <w:style w:type="character" w:customStyle="1" w:styleId="DateChar">
    <w:name w:val="Date Char"/>
    <w:basedOn w:val="DefaultParagraphFont"/>
    <w:link w:val="Date"/>
    <w:uiPriority w:val="99"/>
    <w:semiHidden/>
    <w:rsid w:val="001A6655"/>
    <w:rPr>
      <w:rFonts w:ascii="Times New Roman" w:hAnsi="Times New Roman" w:cs="Times New Roman"/>
      <w:sz w:val="26"/>
    </w:rPr>
  </w:style>
  <w:style w:type="paragraph" w:styleId="DocumentMap">
    <w:name w:val="Document Map"/>
    <w:basedOn w:val="Normal"/>
    <w:link w:val="DocumentMapChar"/>
    <w:uiPriority w:val="99"/>
    <w:semiHidden/>
    <w:unhideWhenUsed/>
    <w:rsid w:val="001A665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A6655"/>
    <w:rPr>
      <w:rFonts w:ascii="Segoe UI" w:hAnsi="Segoe UI" w:cs="Segoe UI"/>
      <w:sz w:val="16"/>
      <w:szCs w:val="16"/>
    </w:rPr>
  </w:style>
  <w:style w:type="paragraph" w:styleId="E-mailSignature">
    <w:name w:val="E-mail Signature"/>
    <w:basedOn w:val="Normal"/>
    <w:link w:val="E-mailSignatureChar"/>
    <w:uiPriority w:val="99"/>
    <w:semiHidden/>
    <w:unhideWhenUsed/>
    <w:rsid w:val="001A6655"/>
  </w:style>
  <w:style w:type="character" w:customStyle="1" w:styleId="E-mailSignatureChar">
    <w:name w:val="E-mail Signature Char"/>
    <w:basedOn w:val="DefaultParagraphFont"/>
    <w:link w:val="E-mailSignature"/>
    <w:uiPriority w:val="99"/>
    <w:semiHidden/>
    <w:rsid w:val="001A6655"/>
    <w:rPr>
      <w:rFonts w:ascii="Times New Roman" w:hAnsi="Times New Roman" w:cs="Times New Roman"/>
      <w:sz w:val="26"/>
    </w:rPr>
  </w:style>
  <w:style w:type="paragraph" w:styleId="EndnoteText">
    <w:name w:val="endnote text"/>
    <w:basedOn w:val="Normal"/>
    <w:link w:val="EndnoteTextChar"/>
    <w:uiPriority w:val="99"/>
    <w:semiHidden/>
    <w:unhideWhenUsed/>
    <w:rsid w:val="001A6655"/>
    <w:rPr>
      <w:sz w:val="20"/>
      <w:szCs w:val="20"/>
    </w:rPr>
  </w:style>
  <w:style w:type="character" w:customStyle="1" w:styleId="EndnoteTextChar">
    <w:name w:val="Endnote Text Char"/>
    <w:basedOn w:val="DefaultParagraphFont"/>
    <w:link w:val="EndnoteText"/>
    <w:uiPriority w:val="99"/>
    <w:semiHidden/>
    <w:rsid w:val="001A6655"/>
    <w:rPr>
      <w:rFonts w:ascii="Times New Roman" w:hAnsi="Times New Roman" w:cs="Times New Roman"/>
      <w:sz w:val="20"/>
      <w:szCs w:val="20"/>
    </w:rPr>
  </w:style>
  <w:style w:type="paragraph" w:styleId="EnvelopeAddress">
    <w:name w:val="envelope address"/>
    <w:basedOn w:val="Normal"/>
    <w:uiPriority w:val="99"/>
    <w:semiHidden/>
    <w:unhideWhenUsed/>
    <w:rsid w:val="001A665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A6655"/>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1A6655"/>
    <w:pPr>
      <w:tabs>
        <w:tab w:val="center" w:pos="4680"/>
        <w:tab w:val="right" w:pos="9360"/>
      </w:tabs>
    </w:pPr>
  </w:style>
  <w:style w:type="character" w:customStyle="1" w:styleId="FooterChar">
    <w:name w:val="Footer Char"/>
    <w:basedOn w:val="DefaultParagraphFont"/>
    <w:link w:val="Footer"/>
    <w:uiPriority w:val="99"/>
    <w:rsid w:val="001A6655"/>
    <w:rPr>
      <w:rFonts w:ascii="Times New Roman" w:hAnsi="Times New Roman" w:cs="Times New Roman"/>
      <w:sz w:val="26"/>
    </w:rPr>
  </w:style>
  <w:style w:type="paragraph" w:styleId="Header">
    <w:name w:val="header"/>
    <w:basedOn w:val="Normal"/>
    <w:link w:val="HeaderChar"/>
    <w:uiPriority w:val="99"/>
    <w:unhideWhenUsed/>
    <w:rsid w:val="001A6655"/>
    <w:pPr>
      <w:tabs>
        <w:tab w:val="center" w:pos="4680"/>
        <w:tab w:val="right" w:pos="9360"/>
      </w:tabs>
    </w:pPr>
  </w:style>
  <w:style w:type="character" w:customStyle="1" w:styleId="HeaderChar">
    <w:name w:val="Header Char"/>
    <w:basedOn w:val="DefaultParagraphFont"/>
    <w:link w:val="Header"/>
    <w:uiPriority w:val="99"/>
    <w:rsid w:val="001A6655"/>
    <w:rPr>
      <w:rFonts w:ascii="Times New Roman" w:hAnsi="Times New Roman" w:cs="Times New Roman"/>
      <w:sz w:val="26"/>
    </w:rPr>
  </w:style>
  <w:style w:type="paragraph" w:styleId="HTMLAddress">
    <w:name w:val="HTML Address"/>
    <w:basedOn w:val="Normal"/>
    <w:link w:val="HTMLAddressChar"/>
    <w:uiPriority w:val="99"/>
    <w:semiHidden/>
    <w:unhideWhenUsed/>
    <w:rsid w:val="001A6655"/>
    <w:rPr>
      <w:i/>
      <w:iCs/>
    </w:rPr>
  </w:style>
  <w:style w:type="character" w:customStyle="1" w:styleId="HTMLAddressChar">
    <w:name w:val="HTML Address Char"/>
    <w:basedOn w:val="DefaultParagraphFont"/>
    <w:link w:val="HTMLAddress"/>
    <w:uiPriority w:val="99"/>
    <w:semiHidden/>
    <w:rsid w:val="001A6655"/>
    <w:rPr>
      <w:rFonts w:ascii="Times New Roman" w:hAnsi="Times New Roman" w:cs="Times New Roman"/>
      <w:i/>
      <w:iCs/>
      <w:sz w:val="26"/>
    </w:rPr>
  </w:style>
  <w:style w:type="paragraph" w:styleId="HTMLPreformatted">
    <w:name w:val="HTML Preformatted"/>
    <w:basedOn w:val="Normal"/>
    <w:link w:val="HTMLPreformattedChar"/>
    <w:uiPriority w:val="99"/>
    <w:semiHidden/>
    <w:unhideWhenUsed/>
    <w:rsid w:val="001A665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A6655"/>
    <w:rPr>
      <w:rFonts w:ascii="Consolas" w:hAnsi="Consolas" w:cs="Consolas"/>
      <w:sz w:val="20"/>
      <w:szCs w:val="20"/>
    </w:rPr>
  </w:style>
  <w:style w:type="paragraph" w:styleId="Index1">
    <w:name w:val="index 1"/>
    <w:basedOn w:val="Normal"/>
    <w:next w:val="Normal"/>
    <w:uiPriority w:val="99"/>
    <w:semiHidden/>
    <w:unhideWhenUsed/>
    <w:rsid w:val="001A6655"/>
    <w:pPr>
      <w:ind w:left="220" w:hanging="220"/>
    </w:pPr>
  </w:style>
  <w:style w:type="paragraph" w:styleId="Index2">
    <w:name w:val="index 2"/>
    <w:basedOn w:val="Normal"/>
    <w:next w:val="Normal"/>
    <w:uiPriority w:val="99"/>
    <w:semiHidden/>
    <w:unhideWhenUsed/>
    <w:rsid w:val="001A6655"/>
    <w:pPr>
      <w:ind w:left="440" w:hanging="220"/>
    </w:pPr>
  </w:style>
  <w:style w:type="paragraph" w:styleId="Index3">
    <w:name w:val="index 3"/>
    <w:basedOn w:val="Normal"/>
    <w:next w:val="Normal"/>
    <w:uiPriority w:val="99"/>
    <w:semiHidden/>
    <w:unhideWhenUsed/>
    <w:rsid w:val="001A6655"/>
    <w:pPr>
      <w:ind w:left="660" w:hanging="220"/>
    </w:pPr>
  </w:style>
  <w:style w:type="paragraph" w:styleId="Index4">
    <w:name w:val="index 4"/>
    <w:basedOn w:val="Normal"/>
    <w:next w:val="Normal"/>
    <w:uiPriority w:val="99"/>
    <w:semiHidden/>
    <w:unhideWhenUsed/>
    <w:rsid w:val="001A6655"/>
    <w:pPr>
      <w:ind w:left="880" w:hanging="220"/>
    </w:pPr>
  </w:style>
  <w:style w:type="paragraph" w:styleId="Index5">
    <w:name w:val="index 5"/>
    <w:basedOn w:val="Normal"/>
    <w:next w:val="Normal"/>
    <w:uiPriority w:val="99"/>
    <w:semiHidden/>
    <w:unhideWhenUsed/>
    <w:rsid w:val="001A6655"/>
    <w:pPr>
      <w:ind w:left="1100" w:hanging="220"/>
    </w:pPr>
  </w:style>
  <w:style w:type="paragraph" w:styleId="Index6">
    <w:name w:val="index 6"/>
    <w:basedOn w:val="Normal"/>
    <w:next w:val="Normal"/>
    <w:uiPriority w:val="99"/>
    <w:semiHidden/>
    <w:unhideWhenUsed/>
    <w:rsid w:val="001A6655"/>
    <w:pPr>
      <w:ind w:left="1320" w:hanging="220"/>
    </w:pPr>
  </w:style>
  <w:style w:type="paragraph" w:styleId="Index7">
    <w:name w:val="index 7"/>
    <w:basedOn w:val="Normal"/>
    <w:next w:val="Normal"/>
    <w:uiPriority w:val="99"/>
    <w:semiHidden/>
    <w:unhideWhenUsed/>
    <w:rsid w:val="001A6655"/>
    <w:pPr>
      <w:ind w:left="1540" w:hanging="220"/>
    </w:pPr>
  </w:style>
  <w:style w:type="paragraph" w:styleId="Index8">
    <w:name w:val="index 8"/>
    <w:basedOn w:val="Normal"/>
    <w:next w:val="Normal"/>
    <w:uiPriority w:val="99"/>
    <w:semiHidden/>
    <w:unhideWhenUsed/>
    <w:rsid w:val="001A6655"/>
    <w:pPr>
      <w:ind w:left="1760" w:hanging="220"/>
    </w:pPr>
  </w:style>
  <w:style w:type="paragraph" w:styleId="Index9">
    <w:name w:val="index 9"/>
    <w:basedOn w:val="Normal"/>
    <w:next w:val="Normal"/>
    <w:uiPriority w:val="99"/>
    <w:semiHidden/>
    <w:unhideWhenUsed/>
    <w:rsid w:val="001A6655"/>
    <w:pPr>
      <w:ind w:left="1980" w:hanging="220"/>
    </w:pPr>
  </w:style>
  <w:style w:type="paragraph" w:styleId="IndexHeading">
    <w:name w:val="index heading"/>
    <w:basedOn w:val="Normal"/>
    <w:next w:val="Index1"/>
    <w:uiPriority w:val="99"/>
    <w:semiHidden/>
    <w:unhideWhenUsed/>
    <w:rsid w:val="001A665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A665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A6655"/>
    <w:rPr>
      <w:rFonts w:ascii="Times New Roman" w:hAnsi="Times New Roman" w:cs="Times New Roman"/>
      <w:i/>
      <w:iCs/>
      <w:color w:val="5B9BD5" w:themeColor="accent1"/>
      <w:sz w:val="26"/>
    </w:rPr>
  </w:style>
  <w:style w:type="paragraph" w:styleId="List">
    <w:name w:val="List"/>
    <w:basedOn w:val="Normal"/>
    <w:uiPriority w:val="99"/>
    <w:semiHidden/>
    <w:unhideWhenUsed/>
    <w:rsid w:val="001A6655"/>
    <w:pPr>
      <w:ind w:left="360" w:hanging="360"/>
      <w:contextualSpacing/>
    </w:pPr>
  </w:style>
  <w:style w:type="paragraph" w:styleId="List2">
    <w:name w:val="List 2"/>
    <w:basedOn w:val="Normal"/>
    <w:uiPriority w:val="99"/>
    <w:semiHidden/>
    <w:unhideWhenUsed/>
    <w:rsid w:val="001A6655"/>
    <w:pPr>
      <w:ind w:left="720" w:hanging="360"/>
      <w:contextualSpacing/>
    </w:pPr>
  </w:style>
  <w:style w:type="paragraph" w:styleId="List3">
    <w:name w:val="List 3"/>
    <w:basedOn w:val="Normal"/>
    <w:uiPriority w:val="99"/>
    <w:semiHidden/>
    <w:unhideWhenUsed/>
    <w:rsid w:val="001A6655"/>
    <w:pPr>
      <w:ind w:left="1080" w:hanging="360"/>
      <w:contextualSpacing/>
    </w:pPr>
  </w:style>
  <w:style w:type="paragraph" w:styleId="List4">
    <w:name w:val="List 4"/>
    <w:basedOn w:val="Normal"/>
    <w:uiPriority w:val="99"/>
    <w:semiHidden/>
    <w:unhideWhenUsed/>
    <w:rsid w:val="001A6655"/>
    <w:pPr>
      <w:ind w:left="1440" w:hanging="360"/>
      <w:contextualSpacing/>
    </w:pPr>
  </w:style>
  <w:style w:type="paragraph" w:styleId="List5">
    <w:name w:val="List 5"/>
    <w:basedOn w:val="Normal"/>
    <w:uiPriority w:val="99"/>
    <w:semiHidden/>
    <w:unhideWhenUsed/>
    <w:rsid w:val="001A6655"/>
    <w:pPr>
      <w:ind w:left="1800" w:hanging="360"/>
      <w:contextualSpacing/>
    </w:pPr>
  </w:style>
  <w:style w:type="paragraph" w:styleId="ListBullet">
    <w:name w:val="List Bullet"/>
    <w:basedOn w:val="Normal"/>
    <w:uiPriority w:val="99"/>
    <w:semiHidden/>
    <w:unhideWhenUsed/>
    <w:rsid w:val="001A6655"/>
    <w:pPr>
      <w:numPr>
        <w:numId w:val="1"/>
      </w:numPr>
      <w:contextualSpacing/>
    </w:pPr>
  </w:style>
  <w:style w:type="paragraph" w:styleId="ListBullet2">
    <w:name w:val="List Bullet 2"/>
    <w:basedOn w:val="Normal"/>
    <w:uiPriority w:val="99"/>
    <w:semiHidden/>
    <w:unhideWhenUsed/>
    <w:rsid w:val="001A6655"/>
    <w:pPr>
      <w:numPr>
        <w:numId w:val="2"/>
      </w:numPr>
      <w:contextualSpacing/>
    </w:pPr>
  </w:style>
  <w:style w:type="paragraph" w:styleId="ListBullet3">
    <w:name w:val="List Bullet 3"/>
    <w:basedOn w:val="Normal"/>
    <w:uiPriority w:val="99"/>
    <w:semiHidden/>
    <w:unhideWhenUsed/>
    <w:rsid w:val="001A6655"/>
    <w:pPr>
      <w:numPr>
        <w:numId w:val="3"/>
      </w:numPr>
      <w:contextualSpacing/>
    </w:pPr>
  </w:style>
  <w:style w:type="paragraph" w:styleId="ListBullet4">
    <w:name w:val="List Bullet 4"/>
    <w:basedOn w:val="Normal"/>
    <w:uiPriority w:val="99"/>
    <w:semiHidden/>
    <w:unhideWhenUsed/>
    <w:rsid w:val="001A6655"/>
    <w:pPr>
      <w:numPr>
        <w:numId w:val="4"/>
      </w:numPr>
      <w:contextualSpacing/>
    </w:pPr>
  </w:style>
  <w:style w:type="paragraph" w:styleId="ListBullet5">
    <w:name w:val="List Bullet 5"/>
    <w:basedOn w:val="Normal"/>
    <w:uiPriority w:val="99"/>
    <w:semiHidden/>
    <w:unhideWhenUsed/>
    <w:rsid w:val="001A6655"/>
    <w:pPr>
      <w:numPr>
        <w:numId w:val="5"/>
      </w:numPr>
      <w:contextualSpacing/>
    </w:pPr>
  </w:style>
  <w:style w:type="paragraph" w:styleId="ListContinue">
    <w:name w:val="List Continue"/>
    <w:basedOn w:val="Normal"/>
    <w:uiPriority w:val="99"/>
    <w:semiHidden/>
    <w:unhideWhenUsed/>
    <w:rsid w:val="001A6655"/>
    <w:pPr>
      <w:spacing w:after="120"/>
      <w:ind w:left="360"/>
      <w:contextualSpacing/>
    </w:pPr>
  </w:style>
  <w:style w:type="paragraph" w:styleId="ListContinue2">
    <w:name w:val="List Continue 2"/>
    <w:basedOn w:val="Normal"/>
    <w:uiPriority w:val="99"/>
    <w:semiHidden/>
    <w:unhideWhenUsed/>
    <w:rsid w:val="001A6655"/>
    <w:pPr>
      <w:spacing w:after="120"/>
      <w:ind w:left="720"/>
      <w:contextualSpacing/>
    </w:pPr>
  </w:style>
  <w:style w:type="paragraph" w:styleId="ListContinue3">
    <w:name w:val="List Continue 3"/>
    <w:basedOn w:val="Normal"/>
    <w:uiPriority w:val="99"/>
    <w:semiHidden/>
    <w:unhideWhenUsed/>
    <w:rsid w:val="001A6655"/>
    <w:pPr>
      <w:spacing w:after="120"/>
      <w:ind w:left="1080"/>
      <w:contextualSpacing/>
    </w:pPr>
  </w:style>
  <w:style w:type="paragraph" w:styleId="ListContinue4">
    <w:name w:val="List Continue 4"/>
    <w:basedOn w:val="Normal"/>
    <w:uiPriority w:val="99"/>
    <w:semiHidden/>
    <w:unhideWhenUsed/>
    <w:rsid w:val="001A6655"/>
    <w:pPr>
      <w:spacing w:after="120"/>
      <w:ind w:left="1440"/>
      <w:contextualSpacing/>
    </w:pPr>
  </w:style>
  <w:style w:type="paragraph" w:styleId="ListContinue5">
    <w:name w:val="List Continue 5"/>
    <w:basedOn w:val="Normal"/>
    <w:uiPriority w:val="99"/>
    <w:semiHidden/>
    <w:unhideWhenUsed/>
    <w:rsid w:val="001A6655"/>
    <w:pPr>
      <w:spacing w:after="120"/>
      <w:ind w:left="1800"/>
      <w:contextualSpacing/>
    </w:pPr>
  </w:style>
  <w:style w:type="paragraph" w:styleId="ListNumber">
    <w:name w:val="List Number"/>
    <w:basedOn w:val="Normal"/>
    <w:uiPriority w:val="99"/>
    <w:semiHidden/>
    <w:unhideWhenUsed/>
    <w:rsid w:val="001A6655"/>
    <w:pPr>
      <w:numPr>
        <w:numId w:val="6"/>
      </w:numPr>
      <w:contextualSpacing/>
    </w:pPr>
  </w:style>
  <w:style w:type="paragraph" w:styleId="ListNumber2">
    <w:name w:val="List Number 2"/>
    <w:basedOn w:val="Normal"/>
    <w:uiPriority w:val="99"/>
    <w:semiHidden/>
    <w:unhideWhenUsed/>
    <w:rsid w:val="001A6655"/>
    <w:pPr>
      <w:numPr>
        <w:numId w:val="7"/>
      </w:numPr>
      <w:contextualSpacing/>
    </w:pPr>
  </w:style>
  <w:style w:type="paragraph" w:styleId="ListNumber3">
    <w:name w:val="List Number 3"/>
    <w:basedOn w:val="Normal"/>
    <w:uiPriority w:val="99"/>
    <w:semiHidden/>
    <w:unhideWhenUsed/>
    <w:rsid w:val="001A6655"/>
    <w:pPr>
      <w:numPr>
        <w:numId w:val="8"/>
      </w:numPr>
      <w:contextualSpacing/>
    </w:pPr>
  </w:style>
  <w:style w:type="paragraph" w:styleId="ListNumber4">
    <w:name w:val="List Number 4"/>
    <w:basedOn w:val="Normal"/>
    <w:uiPriority w:val="99"/>
    <w:semiHidden/>
    <w:unhideWhenUsed/>
    <w:rsid w:val="001A6655"/>
    <w:pPr>
      <w:numPr>
        <w:numId w:val="9"/>
      </w:numPr>
      <w:contextualSpacing/>
    </w:pPr>
  </w:style>
  <w:style w:type="paragraph" w:styleId="ListNumber5">
    <w:name w:val="List Number 5"/>
    <w:basedOn w:val="Normal"/>
    <w:uiPriority w:val="99"/>
    <w:semiHidden/>
    <w:unhideWhenUsed/>
    <w:rsid w:val="001A6655"/>
    <w:pPr>
      <w:numPr>
        <w:numId w:val="10"/>
      </w:numPr>
      <w:contextualSpacing/>
    </w:pPr>
  </w:style>
  <w:style w:type="paragraph" w:styleId="ListParagraph">
    <w:name w:val="List Paragraph"/>
    <w:basedOn w:val="Normal"/>
    <w:uiPriority w:val="34"/>
    <w:qFormat/>
    <w:rsid w:val="001A6655"/>
    <w:pPr>
      <w:ind w:left="720"/>
      <w:contextualSpacing/>
    </w:pPr>
  </w:style>
  <w:style w:type="paragraph" w:styleId="Macro">
    <w:name w:val="macro"/>
    <w:link w:val="MacroTextChar"/>
    <w:uiPriority w:val="99"/>
    <w:semiHidden/>
    <w:unhideWhenUsed/>
    <w:rsid w:val="001A665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
    <w:uiPriority w:val="99"/>
    <w:semiHidden/>
    <w:rsid w:val="001A6655"/>
    <w:rPr>
      <w:rFonts w:ascii="Consolas" w:hAnsi="Consolas" w:cs="Consolas"/>
      <w:sz w:val="20"/>
      <w:szCs w:val="20"/>
    </w:rPr>
  </w:style>
  <w:style w:type="paragraph" w:styleId="MessageHeader">
    <w:name w:val="Message Header"/>
    <w:basedOn w:val="Normal"/>
    <w:link w:val="MessageHeaderChar"/>
    <w:uiPriority w:val="99"/>
    <w:semiHidden/>
    <w:unhideWhenUsed/>
    <w:rsid w:val="001A665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A6655"/>
    <w:rPr>
      <w:rFonts w:asciiTheme="majorHAnsi" w:eastAsiaTheme="majorEastAsia" w:hAnsiTheme="majorHAnsi" w:cstheme="majorBidi"/>
      <w:sz w:val="24"/>
      <w:szCs w:val="24"/>
      <w:shd w:val="pct20" w:color="auto" w:fill="auto"/>
    </w:rPr>
  </w:style>
  <w:style w:type="paragraph" w:styleId="NoSpacing">
    <w:name w:val="No Spacing"/>
    <w:uiPriority w:val="3"/>
    <w:qFormat/>
    <w:rsid w:val="001A6655"/>
    <w:pPr>
      <w:spacing w:after="0" w:line="240" w:lineRule="auto"/>
    </w:pPr>
  </w:style>
  <w:style w:type="paragraph" w:styleId="NormalWeb">
    <w:name w:val="Normal (Web)"/>
    <w:basedOn w:val="Normal"/>
    <w:uiPriority w:val="99"/>
    <w:semiHidden/>
    <w:unhideWhenUsed/>
    <w:rsid w:val="001A6655"/>
    <w:rPr>
      <w:sz w:val="24"/>
      <w:szCs w:val="24"/>
    </w:rPr>
  </w:style>
  <w:style w:type="paragraph" w:styleId="NormalIndent">
    <w:name w:val="Normal Indent"/>
    <w:basedOn w:val="Normal"/>
    <w:uiPriority w:val="99"/>
    <w:semiHidden/>
    <w:unhideWhenUsed/>
    <w:rsid w:val="001A6655"/>
    <w:pPr>
      <w:ind w:left="720"/>
    </w:pPr>
  </w:style>
  <w:style w:type="paragraph" w:styleId="NoteHeading">
    <w:name w:val="Note Heading"/>
    <w:basedOn w:val="Normal"/>
    <w:next w:val="Normal"/>
    <w:link w:val="NoteHeadingChar"/>
    <w:uiPriority w:val="99"/>
    <w:semiHidden/>
    <w:unhideWhenUsed/>
    <w:rsid w:val="001A6655"/>
  </w:style>
  <w:style w:type="character" w:customStyle="1" w:styleId="NoteHeadingChar">
    <w:name w:val="Note Heading Char"/>
    <w:basedOn w:val="DefaultParagraphFont"/>
    <w:link w:val="NoteHeading"/>
    <w:uiPriority w:val="99"/>
    <w:semiHidden/>
    <w:rsid w:val="001A6655"/>
    <w:rPr>
      <w:rFonts w:ascii="Times New Roman" w:hAnsi="Times New Roman" w:cs="Times New Roman"/>
      <w:sz w:val="26"/>
    </w:rPr>
  </w:style>
  <w:style w:type="paragraph" w:styleId="PlainText">
    <w:name w:val="Plain Text"/>
    <w:basedOn w:val="Normal"/>
    <w:link w:val="PlainTextChar"/>
    <w:uiPriority w:val="99"/>
    <w:semiHidden/>
    <w:unhideWhenUsed/>
    <w:rsid w:val="001A6655"/>
    <w:rPr>
      <w:rFonts w:ascii="Consolas" w:hAnsi="Consolas" w:cs="Consolas"/>
      <w:sz w:val="21"/>
      <w:szCs w:val="21"/>
    </w:rPr>
  </w:style>
  <w:style w:type="character" w:customStyle="1" w:styleId="PlainTextChar">
    <w:name w:val="Plain Text Char"/>
    <w:basedOn w:val="DefaultParagraphFont"/>
    <w:link w:val="PlainText"/>
    <w:uiPriority w:val="99"/>
    <w:semiHidden/>
    <w:rsid w:val="001A6655"/>
    <w:rPr>
      <w:rFonts w:ascii="Consolas" w:hAnsi="Consolas" w:cs="Consolas"/>
      <w:sz w:val="21"/>
      <w:szCs w:val="21"/>
    </w:rPr>
  </w:style>
  <w:style w:type="paragraph" w:styleId="Quote">
    <w:name w:val="Quote"/>
    <w:basedOn w:val="Normal"/>
    <w:next w:val="Normal"/>
    <w:link w:val="QuoteChar"/>
    <w:uiPriority w:val="29"/>
    <w:qFormat/>
    <w:rsid w:val="001A665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A6655"/>
    <w:rPr>
      <w:rFonts w:ascii="Times New Roman" w:hAnsi="Times New Roman" w:cs="Times New Roman"/>
      <w:i/>
      <w:iCs/>
      <w:color w:val="404040" w:themeColor="text1" w:themeTint="BF"/>
      <w:sz w:val="26"/>
    </w:rPr>
  </w:style>
  <w:style w:type="paragraph" w:styleId="Salutation">
    <w:name w:val="Salutation"/>
    <w:basedOn w:val="Normal"/>
    <w:next w:val="Normal"/>
    <w:link w:val="SalutationChar"/>
    <w:uiPriority w:val="99"/>
    <w:semiHidden/>
    <w:unhideWhenUsed/>
    <w:rsid w:val="001A6655"/>
  </w:style>
  <w:style w:type="character" w:customStyle="1" w:styleId="SalutationChar">
    <w:name w:val="Salutation Char"/>
    <w:basedOn w:val="DefaultParagraphFont"/>
    <w:link w:val="Salutation"/>
    <w:uiPriority w:val="99"/>
    <w:semiHidden/>
    <w:rsid w:val="001A6655"/>
    <w:rPr>
      <w:rFonts w:ascii="Times New Roman" w:hAnsi="Times New Roman" w:cs="Times New Roman"/>
      <w:sz w:val="26"/>
    </w:rPr>
  </w:style>
  <w:style w:type="paragraph" w:styleId="Signature">
    <w:name w:val="Signature"/>
    <w:basedOn w:val="Normal"/>
    <w:link w:val="SignatureChar"/>
    <w:uiPriority w:val="99"/>
    <w:semiHidden/>
    <w:unhideWhenUsed/>
    <w:rsid w:val="001A6655"/>
    <w:pPr>
      <w:ind w:left="4320"/>
    </w:pPr>
  </w:style>
  <w:style w:type="character" w:customStyle="1" w:styleId="SignatureChar">
    <w:name w:val="Signature Char"/>
    <w:basedOn w:val="DefaultParagraphFont"/>
    <w:link w:val="Signature"/>
    <w:uiPriority w:val="99"/>
    <w:semiHidden/>
    <w:rsid w:val="001A6655"/>
    <w:rPr>
      <w:rFonts w:ascii="Times New Roman" w:hAnsi="Times New Roman" w:cs="Times New Roman"/>
      <w:sz w:val="26"/>
    </w:rPr>
  </w:style>
  <w:style w:type="paragraph" w:styleId="Subtitle">
    <w:name w:val="Subtitle"/>
    <w:basedOn w:val="Normal"/>
    <w:next w:val="Normal"/>
    <w:link w:val="SubtitleChar"/>
    <w:uiPriority w:val="11"/>
    <w:qFormat/>
    <w:rsid w:val="001A665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A6655"/>
    <w:rPr>
      <w:rFonts w:ascii="Times New Roman" w:hAnsi="Times New Roman" w:eastAsiaTheme="minorEastAsia" w:cs="Times New Roman"/>
      <w:color w:val="5A5A5A" w:themeColor="text1" w:themeTint="A5"/>
      <w:spacing w:val="15"/>
      <w:sz w:val="26"/>
    </w:rPr>
  </w:style>
  <w:style w:type="paragraph" w:styleId="TableofAuthorities">
    <w:name w:val="table of authorities"/>
    <w:basedOn w:val="Normal"/>
    <w:next w:val="Normal"/>
    <w:uiPriority w:val="99"/>
    <w:semiHidden/>
    <w:unhideWhenUsed/>
    <w:rsid w:val="001A6655"/>
    <w:pPr>
      <w:ind w:left="220" w:hanging="220"/>
    </w:pPr>
  </w:style>
  <w:style w:type="paragraph" w:styleId="TableofFigures">
    <w:name w:val="table of figures"/>
    <w:basedOn w:val="Normal"/>
    <w:next w:val="Normal"/>
    <w:uiPriority w:val="99"/>
    <w:semiHidden/>
    <w:unhideWhenUsed/>
    <w:rsid w:val="001A6655"/>
  </w:style>
  <w:style w:type="paragraph" w:styleId="Title">
    <w:name w:val="Title"/>
    <w:basedOn w:val="Normal"/>
    <w:next w:val="Normal"/>
    <w:link w:val="TitleChar"/>
    <w:uiPriority w:val="10"/>
    <w:qFormat/>
    <w:rsid w:val="001A66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65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A6655"/>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1A6655"/>
    <w:pPr>
      <w:spacing w:after="100"/>
    </w:pPr>
  </w:style>
  <w:style w:type="paragraph" w:styleId="TOC2">
    <w:name w:val="toc 2"/>
    <w:basedOn w:val="Normal"/>
    <w:next w:val="Normal"/>
    <w:uiPriority w:val="39"/>
    <w:semiHidden/>
    <w:unhideWhenUsed/>
    <w:rsid w:val="001A6655"/>
    <w:pPr>
      <w:spacing w:after="100"/>
      <w:ind w:left="220"/>
    </w:pPr>
  </w:style>
  <w:style w:type="paragraph" w:styleId="TOC3">
    <w:name w:val="toc 3"/>
    <w:basedOn w:val="Normal"/>
    <w:next w:val="Normal"/>
    <w:uiPriority w:val="39"/>
    <w:semiHidden/>
    <w:unhideWhenUsed/>
    <w:rsid w:val="001A6655"/>
    <w:pPr>
      <w:spacing w:after="100"/>
      <w:ind w:left="440"/>
    </w:pPr>
  </w:style>
  <w:style w:type="paragraph" w:styleId="TOC4">
    <w:name w:val="toc 4"/>
    <w:basedOn w:val="Normal"/>
    <w:next w:val="Normal"/>
    <w:uiPriority w:val="39"/>
    <w:semiHidden/>
    <w:unhideWhenUsed/>
    <w:rsid w:val="001A6655"/>
    <w:pPr>
      <w:spacing w:after="100"/>
      <w:ind w:left="660"/>
    </w:pPr>
  </w:style>
  <w:style w:type="paragraph" w:styleId="TOC5">
    <w:name w:val="toc 5"/>
    <w:basedOn w:val="Normal"/>
    <w:next w:val="Normal"/>
    <w:uiPriority w:val="39"/>
    <w:semiHidden/>
    <w:unhideWhenUsed/>
    <w:rsid w:val="001A6655"/>
    <w:pPr>
      <w:spacing w:after="100"/>
      <w:ind w:left="880"/>
    </w:pPr>
  </w:style>
  <w:style w:type="paragraph" w:styleId="TOC6">
    <w:name w:val="toc 6"/>
    <w:basedOn w:val="Normal"/>
    <w:next w:val="Normal"/>
    <w:uiPriority w:val="39"/>
    <w:semiHidden/>
    <w:unhideWhenUsed/>
    <w:rsid w:val="001A6655"/>
    <w:pPr>
      <w:spacing w:after="100"/>
      <w:ind w:left="1100"/>
    </w:pPr>
  </w:style>
  <w:style w:type="paragraph" w:styleId="TOC7">
    <w:name w:val="toc 7"/>
    <w:basedOn w:val="Normal"/>
    <w:next w:val="Normal"/>
    <w:uiPriority w:val="39"/>
    <w:semiHidden/>
    <w:unhideWhenUsed/>
    <w:rsid w:val="001A6655"/>
    <w:pPr>
      <w:spacing w:after="100"/>
      <w:ind w:left="1320"/>
    </w:pPr>
  </w:style>
  <w:style w:type="paragraph" w:styleId="TOC8">
    <w:name w:val="toc 8"/>
    <w:basedOn w:val="Normal"/>
    <w:next w:val="Normal"/>
    <w:uiPriority w:val="39"/>
    <w:semiHidden/>
    <w:unhideWhenUsed/>
    <w:rsid w:val="001A6655"/>
    <w:pPr>
      <w:spacing w:after="100"/>
      <w:ind w:left="1540"/>
    </w:pPr>
  </w:style>
  <w:style w:type="paragraph" w:styleId="TOC9">
    <w:name w:val="toc 9"/>
    <w:basedOn w:val="Normal"/>
    <w:next w:val="Normal"/>
    <w:uiPriority w:val="39"/>
    <w:semiHidden/>
    <w:unhideWhenUsed/>
    <w:rsid w:val="001A6655"/>
    <w:pPr>
      <w:spacing w:after="100"/>
      <w:ind w:left="1760"/>
    </w:pPr>
  </w:style>
  <w:style w:type="paragraph" w:styleId="TOCHeading">
    <w:name w:val="TOC Heading"/>
    <w:basedOn w:val="Heading1"/>
    <w:next w:val="Normal"/>
    <w:uiPriority w:val="39"/>
    <w:semiHidden/>
    <w:unhideWhenUsed/>
    <w:qFormat/>
    <w:rsid w:val="001A6655"/>
    <w:pPr>
      <w:numPr>
        <w:numId w:val="0"/>
      </w:numPr>
      <w:outlineLvl w:val="9"/>
    </w:pPr>
  </w:style>
  <w:style w:type="paragraph" w:customStyle="1" w:styleId="FERCparanumber">
    <w:name w:val="FERC paranumber"/>
    <w:basedOn w:val="Normal"/>
    <w:link w:val="FERCparanumberChar"/>
    <w:qFormat/>
    <w:rsid w:val="00B07078"/>
    <w:pPr>
      <w:widowControl/>
      <w:numPr>
        <w:numId w:val="35"/>
      </w:numPr>
      <w:spacing w:line="480" w:lineRule="auto"/>
    </w:pPr>
  </w:style>
  <w:style w:type="character" w:customStyle="1" w:styleId="FERCparanumberChar">
    <w:name w:val="FERC paranumber Char"/>
    <w:basedOn w:val="DefaultParagraphFont"/>
    <w:link w:val="FERCparanumber"/>
    <w:rsid w:val="00B07078"/>
    <w:rPr>
      <w:rFonts w:ascii="Times New Roman" w:hAnsi="Times New Roman" w:cs="Times New Roman"/>
      <w:sz w:val="26"/>
    </w:rPr>
  </w:style>
  <w:style w:type="character" w:styleId="PageNumber">
    <w:name w:val="page number"/>
    <w:basedOn w:val="DefaultParagraphFont"/>
    <w:rsid w:val="001A6655"/>
  </w:style>
  <w:style w:type="table" w:styleId="TableGrid">
    <w:name w:val="Table Grid"/>
    <w:basedOn w:val="TableNormal"/>
    <w:rsid w:val="001A665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6655"/>
    <w:rPr>
      <w:color w:val="0563C1" w:themeColor="hyperlink"/>
      <w:u w:val="single"/>
    </w:rPr>
  </w:style>
  <w:style w:type="character" w:customStyle="1" w:styleId="Heading1Char">
    <w:name w:val="Heading 1 Char"/>
    <w:basedOn w:val="DefaultParagraphFont"/>
    <w:link w:val="Heading1"/>
    <w:uiPriority w:val="9"/>
    <w:rsid w:val="001A6655"/>
    <w:rPr>
      <w:rFonts w:ascii="Times New Roman" w:hAnsi="Times New Roman" w:eastAsiaTheme="majorEastAsia" w:cs="Times New Roman"/>
      <w:b/>
      <w:kern w:val="32"/>
      <w:sz w:val="26"/>
      <w:szCs w:val="32"/>
      <w:u w:val="single"/>
    </w:rPr>
  </w:style>
  <w:style w:type="character" w:customStyle="1" w:styleId="Heading2Char">
    <w:name w:val="Heading 2 Char"/>
    <w:basedOn w:val="DefaultParagraphFont"/>
    <w:link w:val="Heading2"/>
    <w:uiPriority w:val="9"/>
    <w:rsid w:val="001A6655"/>
    <w:rPr>
      <w:rFonts w:ascii="Times New Roman" w:hAnsi="Times New Roman" w:eastAsiaTheme="majorEastAsia" w:cs="Times New Roman"/>
      <w:b/>
      <w:kern w:val="32"/>
      <w:sz w:val="26"/>
      <w:szCs w:val="26"/>
      <w:u w:val="single"/>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uiPriority w:val="99"/>
    <w:unhideWhenUsed/>
    <w:rsid w:val="001A6655"/>
    <w:pPr>
      <w:spacing w:after="260"/>
      <w:ind w:firstLine="720"/>
    </w:pPr>
    <w:rPr>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iPriority w:val="99"/>
    <w:unhideWhenUsed/>
    <w:rsid w:val="001A6655"/>
    <w:rPr>
      <w:rFonts w:ascii="Times New Roman" w:hAnsi="Times New Roman" w:cs="Times New Roman"/>
      <w:b/>
      <w:sz w:val="26"/>
      <w:vertAlign w:val="superscript"/>
    </w:rPr>
  </w:style>
  <w:style w:type="paragraph" w:customStyle="1" w:styleId="FERCNopara">
    <w:name w:val="FERC Nopara"/>
    <w:basedOn w:val="Normal"/>
    <w:uiPriority w:val="1"/>
    <w:qFormat/>
    <w:rsid w:val="001A6655"/>
    <w:pPr>
      <w:spacing w:after="260"/>
      <w:ind w:firstLine="720"/>
    </w:pPr>
  </w:style>
  <w:style w:type="character" w:styleId="CommentReference">
    <w:name w:val="annotation reference"/>
    <w:basedOn w:val="DefaultParagraphFont"/>
    <w:uiPriority w:val="99"/>
    <w:semiHidden/>
    <w:unhideWhenUsed/>
    <w:rsid w:val="001A6655"/>
    <w:rPr>
      <w:sz w:val="16"/>
      <w:szCs w:val="16"/>
    </w:rPr>
  </w:style>
  <w:style w:type="character" w:styleId="UnresolvedMention">
    <w:name w:val="Unresolved Mention"/>
    <w:basedOn w:val="DefaultParagraphFont"/>
    <w:uiPriority w:val="99"/>
    <w:semiHidden/>
    <w:unhideWhenUsed/>
    <w:rsid w:val="001A6655"/>
    <w:rPr>
      <w:color w:val="605E5C"/>
      <w:shd w:val="clear" w:color="auto" w:fill="E1DFDD"/>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MRP Char,fn Char,fn1 Char"/>
    <w:basedOn w:val="DefaultParagraphFont"/>
    <w:link w:val="FootnoteText"/>
    <w:uiPriority w:val="99"/>
    <w:rsid w:val="00071CFD"/>
    <w:rPr>
      <w:rFonts w:ascii="Times New Roman" w:hAnsi="Times New Roman" w:cs="Times New Roman"/>
      <w:sz w:val="26"/>
      <w:szCs w:val="20"/>
    </w:rPr>
  </w:style>
  <w:style w:type="paragraph" w:styleId="Revision">
    <w:name w:val="Revision"/>
    <w:hidden/>
    <w:uiPriority w:val="99"/>
    <w:semiHidden/>
    <w:rsid w:val="005409E7"/>
    <w:pPr>
      <w:spacing w:after="0" w:line="240" w:lineRule="auto"/>
    </w:pPr>
    <w:rPr>
      <w:rFonts w:ascii="Times New Roman" w:hAnsi="Times New Roman" w:cs="Times New Roman"/>
      <w:sz w:val="26"/>
    </w:rPr>
  </w:style>
  <w:style w:type="character" w:styleId="EndnoteReference">
    <w:name w:val="endnote reference"/>
    <w:basedOn w:val="DefaultParagraphFont"/>
    <w:uiPriority w:val="99"/>
    <w:semiHidden/>
    <w:unhideWhenUsed/>
    <w:rsid w:val="00592079"/>
    <w:rPr>
      <w:vertAlign w:val="superscript"/>
    </w:rPr>
  </w:style>
  <w:style w:type="character" w:styleId="Mention">
    <w:name w:val="Mention"/>
    <w:basedOn w:val="DefaultParagraphFont"/>
    <w:uiPriority w:val="99"/>
    <w:unhideWhenUsed/>
    <w:rsid w:val="00EB5C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7E51386C-9970-4108-968A-354E87557753}">
  <ds:schemaRefs>
    <ds:schemaRef ds:uri="http://schemas.microsoft.com/sharepoint/v3/contenttype/forms"/>
  </ds:schemaRefs>
</ds:datastoreItem>
</file>

<file path=customXml/itemProps2.xml><?xml version="1.0" encoding="utf-8"?>
<ds:datastoreItem xmlns:ds="http://schemas.openxmlformats.org/officeDocument/2006/customXml" ds:itemID="{4B88A542-D568-4799-A26A-14671E60BC8C}">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5e8733a2-e908-454b-85cf-c9d17e1d094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4.xml><?xml version="1.0" encoding="utf-8"?>
<ds:datastoreItem xmlns:ds="http://schemas.openxmlformats.org/officeDocument/2006/customXml" ds:itemID="{A1438739-37BB-49F8-BBB2-A4025545B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ED75F2-EC71-41F7-ACBB-D3437C7643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6101</Words>
  <Characters>34779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2025-01-15T12:05:00Z</dcterms:created>
  <dcterms:modified xsi:type="dcterms:W3CDTF">2025-01-15T12:05:00Z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b4c72c41-000d-4a22-8573-231576d262a2</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2025-01-15T12:03:40Z</vt:lpwstr>
  </property>
  <property fmtid="{D5CDD505-2E9C-101B-9397-08002B2CF9AE}" pid="8" name="MSIP_Label_bd24d06a-0e85-4d57-b1e0-ba34b1abc708_SiteId">
    <vt:lpwstr>19caa9e9-04ff-43fa-885f-d77fac387903</vt:lpwstr>
  </property>
</Properties>
</file>